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合成招标文件（验收样本）</w:t>
      </w:r>
    </w:p>
    <w:p>
      <w:r>
        <w:t>重要说明：本文件为程序生成的合成数据，不对应任何真实采购项目，不包含真实企业信息、真实人员信息或未公开文件。仅用于受控产品验收。</w:t>
      </w:r>
    </w:p>
    <w:p>
      <w:pPr>
        <w:pStyle w:val="Heading1"/>
      </w:pPr>
      <w:r>
        <w:t>第一章 项目概况</w:t>
      </w:r>
    </w:p>
    <w:p>
      <w:r>
        <w:t>项目名称：示例市公共服务中心改造工程（合成）。采购方式：公开招标。采购人：示例市公共服务中心（合成主体）。项目地点：示例省示例市。</w:t>
      </w:r>
    </w:p>
    <w:p>
      <w:r>
        <w:t>本项目为政府采购工程，资金来源为财政资金。招标范围包括土建、安装和配套服务，计划工期180日历天。</w:t>
      </w:r>
    </w:p>
    <w:p>
      <w:pPr>
        <w:pStyle w:val="Heading1"/>
      </w:pPr>
      <w:r>
        <w:t>第二章 投标人资格要求</w:t>
      </w:r>
    </w:p>
    <w:p>
      <w:r>
        <w:t>2.1 投标人应具备建筑工程施工总承包三级及以上资质，并具备有效的安全生产许可证。</w:t>
      </w:r>
    </w:p>
    <w:p>
      <w:r>
        <w:t>2.2 投标人必须在本市设立分公司满三年，方可参加本项目投标。</w:t>
      </w:r>
    </w:p>
    <w:p>
      <w:r>
        <w:t>2.3 投标人应提供近三年完成的类似项目业绩，至少一项。</w:t>
      </w:r>
    </w:p>
    <w:p>
      <w:pPr>
        <w:pStyle w:val="Heading1"/>
      </w:pPr>
      <w:r>
        <w:t>第三章 技术参数</w:t>
      </w:r>
    </w:p>
    <w:p>
      <w:r>
        <w:t>3.1 设备只接受甲牌品牌型号，不接受其他品牌或替代产品。</w:t>
      </w:r>
    </w:p>
    <w:p>
      <w:r>
        <w:t>3.2 所有设备应符合国家现行强制性标准，并提供出厂合格证明。</w:t>
      </w:r>
    </w:p>
    <w:p>
      <w:pPr>
        <w:pStyle w:val="Heading1"/>
      </w:pPr>
      <w:r>
        <w:t>第四章 评标办法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评分项目</w:t>
            </w:r>
          </w:p>
        </w:tc>
        <w:tc>
          <w:tcPr>
            <w:tcW w:type="dxa" w:w="4320"/>
          </w:tcPr>
          <w:p>
            <w:r>
              <w:t>分值</w:t>
            </w:r>
          </w:p>
        </w:tc>
      </w:tr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30分</w:t>
            </w:r>
          </w:p>
        </w:tc>
      </w:tr>
      <w:tr>
        <w:tc>
          <w:tcPr>
            <w:tcW w:type="dxa" w:w="4320"/>
          </w:tcPr>
          <w:p>
            <w:r>
              <w:t>商务</w:t>
            </w:r>
          </w:p>
        </w:tc>
        <w:tc>
          <w:tcPr>
            <w:tcW w:type="dxa" w:w="4320"/>
          </w:tcPr>
          <w:p>
            <w:r>
              <w:t>20分</w:t>
            </w:r>
          </w:p>
        </w:tc>
      </w:tr>
      <w:tr>
        <w:tc>
          <w:tcPr>
            <w:tcW w:type="dxa" w:w="4320"/>
          </w:tcPr>
          <w:p>
            <w:r>
              <w:t>总分</w:t>
            </w:r>
          </w:p>
        </w:tc>
        <w:tc>
          <w:tcPr>
            <w:tcW w:type="dxa" w:w="4320"/>
          </w:tcPr>
          <w:p>
            <w:r>
              <w:t>60分</w:t>
            </w:r>
          </w:p>
        </w:tc>
      </w:tr>
    </w:tbl>
    <w:p>
      <w:r>
        <w:t>评标委员会按照招标文件确定的评标标准和方法进行评审。</w:t>
      </w:r>
    </w:p>
    <w:p>
      <w:pPr>
        <w:pStyle w:val="Heading1"/>
      </w:pPr>
      <w:r>
        <w:t>第五章 合同条款</w:t>
      </w:r>
    </w:p>
    <w:p>
      <w:r>
        <w:t>5.1 付款期限：待填写。</w:t>
      </w:r>
    </w:p>
    <w:p>
      <w:r>
        <w:t>5.2 履约保证金不得超过中标合同金额的10%。</w:t>
      </w:r>
    </w:p>
    <w:p>
      <w:pPr>
        <w:pStyle w:val="Heading1"/>
      </w:pPr>
      <w:r>
        <w:t>第六章 投标须知</w:t>
      </w:r>
    </w:p>
    <w:p>
      <w:r>
        <w:t>6.1 投标截止时间：2026年10月20日 09:00 北京时间。</w:t>
      </w:r>
    </w:p>
    <w:p>
      <w:r>
        <w:t>6.2 开标时间：2026年10月20日 08:30 北京时间。</w:t>
      </w:r>
    </w:p>
    <w:p>
      <w:r>
        <w:t>6.3 投标文件应在截止时间前密封送达指定地点。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合成招标文件验收样本（非真实项目）</dc:title>
  <dc:subject>U06/U10/U11/U12 acceptance sample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