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0"/>
        </w:rPr>
        <w:t>Roast / QA memo: FlowStun LOI v2</w:t>
      </w:r>
    </w:p>
    <w:p>
      <w:pPr>
        <w:pStyle w:val="Heading1"/>
        <w:spacing w:before="160" w:after="60"/>
      </w:pPr>
      <w:r>
        <w:t>Executive verdict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v2 draft is materially stronger than the previous file. It now reads like a fundable welfare-prototype LOI rather than a generic embedded-systems project. It directly targets the RFP priorities: small wild fish caught in large quantities, limited vessel power and space, current electrical-stunning limitations, and the requirement for instantaneous, long-lasting, verifiable, scalable pre-death insensibility.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most important correction is epistemic: the draft no longer implies that motion sensors, impedance, or video can prove consciousness. It says the lab validates a humane exposure envelope and the field device verifies exposure to that envelope. That avoids the most dangerous overclaim.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main remaining weakness is still external credibility. The LOI is acceptable as an engineering-led application, but it becomes much more competitive with a named fish-welfare laboratory and an operator/process contact. Without those, the application is strong on relevance and engineering, weaker on technical feasibility and adoption access.</w:t>
      </w:r>
    </w:p>
    <w:p>
      <w:pPr>
        <w:pStyle w:val="Heading1"/>
        <w:spacing w:before="160" w:after="60"/>
      </w:pPr>
      <w:r>
        <w:t>Score against the RFP rubric</w:t>
      </w:r>
    </w:p>
    <w:p>
      <w:pPr>
        <w:spacing w:line="252" w:lineRule="auto" w:after="100"/>
      </w:pPr>
      <w:r>
        <w:rPr>
          <w:rFonts w:ascii="Aptos" w:hAnsi="Aptos"/>
          <w:sz w:val="21"/>
        </w:rPr>
        <w:t>Relevance: 9/10. The target is no longer broad fish welfare or salmonid stunning. It is the hard RFP case: small pelagic fish in bulk flows on vessels or adjacent wet-transfer operations.</w:t>
      </w:r>
    </w:p>
    <w:p>
      <w:pPr>
        <w:spacing w:line="252" w:lineRule="auto" w:after="100"/>
      </w:pPr>
      <w:r>
        <w:rPr>
          <w:rFonts w:ascii="Aptos" w:hAnsi="Aptos"/>
          <w:sz w:val="21"/>
        </w:rPr>
        <w:t>Target market: 8/10. The draft includes fish-per-hour arithmetic and a billion-fish pathway. It improves on the old version by selecting European anchovy as the first-choice model and sardine as backup. The remaining vulnerability is that access to live small pelagics is not yet proven.</w:t>
      </w:r>
    </w:p>
    <w:p>
      <w:pPr>
        <w:spacing w:line="252" w:lineRule="auto" w:after="100"/>
      </w:pPr>
      <w:r>
        <w:rPr>
          <w:rFonts w:ascii="Aptos" w:hAnsi="Aptos"/>
          <w:sz w:val="21"/>
        </w:rPr>
        <w:t>Technical feasibility: 8/10. The subsystem plan is credible: chamber, power stage, sensors, load-regulated firmware, endpoint validation, and data logging. The added field-strength/dwell-time ranges make the electrical question less hand-wavy. A specialist may still challenge whether seawater power is practical; the draft treats that as a testable risk instead of pretending it is solved.</w:t>
      </w:r>
    </w:p>
    <w:p>
      <w:pPr>
        <w:spacing w:line="252" w:lineRule="auto" w:after="100"/>
      </w:pPr>
      <w:r>
        <w:rPr>
          <w:rFonts w:ascii="Aptos" w:hAnsi="Aptos"/>
          <w:sz w:val="21"/>
        </w:rPr>
        <w:t>Verification: 9/10. This is now one of the strongest parts. The proposal distinguishes biological endpoints from field proxies, rejects reversible immobilization, and includes recovery monitoring.</w:t>
      </w:r>
    </w:p>
    <w:p>
      <w:pPr>
        <w:spacing w:line="252" w:lineRule="auto" w:after="100"/>
      </w:pPr>
      <w:r>
        <w:rPr>
          <w:rFonts w:ascii="Aptos" w:hAnsi="Aptos"/>
          <w:sz w:val="21"/>
        </w:rPr>
        <w:t>Adoption potential: 7/10. The draft now discusses transfer-point integration, bypass, pressure drop, cleaning, crew burden, footprint, and operator workflow. It is still evidence-poor until an operator contact exists.</w:t>
      </w:r>
    </w:p>
    <w:p>
      <w:pPr>
        <w:spacing w:line="252" w:lineRule="auto" w:after="100"/>
      </w:pPr>
      <w:r>
        <w:rPr>
          <w:rFonts w:ascii="Aptos" w:hAnsi="Aptos"/>
          <w:sz w:val="21"/>
        </w:rPr>
        <w:t>Cost: 8/10. USD 495,000 is defensible for a 12-month prototype plus welfare validation. The budget now allocates more to biology, which is correct. Contingency is still thin, but acceptable for LOI stage.</w:t>
      </w:r>
    </w:p>
    <w:p>
      <w:pPr>
        <w:pStyle w:val="Heading1"/>
        <w:spacing w:before="160" w:after="60"/>
      </w:pPr>
      <w:r>
        <w:t>What was improved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title and summary now say exactly what is being tested: an inline closed-loop electrical stunning system plus a biologically validated insensibility envelope. The novelty is framed correctly: not electricity itself, but controlled field geometry, load-regulated delivery, marine integration, and auditability.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draft now names a plausible first-choice model species. It also refuses the common bad shortcut of validating on zebrafish, tilapia, or salmonids and pretending the result transfers to anchovy-class fisheries.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power-electronics section now gives concrete design ranges while clearly labeling them as engineering ranges, not welfare claims. This protects against both under-specification and overclaiming.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project plan includes a hard stop if the welfare partner, species supply, or ethical approval cannot be secured. That is good grant posture: decision-quality evidence beats forced optimism.</w:t>
      </w:r>
    </w:p>
    <w:p>
      <w:pPr>
        <w:spacing w:line="252" w:lineRule="auto" w:after="100"/>
      </w:pPr>
      <w:r>
        <w:rPr>
          <w:rFonts w:ascii="Aptos" w:hAnsi="Aptos"/>
          <w:sz w:val="21"/>
        </w:rPr>
        <w:t>The adoption section now has operator-relevant constraints: deck footprint, pressure drop, cleaning time, bypass reliability, isolation, and crew burden. These are more convincing than generic scalability language.</w:t>
      </w:r>
    </w:p>
    <w:p>
      <w:pPr>
        <w:pStyle w:val="Heading1"/>
        <w:spacing w:before="160" w:after="60"/>
      </w:pPr>
      <w:r>
        <w:t>Remaining pre-submit fixes</w:t>
      </w:r>
    </w:p>
    <w:p>
      <w:pPr>
        <w:spacing w:line="252" w:lineRule="auto" w:after="100"/>
      </w:pPr>
      <w:r>
        <w:rPr>
          <w:rFonts w:ascii="Aptos" w:hAnsi="Aptos"/>
          <w:sz w:val="21"/>
        </w:rPr>
        <w:t>Fix 1: Add a named welfare partner if at all possible. Even a conditional letter from a fish welfare scientist or aquatic veterinarian would materially improve the application. Do not invent this; leave the LOI honest if no partner is secured.</w:t>
      </w:r>
    </w:p>
    <w:p>
      <w:pPr>
        <w:spacing w:line="252" w:lineRule="auto" w:after="100"/>
      </w:pPr>
      <w:r>
        <w:rPr>
          <w:rFonts w:ascii="Aptos" w:hAnsi="Aptos"/>
          <w:sz w:val="21"/>
        </w:rPr>
        <w:t>Fix 2: Add an operator/process contact. The highest-value sentence would be operational, not academic: “This could fit between pump discharge and hold/chilling/reduction intake if footprint, pressure drop, cleaning time, and bypass reliability meet X.”</w:t>
      </w:r>
    </w:p>
    <w:p>
      <w:pPr>
        <w:spacing w:line="252" w:lineRule="auto" w:after="100"/>
      </w:pPr>
      <w:r>
        <w:rPr>
          <w:rFonts w:ascii="Aptos" w:hAnsi="Aptos"/>
          <w:sz w:val="21"/>
        </w:rPr>
        <w:t>Fix 3: Confirm whether European anchovy or sardine is realistic for live validation in the geography where the partner lab operates. If not, replace the species with the real available small-pelagic model before submission.</w:t>
      </w:r>
    </w:p>
    <w:p>
      <w:pPr>
        <w:spacing w:line="252" w:lineRule="auto" w:after="100"/>
      </w:pPr>
      <w:r>
        <w:rPr>
          <w:rFonts w:ascii="Aptos" w:hAnsi="Aptos"/>
          <w:sz w:val="21"/>
        </w:rPr>
        <w:t>Fix 4: Tighten the applicant/legal identity in the form. Use “Andrii Shylenko, founder of LabWired” unless there is an incorporated legal entity. Do not imply LabWired is incorporated if it is not.</w:t>
      </w:r>
    </w:p>
    <w:p>
      <w:pPr>
        <w:spacing w:line="252" w:lineRule="auto" w:after="100"/>
      </w:pPr>
      <w:r>
        <w:rPr>
          <w:rFonts w:ascii="Aptos" w:hAnsi="Aptos"/>
          <w:sz w:val="21"/>
        </w:rPr>
        <w:t>Fix 5: Add any real prior artifact links in the form, not necessarily inside the LOI: LabWired repository, firmware/simulation examples, hardware validation work, or relevant public technical writing. The document says you can build; proof should sit one click away.</w:t>
      </w:r>
    </w:p>
    <w:p>
      <w:pPr>
        <w:pStyle w:val="Heading1"/>
        <w:spacing w:before="160" w:after="60"/>
      </w:pPr>
      <w:r>
        <w:t>Do not add</w:t>
      </w:r>
    </w:p>
    <w:p>
      <w:pPr>
        <w:spacing w:line="252" w:lineRule="auto" w:after="100"/>
      </w:pPr>
      <w:r>
        <w:rPr>
          <w:rFonts w:ascii="Aptos" w:hAnsi="Aptos"/>
          <w:sz w:val="21"/>
        </w:rPr>
        <w:t>Do not add a broad “all fish” claim. That would weaken the application.</w:t>
      </w:r>
    </w:p>
    <w:p>
      <w:pPr>
        <w:spacing w:line="252" w:lineRule="auto" w:after="100"/>
      </w:pPr>
      <w:r>
        <w:rPr>
          <w:rFonts w:ascii="Aptos" w:hAnsi="Aptos"/>
          <w:sz w:val="21"/>
        </w:rPr>
        <w:t>Do not claim computer vision verifies insensibility. It does not.</w:t>
      </w:r>
    </w:p>
    <w:p>
      <w:pPr>
        <w:spacing w:line="252" w:lineRule="auto" w:after="100"/>
      </w:pPr>
      <w:r>
        <w:rPr>
          <w:rFonts w:ascii="Aptos" w:hAnsi="Aptos"/>
          <w:sz w:val="21"/>
        </w:rPr>
        <w:t>Do not promise a live vessel deployment in 12 months. The current plan correctly stops at lab validation and non-live vessel-realistic testing.</w:t>
      </w:r>
    </w:p>
    <w:p>
      <w:pPr>
        <w:spacing w:line="252" w:lineRule="auto" w:after="100"/>
      </w:pPr>
      <w:r>
        <w:rPr>
          <w:rFonts w:ascii="Aptos" w:hAnsi="Aptos"/>
          <w:sz w:val="21"/>
        </w:rPr>
        <w:t>Do not cut the welfare subcontract to make the hardware budget larger. Validation is the credibility core.</w:t>
      </w:r>
    </w:p>
    <w:p>
      <w:pPr>
        <w:spacing w:line="252" w:lineRule="auto" w:after="100"/>
      </w:pPr>
      <w:r>
        <w:rPr>
          <w:rFonts w:ascii="Aptos" w:hAnsi="Aptos"/>
          <w:sz w:val="21"/>
        </w:rPr>
        <w:t>Do not over-specify exact stunning parameters before experiments. The point of the grant is to find whether a humane envelope exists.</w:t>
      </w:r>
    </w:p>
    <w:p>
      <w:pPr>
        <w:pStyle w:val="Heading1"/>
        <w:spacing w:before="160" w:after="60"/>
      </w:pPr>
      <w:r>
        <w:t>Final posture</w:t>
      </w:r>
    </w:p>
    <w:p>
      <w:pPr>
        <w:spacing w:line="252" w:lineRule="auto" w:after="100"/>
      </w:pPr>
      <w:r>
        <w:rPr>
          <w:rFonts w:ascii="Aptos" w:hAnsi="Aptos"/>
          <w:sz w:val="21"/>
        </w:rPr>
        <w:t>This is now a serious LOI draft. If submitted exactly as-is, it is competitive enough to be read seriously. With a named welfare lab and one operator workflow note, it moves from “strong engineering-led attempt” to “credible interdisciplinary prototype application.” The next improvement should come from external validation, not another round of prose.</w:t>
      </w:r>
    </w:p>
    <w:sectPr>
      <w:footerReference w:type="default" r:id="rId9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 xml:space="preserve">FlowStun roast / QA - </w:t>
    </w:r>
    <w:r>
      <w:rPr>
        <w:rFonts w:ascii="Aptos" w:hAnsi="Aptos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