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0"/>
        </w:rPr>
        <w:t>Letter of Intent: FlowStun - closed-loop electrical stunning and validated insensibility envelope for high-throughput small pelagic fish on vessels</w:t>
      </w:r>
    </w:p>
    <w:p>
      <w:pPr>
        <w:jc w:val="center"/>
      </w:pPr>
      <w:r>
        <w:rPr>
          <w:rFonts w:ascii="Aptos" w:hAnsi="Aptos"/>
          <w:sz w:val="21"/>
        </w:rPr>
        <w:t>Applicant: Andrii Shylenko, founder of LabWired, Budapest, Hungary</w:t>
      </w:r>
    </w:p>
    <w:p>
      <w:pPr>
        <w:jc w:val="center"/>
      </w:pPr>
      <w:r>
        <w:rPr>
          <w:rFonts w:ascii="Aptos" w:hAnsi="Aptos"/>
          <w:sz w:val="21"/>
        </w:rPr>
        <w:t>Requested funding: USD 495,000 over 12 months</w:t>
      </w:r>
    </w:p>
    <w:p>
      <w:pPr>
        <w:pStyle w:val="Heading1"/>
        <w:spacing w:before="160" w:after="60"/>
      </w:pPr>
      <w:r>
        <w:t>Summary</w:t>
      </w:r>
    </w:p>
    <w:p>
      <w:pPr>
        <w:spacing w:line="252" w:lineRule="auto" w:after="100"/>
      </w:pPr>
      <w:r>
        <w:rPr>
          <w:rFonts w:ascii="Aptos" w:hAnsi="Aptos"/>
          <w:sz w:val="21"/>
        </w:rPr>
        <w:t>FlowStun is an inline electrical stunning and verification system for small pelagic fish handled in bulk. The goal is not to build a laboratory stunner for salmon, trout, or other fish that are already compatible with individual handling. The goal is to test whether a compact wet exposure module can render anchovy-class fish immediately insensible, keep them insensible until irreversible death in the paired downstream process, and do so under the throughput, space, power, corrosion, safety, and cleaning constraints of real fishing operations.</w:t>
      </w:r>
    </w:p>
    <w:p>
      <w:pPr>
        <w:spacing w:line="252" w:lineRule="auto" w:after="100"/>
      </w:pPr>
      <w:r>
        <w:rPr>
          <w:rFonts w:ascii="Aptos" w:hAnsi="Aptos"/>
          <w:sz w:val="21"/>
        </w:rPr>
        <w:t>The first-choice biological model is European anchovy (Engraulis encrasicolus), with European pilchard/sardine (Sardina pilchardus) as the backup if the contracted welfare laboratory determines that supply or handling reliability is materially better. Both are small pelagic species in the relevant size and morphology class. The model species will be locked in Month 1, before live work, and the project will not infer species-general success from a single model. The transfer case is to anchoveta, anchovy, sardine, herring, sprat, menhaden, and similar fisheries where individual fish counts are extremely high and current slaughter practice often treats fish as a mass material stream rather than as animals requiring a welfare-critical pre-kill step.</w:t>
      </w:r>
    </w:p>
    <w:p>
      <w:pPr>
        <w:spacing w:line="252" w:lineRule="auto" w:after="100"/>
      </w:pPr>
      <w:r>
        <w:rPr>
          <w:rFonts w:ascii="Aptos" w:hAnsi="Aptos"/>
          <w:sz w:val="21"/>
        </w:rPr>
        <w:t>The device is a short nonconductive wet channel installed at an existing transfer bottleneck: after pumping, brailing, or dewatering and before the hold, ice slurry, refrigerated seawater, bleeding, reduction intake, or other killing step. The novelty is not the claim that electricity can affect fish; it is the combination of small-pelagic process integration, load-regulated exposure, interchangeable field geometry, welfare-lab validation, and auditable field operation under marine constraints. It delivers a calibrated electric field through seawater or process water while measuring voltage, current, impedance, conductivity, temperature, flow, fish-density proxies, and residence time. Replaceable electrode cartridges allow systematic comparison of field geometries. Firmware regulates the waveform against the measured load instead of commanding a blind voltage. The data logger records each experimental run and each production-equivalent window so operators can later show whether exposure stayed inside a biologically validated humane envelope.</w:t>
      </w:r>
    </w:p>
    <w:p>
      <w:pPr>
        <w:spacing w:line="252" w:lineRule="auto" w:after="100"/>
      </w:pPr>
      <w:r>
        <w:rPr>
          <w:rFonts w:ascii="Aptos" w:hAnsi="Aptos"/>
          <w:sz w:val="21"/>
        </w:rPr>
        <w:t>The central risk is verification. Motion cessation, impedance changes, and video do not prove unconsciousness. FlowStun therefore separates biological validation from field verification. A qualified fish-welfare laboratory will define the accepted endpoints for insensibility and recovery: loss of equilibrium, opercular rhythm where relevant, vestibulo-ocular response, response to handling or noxious stimulation, recovery monitoring, and electrophysiology if feasible for the species and body size. Field verification will not claim to measure consciousness directly. It will verify exposure to a validated envelope and support that with sample-based reflex checks and audit logs. Reversible immobilization is a failure, not a partial success.</w:t>
      </w:r>
    </w:p>
    <w:p>
      <w:pPr>
        <w:spacing w:line="252" w:lineRule="auto" w:after="100"/>
      </w:pPr>
      <w:r>
        <w:rPr>
          <w:rFonts w:ascii="Aptos" w:hAnsi="Aptos"/>
          <w:sz w:val="21"/>
        </w:rPr>
        <w:t>Within 12 months, the project will deliver a bench-tested prototype, a non-live engineering data set, a validated or falsified humane exposure envelope for one small-pelagic model, a vessel-realistic pilot design, a bill of materials, and a go/no-go recommendation for a larger pilot.</w:t>
      </w:r>
    </w:p>
    <w:p>
      <w:pPr>
        <w:pStyle w:val="Heading1"/>
        <w:spacing w:before="160" w:after="60"/>
      </w:pPr>
      <w:r>
        <w:t>Problem and target market</w:t>
      </w:r>
    </w:p>
    <w:p>
      <w:pPr>
        <w:spacing w:line="252" w:lineRule="auto" w:after="100"/>
      </w:pPr>
      <w:r>
        <w:rPr>
          <w:rFonts w:ascii="Aptos" w:hAnsi="Aptos"/>
          <w:sz w:val="21"/>
        </w:rPr>
        <w:t>Coefficient's RFP asks for technologies and prototypes that render pre-death insensibility instantaneous, long-lasting, verifiable, and scalable under aquaculture and fisheries constraints. It places special emphasis on fishing vessels with limited power and space, small wild fish caught in large quantities, and alternatives to or improvements on existing electrical stunning. FlowStun is aimed directly at that intersection.</w:t>
      </w:r>
    </w:p>
    <w:p>
      <w:pPr>
        <w:spacing w:line="252" w:lineRule="auto" w:after="100"/>
      </w:pPr>
      <w:r>
        <w:rPr>
          <w:rFonts w:ascii="Aptos" w:hAnsi="Aptos"/>
          <w:sz w:val="21"/>
        </w:rPr>
        <w:t>Small pelagic fish create a different problem from salmonid aquaculture. They arrive in dense, variable flows. They may be pumped, crowded, brailed, transferred through pipes, discharged to tanks, or chilled in slurry while still conscious. The process is optimized for tonnes per hour, not individual animal handling. Any welfare intervention that requires orientation, manual placement, low throughput, large deck footprint, chemical residues, or constant crew attention is unlikely to be adopted.</w:t>
      </w:r>
    </w:p>
    <w:p>
      <w:pPr>
        <w:spacing w:line="252" w:lineRule="auto" w:after="100"/>
      </w:pPr>
      <w:r>
        <w:rPr>
          <w:rFonts w:ascii="Aptos" w:hAnsi="Aptos"/>
          <w:sz w:val="21"/>
        </w:rPr>
        <w:t>The impact case comes from individual-animal scale. A one tonne/hour lane processing 10-20 g fish handles roughly 50,000-100,000 fish/hour. At 1,000 operating hours per year, one lane affects about 50-100 million fish/year. A commercial design using parallel lanes on a modest number of vessels or processing points could reach hundreds of millions to billions of fish/year. This arithmetic is not a welfare result; it is the scale filter that justifies testing a low-cost inline method for small fish.</w:t>
      </w:r>
    </w:p>
    <w:p>
      <w:pPr>
        <w:spacing w:line="252" w:lineRule="auto" w:after="100"/>
      </w:pPr>
      <w:r>
        <w:rPr>
          <w:rFonts w:ascii="Aptos" w:hAnsi="Aptos"/>
          <w:sz w:val="21"/>
        </w:rPr>
        <w:t>Existing humane-slaughter methods do not transfer cleanly to this segment. Percussive stunning is strong when fish can be oriented individually, but small pelagics are usually handled as bulk flow. Ice slurry and asphyxia do not provide immediate reliable insensibility. Chemical or gas methods create adoption, residue, crew-safety, food-safety, or regulatory barriers. Electrical stunning is physically plausible, but existing systems are often designed for controlled farm flows, larger animals, known water chemistry, or fixed plant infrastructure. The hard problem is not proving that electricity can stun fish in principle. It is whether an auditable, affordable, safe, marine-compatible module can produce a reliable humane exposure in dense conductive flow.</w:t>
      </w:r>
    </w:p>
    <w:p>
      <w:pPr>
        <w:pStyle w:val="Heading1"/>
        <w:spacing w:before="160" w:after="60"/>
      </w:pPr>
      <w:r>
        <w:t>Technical approach</w:t>
      </w:r>
    </w:p>
    <w:p>
      <w:pPr>
        <w:spacing w:line="252" w:lineRule="auto" w:after="100"/>
      </w:pPr>
      <w:r>
        <w:rPr>
          <w:rFonts w:ascii="Aptos" w:hAnsi="Aptos"/>
          <w:sz w:val="21"/>
        </w:rPr>
        <w:t>FlowStun has five subsystems.</w:t>
      </w:r>
    </w:p>
    <w:p>
      <w:pPr>
        <w:spacing w:line="252" w:lineRule="auto" w:after="100"/>
      </w:pPr>
      <w:r>
        <w:rPr>
          <w:rFonts w:ascii="Aptos" w:hAnsi="Aptos"/>
          <w:sz w:val="21"/>
        </w:rPr>
        <w:t>First, the exposure chamber is a food-contact-compatible, nonconductive wet channel with removable electrode cartridges. Candidate geometries include parallel plates, segmented rings, opposed curved plates, and shielded/interdigitated structures. The design variables are channel length, cross-section, electrode spacing, baffles, residence-time distribution, pressure drop, cleanability, and field uniformity. The commercial concept is parallelized lanes rather than one oversized high-current chamber, because parallelization gives safer currents, easier maintenance, and a clearer path to different vessel capacities.</w:t>
      </w:r>
    </w:p>
    <w:p>
      <w:pPr>
        <w:spacing w:line="252" w:lineRule="auto" w:after="100"/>
      </w:pPr>
      <w:r>
        <w:rPr>
          <w:rFonts w:ascii="Aptos" w:hAnsi="Aptos"/>
          <w:sz w:val="21"/>
        </w:rPr>
        <w:t>Second, the power stage uses isolated ship or shore power, current limiting, monitored output, and controlled AC or biphasic pulsed waveforms. The first engineering envelope will characterize approximately 100-600 V/m equivalent field strength, 0.5-3.0 second dwell time, salinity from brackish to seawater, and peak and average power consistent with small-vessel constraints. These numbers are design ranges, not welfare claims. Firmware will sweep frequency, field strength, current density, pulse width, duty cycle, and exposure duration within safety limits. Control will close the loop on measured current, voltage, conductivity, and impedance so salinity shifts, air gaps, fouling, and density changes are detected rather than silently changing the delivered dose.</w:t>
      </w:r>
    </w:p>
    <w:p>
      <w:pPr>
        <w:spacing w:line="252" w:lineRule="auto" w:after="100"/>
      </w:pPr>
      <w:r>
        <w:rPr>
          <w:rFonts w:ascii="Aptos" w:hAnsi="Aptos"/>
          <w:sz w:val="21"/>
        </w:rPr>
        <w:t>Third, the sensor layer measures the conditions that determine actual exposure: voltage, current, impedance spectrum or sampled load response, conductivity, temperature, flow velocity, chamber fill state, turbidity or density proxy, and residence time. Fault logic will flag air entrainment, short circuits, fouled electrodes, abnormal heating, overload, fish density outside validation, and bypass operation. Required safety features include galvanic isolation, ground-fault detection, emergency stop, cover interlocks, output discharge paths, current and temperature limits, marine-grade sealed connectors, and fail-open mechanical bypass so the vessel process is not blocked by a disabled prototype.</w:t>
      </w:r>
    </w:p>
    <w:p>
      <w:pPr>
        <w:spacing w:line="252" w:lineRule="auto" w:after="100"/>
      </w:pPr>
      <w:r>
        <w:rPr>
          <w:rFonts w:ascii="Aptos" w:hAnsi="Aptos"/>
          <w:sz w:val="21"/>
        </w:rPr>
        <w:t>Fourth, biological instrumentation links engineering variables to welfare endpoints. High-speed video can quantify motion, orientation, convulsions, and recovery behavior, but only as supporting evidence. The primary endpoints will be specified by the welfare partner and approved before trials. If electrophysiology is impractical for anchovy-size fish, the protocol will explicitly justify the behavioral/reflex endpoint battery and recovery-monitoring period. The project will not choose endpoints after seeing results.</w:t>
      </w:r>
    </w:p>
    <w:p>
      <w:pPr>
        <w:spacing w:line="252" w:lineRule="auto" w:after="100"/>
      </w:pPr>
      <w:r>
        <w:rPr>
          <w:rFonts w:ascii="Aptos" w:hAnsi="Aptos"/>
          <w:sz w:val="21"/>
        </w:rPr>
        <w:t>Fifth, the data layer produces reproducible evidence rather than anecdotes. Each run logs waveform, electrode geometry, chamber configuration, calibration status, water properties, flow, density proxy, exposure duration, post-exposure endpoint scores, recovery observations, adverse outcomes, and operator notes. The deliverable will include structured data tables, firmware logs, schematic-level interface documentation, and a cost/adoption model that Coefficient can compare with other approaches.</w:t>
      </w:r>
    </w:p>
    <w:p>
      <w:pPr>
        <w:pStyle w:val="Heading1"/>
        <w:spacing w:before="160" w:after="60"/>
      </w:pPr>
      <w:r>
        <w:t>Research and project plan</w:t>
      </w:r>
    </w:p>
    <w:p>
      <w:pPr>
        <w:spacing w:line="252" w:lineRule="auto" w:after="100"/>
      </w:pPr>
      <w:r>
        <w:rPr>
          <w:rFonts w:ascii="Aptos" w:hAnsi="Aptos"/>
          <w:b/>
          <w:sz w:val="21"/>
        </w:rPr>
        <w:t>Phase 1, months 1-3:</w:t>
      </w:r>
      <w:r>
        <w:rPr>
          <w:rFonts w:ascii="Aptos" w:hAnsi="Aptos"/>
          <w:sz w:val="21"/>
        </w:rPr>
        <w:t xml:space="preserve"> non-live engineering characterization. I will build the first chamber, electrode cartridges, isolated power stage, sensing board, firmware, and logging software. Tests will use seawater/brine, resistor networks, gel loads, carcass or unavoidable-mortality samples where available, and controlled flow loops. The objective is to map field uniformity, load behavior, thermal rise, residence-time distribution, clogging, cleaning burden, pressure drop, and failure modes before live trials. Success criteria are stable regulated output across realistic conductivity and load ranges, automatic fault detection, safe shutdown, and two or three electrode geometries suitable for biological testing.</w:t>
      </w:r>
    </w:p>
    <w:p>
      <w:pPr>
        <w:spacing w:line="252" w:lineRule="auto" w:after="100"/>
      </w:pPr>
      <w:r>
        <w:rPr>
          <w:rFonts w:ascii="Aptos" w:hAnsi="Aptos"/>
          <w:b/>
          <w:sz w:val="21"/>
        </w:rPr>
        <w:t>Phase 2, months 4-6:</w:t>
      </w:r>
      <w:r>
        <w:rPr>
          <w:rFonts w:ascii="Aptos" w:hAnsi="Aptos"/>
          <w:sz w:val="21"/>
        </w:rPr>
        <w:t xml:space="preserve"> partner protocol and reduced live-search space. A contracted fish-welfare laboratory will finalize species, endpoints, sample sizes, stopping rules, animal-use approvals, and downstream death method. Non-live tests with the selected species will evaluate blockage, mechanical damage, conductivity effects, and residence-time variation. This phase narrows the live-trial matrix to a small number of pre-specified exposure envelopes. If the welfare partner cannot secure the species, protocol, or ethical approval on a credible schedule, the project stops or returns only non-live engineering findings rather than running weak biology.</w:t>
      </w:r>
    </w:p>
    <w:p>
      <w:pPr>
        <w:spacing w:line="252" w:lineRule="auto" w:after="100"/>
      </w:pPr>
      <w:r>
        <w:rPr>
          <w:rFonts w:ascii="Aptos" w:hAnsi="Aptos"/>
          <w:b/>
          <w:sz w:val="21"/>
        </w:rPr>
        <w:t>Phase 3, months 7-9:</w:t>
      </w:r>
      <w:r>
        <w:rPr>
          <w:rFonts w:ascii="Aptos" w:hAnsi="Aptos"/>
          <w:sz w:val="21"/>
        </w:rPr>
        <w:t xml:space="preserve"> controlled live-fish validation. Live testing will occur only in an approved facility under the partner's protocol. The study will compare pre-specified exposure envelopes against sham or current-practice controls where ethically permitted. Primary outcomes are immediate insensibility, no recovery before death under the paired downstream process, and absence of unacceptable handling harm. Engineering outcomes are delivered dose stability, power draw, fault rate, density tolerance, and sensitivity to water chemistry. A negative result is acceptable: if no humane envelope emerges within safe and practical operating limits, the project stops before any vessel live deployment.</w:t>
      </w:r>
    </w:p>
    <w:p>
      <w:pPr>
        <w:spacing w:line="252" w:lineRule="auto" w:after="100"/>
      </w:pPr>
      <w:r>
        <w:rPr>
          <w:rFonts w:ascii="Aptos" w:hAnsi="Aptos"/>
          <w:b/>
          <w:sz w:val="21"/>
        </w:rPr>
        <w:t>Phase 4, months 10-12:</w:t>
      </w:r>
      <w:r>
        <w:rPr>
          <w:rFonts w:ascii="Aptos" w:hAnsi="Aptos"/>
          <w:sz w:val="21"/>
        </w:rPr>
        <w:t xml:space="preserve"> vessel-realistic pilot design and adoption package. I will harden the design for washdown, corrosion, vibration, connector abuse, electrode replacement, cleaning, bypass, mounting, and operator workflow. The target pilot concept is a 1-2 tonne/hour/lane module with parallel lanes for higher throughput, average power in the single-digit kW/lane range if validation supports it, quick-swap wet-contact parts, and simple operator status output. A dry or non-live dockside test with an operator or processor contact will be pursued. Final outputs are the pilot design, cost model, risk register, and full-proposal plan if the welfare data justify continuation.</w:t>
      </w:r>
    </w:p>
    <w:p>
      <w:pPr>
        <w:pStyle w:val="Heading1"/>
        <w:spacing w:before="160" w:after="60"/>
      </w:pPr>
      <w:r>
        <w:t>Budget and organizational structure</w:t>
      </w:r>
    </w:p>
    <w:p>
      <w:pPr>
        <w:spacing w:line="252" w:lineRule="auto" w:after="100"/>
      </w:pPr>
      <w:r>
        <w:rPr>
          <w:rFonts w:ascii="Aptos" w:hAnsi="Aptos"/>
          <w:sz w:val="21"/>
        </w:rPr>
        <w:t>The requested budget is USD 495,000 for 12 months: engineering lead labor and project management, USD 145,000; fish-welfare laboratory subcontract, USD 145,000; prototype materials, machining, electrodes, enclosure, pumps, sensors, and safety hardware, USD 82,000; power-electronics and test equipment, isolation hardware, cameras, DAQ, and calibration, USD 55,000; mechanical/marine design and fabrication support, USD 30,000; animal sourcing, shipping, partner-site logistics, travel, and operator discovery, USD 18,000; compliance, animal-use administration, insurance, and legal support, USD 10,000; contingency, USD 10,000.</w:t>
      </w:r>
    </w:p>
    <w:p>
      <w:pPr>
        <w:spacing w:line="252" w:lineRule="auto" w:after="100"/>
      </w:pPr>
      <w:r>
        <w:rPr>
          <w:rFonts w:ascii="Aptos" w:hAnsi="Aptos"/>
          <w:sz w:val="21"/>
        </w:rPr>
        <w:t>I will lead engineering requirements, firmware, control architecture, power-stage integration, data logging, test automation, prototype integration, and risk management. My background is embedded firmware and hardware-facing systems. Through LabWired, I build deterministic firmware simulation and virtual-hardware validation infrastructure for embedded teams, including microcontroller targets, CI workflows, hardware-in-the-loop concepts, structured logging, and reproducible test execution. That experience is directly relevant to the parts of FlowStun that fail if treated informally: deterministic control, sensor calibration, fault handling, electrical safety assumptions, audit logs, and rapid hardware/software iteration.</w:t>
      </w:r>
    </w:p>
    <w:p>
      <w:pPr>
        <w:spacing w:line="252" w:lineRule="auto" w:after="100"/>
      </w:pPr>
      <w:r>
        <w:rPr>
          <w:rFonts w:ascii="Aptos" w:hAnsi="Aptos"/>
          <w:sz w:val="21"/>
        </w:rPr>
        <w:t>The project requires external capabilities before live work: a fish-welfare scientist or aquatic veterinarian to own biological validation and animal-use protocol, and a mechanical/marine fabricator familiar with wet food-processing or vessel equipment. The welfare subcontract will be a named critical-path dependency before award execution or before any live animal work. An operator or processor contact will be recruited for workflow review and, if available, non-live dockside testing. I will not present a field-ready welfare claim without biological sign-off.</w:t>
      </w:r>
    </w:p>
    <w:p>
      <w:pPr>
        <w:pStyle w:val="Heading1"/>
        <w:spacing w:before="160" w:after="60"/>
      </w:pPr>
      <w:r>
        <w:t>Adoption, cost-effectiveness, and regulatory considerations</w:t>
      </w:r>
    </w:p>
    <w:p>
      <w:pPr>
        <w:spacing w:line="252" w:lineRule="auto" w:after="100"/>
      </w:pPr>
      <w:r>
        <w:rPr>
          <w:rFonts w:ascii="Aptos" w:hAnsi="Aptos"/>
          <w:sz w:val="21"/>
        </w:rPr>
        <w:t>The adoption premise is that the device must fit an existing transfer point. It should not require individual handling, major crew retraining, chemical inputs, large deck area, or slower unloading. The operator should see an inline wet module with self-test, bypass, status indication, replaceable electrode cartridges, and downloadable logs. Maintenance should resemble cleaning and replacing wet-contact parts, not operating a research instrument. Mature hardware cost target is USD 8,000-20,000 per lane, excluding installation, with operating cost driven mainly by electricity and electrode replacement. Initial adoption criteria will include deck footprint, pressure drop, cleaning time, bypass reliability, electrical isolation, and whether crew can operate the unit without adding a specialist role. If one lane handles 50-100 million fish/year, the hardware cost per fish can be low enough for small-pelagic economics, but only if throughput and cleaning burden are real rather than assumed.</w:t>
      </w:r>
    </w:p>
    <w:p>
      <w:pPr>
        <w:spacing w:line="252" w:lineRule="auto" w:after="100"/>
      </w:pPr>
      <w:r>
        <w:rPr>
          <w:rFonts w:ascii="Aptos" w:hAnsi="Aptos"/>
          <w:sz w:val="21"/>
        </w:rPr>
        <w:t>Food safety and regulatory acceptability will be built into the design. The chamber will use food-contact-compatible materials, cleanable surfaces, no residues, no consumable stunning agents, no intentional contamination, and documented electrical safety controls. Because rules differ across jurisdictions and between wild capture, aquaculture, and reduction operations, this 12-month project will not claim regulatory clearance. It will identify the likely approval pathway, vessel safety documentation, electrical compliance issues, and any obvious regulatory blockers before a fleet pilot is proposed.</w:t>
      </w:r>
    </w:p>
    <w:p>
      <w:pPr>
        <w:pStyle w:val="Heading1"/>
        <w:spacing w:before="160" w:after="60"/>
      </w:pPr>
      <w:r>
        <w:t>Risks and go/no-go criteria</w:t>
      </w:r>
    </w:p>
    <w:p>
      <w:pPr>
        <w:spacing w:line="252" w:lineRule="auto" w:after="100"/>
      </w:pPr>
      <w:r>
        <w:rPr>
          <w:rFonts w:ascii="Aptos" w:hAnsi="Aptos"/>
          <w:sz w:val="21"/>
        </w:rPr>
        <w:t>The main welfare risk is false verification: stopping movement without producing insensibility. Mitigation is strict separation of lab endpoints from field proxies, recovery monitoring, conservative exposure envelopes, and sample-based audits. The main engineering risk is nonuniform electric field exposure in conductive water and dense fish streams. Mitigation is chamber mapping, modular geometries, residence-time measurement, density limits, and parallel lanes. The main adoption risk is that the device clogs, slows transfer, shocks crew, corrodes, or is hard to clean. Mitigation is marine-grade isolation, bypass, washdown design, quick-swap cartridges, and operator review. The main scale risk is species specificity. Mitigation is a high-impact model species, explicit limits, and expansion only to the next two species if the first data are strong.</w:t>
      </w:r>
    </w:p>
    <w:p>
      <w:pPr>
        <w:spacing w:line="252" w:lineRule="auto" w:after="100"/>
      </w:pPr>
      <w:r>
        <w:rPr>
          <w:rFonts w:ascii="Aptos" w:hAnsi="Aptos"/>
          <w:sz w:val="21"/>
        </w:rPr>
        <w:t>A go decision requires immediate insensibility at practical density and flow, no observed recovery before death in the paired downstream process, stable electrical control across realistic water conditions, no unacceptable tissue damage or handling harm, credible path to at least 1 tonne/hour/lane, and mature hardware cost compatible with low-margin fisheries. A no-go decision occurs if insensibility cannot be distinguished from immobilization, recovery occurs before death, exposure cannot be made uniform in dense conductive flow, power or safety requirements are vessel-incompatible, or operators would need to accept implausible process disruption.</w:t>
      </w:r>
    </w:p>
    <w:p>
      <w:pPr>
        <w:pStyle w:val="Heading1"/>
        <w:spacing w:before="160" w:after="60"/>
      </w:pPr>
      <w:r>
        <w:t>Why this project should be funded</w:t>
      </w:r>
    </w:p>
    <w:p>
      <w:pPr>
        <w:spacing w:line="252" w:lineRule="auto" w:after="100"/>
      </w:pPr>
      <w:r>
        <w:rPr>
          <w:rFonts w:ascii="Aptos" w:hAnsi="Aptos"/>
          <w:sz w:val="21"/>
        </w:rPr>
        <w:t>FlowStun is a disciplined test of a high-upside case: small wild fish in large quantities, on vessels and processing lines where limited space, power, verification, and economics block conventional humane slaughter methods. It does not assume electrical stunning is automatically humane. It asks whether controlled field geometry, closed-loop power delivery, and rigorous biological validation can turn an existing physical principle into a practical pre-kill welfare intervention for one of the largest individual-animal segments in food production.</w:t>
      </w:r>
    </w:p>
    <w:p>
      <w:pPr>
        <w:spacing w:line="252" w:lineRule="auto" w:after="100"/>
      </w:pPr>
      <w:r>
        <w:rPr>
          <w:rFonts w:ascii="Aptos" w:hAnsi="Aptos"/>
          <w:sz w:val="21"/>
        </w:rPr>
        <w:t>A positive result would justify a larger fleet or processor pilot and could plausibly affect billions of fish if adopted across small-pelagic fisheries. A negative result would still be valuable because it would show whether seawater conductivity, dense flow, recovery, power, handling, or cost makes this route unsuitable. The deliverable is therefore not just hardware; it is decision-quality evidence for Coefficient's next funding stage.</w:t>
      </w:r>
    </w:p>
    <w:p>
      <w:pPr>
        <w:pStyle w:val="Heading1"/>
        <w:spacing w:before="160" w:after="60"/>
      </w:pPr>
      <w:r>
        <w:t>References</w:t>
      </w:r>
    </w:p>
    <w:p>
      <w:pPr>
        <w:spacing w:line="252" w:lineRule="auto" w:after="100"/>
      </w:pPr>
      <w:r>
        <w:rPr>
          <w:rFonts w:ascii="Aptos" w:hAnsi="Aptos"/>
          <w:sz w:val="21"/>
        </w:rPr>
        <w:t>Coefficient Giving. Request for Proposals: Humane Fish Slaughter Research/Prototypes. 2026.</w:t>
      </w:r>
    </w:p>
    <w:p>
      <w:pPr>
        <w:spacing w:line="252" w:lineRule="auto" w:after="100"/>
      </w:pPr>
      <w:r>
        <w:rPr>
          <w:rFonts w:ascii="Aptos" w:hAnsi="Aptos"/>
          <w:sz w:val="21"/>
        </w:rPr>
        <w:t>Coefficient Giving. Rubric for Humane Fish Slaughter RFP applicants. 2026.</w:t>
      </w:r>
    </w:p>
    <w:p>
      <w:pPr>
        <w:spacing w:line="252" w:lineRule="auto" w:after="100"/>
      </w:pPr>
      <w:r>
        <w:rPr>
          <w:rFonts w:ascii="Aptos" w:hAnsi="Aptos"/>
          <w:sz w:val="21"/>
        </w:rPr>
        <w:t>Coefficient Giving. Technical context for Humane Fish Slaughter RFP applicants. 2026.</w:t>
      </w:r>
    </w:p>
    <w:p>
      <w:pPr>
        <w:spacing w:line="252" w:lineRule="auto" w:after="100"/>
      </w:pPr>
      <w:r>
        <w:rPr>
          <w:rFonts w:ascii="Aptos" w:hAnsi="Aptos"/>
          <w:sz w:val="21"/>
        </w:rPr>
        <w:t>Mood, A. and Brooke, P. Estimating the number of fishes caught from the wild annually from 2000 to 2019. Animal Welfare, 2024.</w:t>
      </w:r>
    </w:p>
    <w:p>
      <w:pPr>
        <w:spacing w:line="252" w:lineRule="auto" w:after="100"/>
      </w:pPr>
      <w:r>
        <w:rPr>
          <w:rFonts w:ascii="Aptos" w:hAnsi="Aptos"/>
          <w:sz w:val="21"/>
        </w:rPr>
        <w:t>WOAH. Aquatic Animal Health Code, Chapter 7.3: Welfare aspects of stunning and killing of farmed fish for human consumption.</w:t>
      </w:r>
    </w:p>
    <w:p>
      <w:pPr>
        <w:spacing w:line="252" w:lineRule="auto" w:after="100"/>
      </w:pPr>
      <w:r>
        <w:rPr>
          <w:rFonts w:ascii="Aptos" w:hAnsi="Aptos"/>
          <w:sz w:val="21"/>
        </w:rPr>
        <w:t>Lines, J.A. et al. Electric stunning: a humane slaughter method for trout. Aquacultural Engineering, 2003.</w:t>
      </w:r>
    </w:p>
    <w:p>
      <w:pPr>
        <w:spacing w:line="252" w:lineRule="auto" w:after="100"/>
      </w:pPr>
      <w:r>
        <w:rPr>
          <w:rFonts w:ascii="Aptos" w:hAnsi="Aptos"/>
          <w:sz w:val="21"/>
        </w:rPr>
        <w:t>van de Vis, H. et al. Is humane slaughter of fish possible for industry? Aquaculture Research, 2003.</w:t>
      </w:r>
    </w:p>
    <w:p>
      <w:pPr>
        <w:spacing w:line="252" w:lineRule="auto" w:after="100"/>
      </w:pPr>
      <w:r>
        <w:rPr>
          <w:rFonts w:ascii="Aptos" w:hAnsi="Aptos"/>
          <w:sz w:val="21"/>
        </w:rPr>
        <w:t>Poli, B.M. et al. Fish welfare and quality as affected by pre-slaughter and slaughter management. Aquaculture International, 2005.</w:t>
      </w:r>
    </w:p>
    <w:sectPr>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FlowStun LOI - </w:t>
    </w:r>
    <w:r>
      <w:rPr>
        <w:rFonts w:ascii="Aptos" w:hAnsi="Aptos"/>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