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84680">
      <w:pPr>
        <w:pStyle w:val="15"/>
        <w:jc w:val="both"/>
        <w:rPr>
          <w:rFonts w:hint="eastAsia" w:ascii="TypeLand 康熙字典體" w:hAnsi="TypeLand 康熙字典體" w:eastAsia="华文楷体"/>
          <w:sz w:val="52"/>
          <w:szCs w:val="52"/>
          <w:lang w:eastAsia="zh-CN"/>
        </w:rPr>
      </w:pPr>
    </w:p>
    <w:p w14:paraId="5FD84681">
      <w:pPr>
        <w:pStyle w:val="15"/>
        <w:rPr>
          <w:rFonts w:hint="eastAsia" w:ascii="TypeLand 康熙字典體" w:hAnsi="TypeLand 康熙字典體" w:eastAsia="宋体"/>
          <w:lang w:eastAsia="zh-CN"/>
        </w:rPr>
      </w:pPr>
      <w:r>
        <w:rPr>
          <w:rFonts w:ascii="TypeLand 康熙字典體" w:hAnsi="TypeLand 康熙字典體" w:eastAsia="宋体"/>
          <w:lang w:eastAsia="zh-CN"/>
        </w:rPr>
        <w:drawing>
          <wp:inline distT="0" distB="0" distL="114300" distR="114300">
            <wp:extent cx="3849370" cy="3849370"/>
            <wp:effectExtent l="0" t="0" r="6350" b="6350"/>
            <wp:docPr id="2" name="图片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g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4682">
      <w:pPr>
        <w:pStyle w:val="15"/>
        <w:rPr>
          <w:rFonts w:hint="eastAsia" w:ascii="TypeLand 康熙字典體" w:hAnsi="TypeLand 康熙字典體" w:eastAsia="宋体"/>
          <w:lang w:eastAsia="zh-CN"/>
          <w14:textFill>
            <w14:gradFill>
              <w14:gsLst>
                <w14:gs w14:pos="48687">
                  <w14:srgbClr w14:val="7AD9FB"/>
                </w14:gs>
                <w14:gs w14:pos="3000">
                  <w14:srgbClr w14:val="2C84BC"/>
                </w14:gs>
                <w14:gs w14:pos="100000">
                  <w14:srgbClr w14:val="FCFEFF"/>
                </w14:gs>
              </w14:gsLst>
              <w14:lin w14:ang="18900000" w14:scaled="1"/>
            </w14:gradFill>
          </w14:textFill>
        </w:rPr>
      </w:pPr>
    </w:p>
    <w:p w14:paraId="5FD84683">
      <w:pPr>
        <w:pStyle w:val="15"/>
        <w:rPr>
          <w:rFonts w:hint="eastAsia" w:ascii="TypeLand 康熙字典體" w:hAnsi="TypeLand 康熙字典體" w:eastAsia="宋体"/>
          <w:color w:val="0000FF"/>
          <w:lang w:eastAsia="zh-CN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</w:pPr>
      <w:r>
        <w:rPr>
          <w:rFonts w:hint="eastAsia" w:ascii="TypeLand 康熙字典體" w:hAnsi="TypeLand 康熙字典體" w:eastAsia="宋体"/>
          <w:color w:val="0000FF"/>
          <w:lang w:eastAsia="zh-CN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琴音袅袅</w:t>
      </w:r>
    </w:p>
    <w:p w14:paraId="5FD84684">
      <w:pPr>
        <w:pStyle w:val="15"/>
        <w:rPr>
          <w:rFonts w:hint="eastAsia" w:ascii="TypeLand 康熙字典體" w:hAnsi="TypeLand 康熙字典體" w:eastAsia="宋体"/>
          <w:sz w:val="32"/>
          <w:szCs w:val="32"/>
          <w:lang w:eastAsia="zh-CN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</w:pPr>
      <w:r>
        <w:rPr>
          <w:rFonts w:hint="eastAsia" w:ascii="TypeLand 康熙字典體" w:hAnsi="TypeLand 康熙字典體" w:eastAsia="宋体"/>
          <w:sz w:val="32"/>
          <w:szCs w:val="32"/>
          <w:lang w:eastAsia="zh-CN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  <w:t>—— 一个乐器交易租借平台——</w:t>
      </w:r>
    </w:p>
    <w:p w14:paraId="5FD84685">
      <w:pPr>
        <w:pStyle w:val="15"/>
        <w:rPr>
          <w:rFonts w:hint="eastAsia" w:ascii="TypeLand 康熙字典體" w:hAnsi="TypeLand 康熙字典體" w:eastAsia="宋体"/>
          <w:color w:val="30C0B4" w:themeColor="accent5"/>
          <w:sz w:val="32"/>
          <w:szCs w:val="32"/>
          <w:lang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="TypeLand 康熙字典體" w:hAnsi="TypeLand 康熙字典體" w:eastAsia="宋体"/>
          <w:color w:val="30C0B4" w:themeColor="accent5"/>
          <w:sz w:val="32"/>
          <w:szCs w:val="32"/>
          <w:lang w:eastAsia="zh-CN"/>
          <w14:textFill>
            <w14:solidFill>
              <w14:schemeClr w14:val="accent5"/>
            </w14:solidFill>
          </w14:textFill>
        </w:rPr>
        <w:t>*</w:t>
      </w:r>
      <w:r>
        <w:rPr>
          <w:rFonts w:hint="eastAsia" w:ascii="TypeLand 康熙字典體" w:hAnsi="TypeLand 康熙字典體" w:eastAsia="宋体"/>
          <w:color w:val="30C0B4" w:themeColor="accent5"/>
          <w:sz w:val="32"/>
          <w:szCs w:val="32"/>
          <w:lang w:val="en-US" w:eastAsia="zh-CN"/>
          <w14:textFill>
            <w14:solidFill>
              <w14:schemeClr w14:val="accent5"/>
            </w14:solidFill>
          </w14:textFill>
        </w:rPr>
        <w:t>概要设计规约</w:t>
      </w:r>
      <w:r>
        <w:rPr>
          <w:rFonts w:hint="eastAsia" w:ascii="TypeLand 康熙字典體" w:hAnsi="TypeLand 康熙字典體" w:eastAsia="宋体"/>
          <w:color w:val="30C0B4" w:themeColor="accent5"/>
          <w:sz w:val="32"/>
          <w:szCs w:val="32"/>
          <w:lang w:eastAsia="zh-CN"/>
          <w14:textFill>
            <w14:solidFill>
              <w14:schemeClr w14:val="accent5"/>
            </w14:solidFill>
          </w14:textFill>
        </w:rPr>
        <w:t>*</w:t>
      </w:r>
    </w:p>
    <w:p w14:paraId="5FD84686">
      <w:pPr>
        <w:pStyle w:val="15"/>
        <w:rPr>
          <w:rFonts w:hint="eastAsia" w:ascii="TypeLand 康熙字典體" w:hAnsi="TypeLand 康熙字典體" w:eastAsia="宋体"/>
          <w:sz w:val="32"/>
          <w:szCs w:val="32"/>
          <w:lang w:eastAsia="zh-CN"/>
          <w14:textFill>
            <w14:gradFill>
              <w14:gsLst>
                <w14:gs w14:pos="0">
                  <w14:schemeClr w14:val="bg1"/>
                </w14:gs>
                <w14:gs w14:pos="42000">
                  <w14:srgbClr w14:val="6ACCF2"/>
                </w14:gs>
                <w14:gs w14:pos="100000">
                  <w14:srgbClr w14:val="2497EA"/>
                </w14:gs>
              </w14:gsLst>
              <w14:lin w14:ang="8100000" w14:scaled="1"/>
            </w14:gradFill>
          </w14:textFill>
        </w:rPr>
      </w:pPr>
    </w:p>
    <w:p w14:paraId="5FD84687">
      <w:pPr>
        <w:pStyle w:val="15"/>
        <w:rPr>
          <w:rFonts w:hint="eastAsia" w:ascii="TypeLand 康熙字典體" w:hAnsi="TypeLand 康熙字典體" w:eastAsia="宋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ypeLand 康熙字典體" w:hAnsi="TypeLand 康熙字典體" w:eastAsia="宋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指导教师：杜庆峰</w:t>
      </w:r>
    </w:p>
    <w:p w14:paraId="5FD84688">
      <w:pPr>
        <w:pStyle w:val="15"/>
        <w:rPr>
          <w:rFonts w:hint="eastAsia" w:ascii="TypeLand 康熙字典體" w:hAnsi="TypeLand 康熙字典體" w:eastAsia="宋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 w14:paraId="5FD84689">
      <w:pPr>
        <w:pStyle w:val="15"/>
        <w:rPr>
          <w:rFonts w:hint="eastAsia" w:ascii="TypeLand 康熙字典體" w:hAnsi="TypeLand 康熙字典體" w:eastAsia="宋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ypeLand 康熙字典體" w:hAnsi="TypeLand 康熙字典體" w:eastAsia="宋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小组成员</w:t>
      </w:r>
    </w:p>
    <w:p w14:paraId="5FD8468A">
      <w:pPr>
        <w:pStyle w:val="15"/>
        <w:rPr>
          <w:rFonts w:hint="eastAsia" w:ascii="TypeLand 康熙字典體" w:hAnsi="TypeLand 康熙字典體" w:eastAsia="宋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 w14:paraId="5FD8468B">
      <w:pPr>
        <w:pStyle w:val="15"/>
        <w:rPr>
          <w:rFonts w:hint="eastAsia" w:ascii="TypeLand 康熙字典體" w:hAnsi="TypeLand 康熙字典體" w:eastAsia="宋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ypeLand 康熙字典體" w:hAnsi="TypeLand 康熙字典體" w:eastAsia="宋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陈甫彬 2253715</w:t>
      </w:r>
    </w:p>
    <w:p w14:paraId="5FD8468C">
      <w:pPr>
        <w:pStyle w:val="15"/>
        <w:rPr>
          <w:rFonts w:hint="eastAsia" w:ascii="TypeLand 康熙字典體" w:hAnsi="TypeLand 康熙字典體" w:eastAsia="宋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ypeLand 康熙字典體" w:hAnsi="TypeLand 康熙字典體" w:eastAsia="宋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刘子赫 2250694</w:t>
      </w:r>
    </w:p>
    <w:p w14:paraId="5FD8468D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ypeLand 康熙字典體" w:hAnsi="TypeLand 康熙字典體" w:eastAsia="宋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杨兆镇2252712</w:t>
      </w:r>
    </w:p>
    <w:p w14:paraId="5FD8468E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 w14:paraId="5FD8468F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p w14:paraId="5FD84690">
      <w:pPr>
        <w:pStyle w:val="15"/>
        <w:rPr>
          <w:rFonts w:hint="eastAsia" w:ascii="宋体" w:hAnsi="宋体" w:eastAsia="宋体" w:cs="宋体"/>
          <w:color w:val="000000" w:themeColor="text1"/>
          <w:sz w:val="36"/>
          <w:szCs w:val="36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36"/>
          <w:szCs w:val="36"/>
          <w:lang w:eastAsia="zh-CN"/>
          <w14:textFill>
            <w14:solidFill>
              <w14:schemeClr w14:val="tx1"/>
            </w14:solidFill>
          </w14:textFill>
        </w:rPr>
        <w:t>修订历史</w:t>
      </w:r>
    </w:p>
    <w:p w14:paraId="5FD84691">
      <w:pPr>
        <w:spacing w:before="120" w:after="120" w:line="288" w:lineRule="auto"/>
        <w:jc w:val="left"/>
      </w:pPr>
    </w:p>
    <w:tbl>
      <w:tblPr>
        <w:tblStyle w:val="8"/>
        <w:tblW w:w="9276" w:type="dxa"/>
        <w:tblInd w:w="-305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940"/>
        <w:gridCol w:w="830"/>
        <w:gridCol w:w="3610"/>
        <w:gridCol w:w="2496"/>
      </w:tblGrid>
      <w:tr w14:paraId="5FD846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92">
            <w:pPr>
              <w:spacing w:before="120" w:after="120" w:line="288" w:lineRule="auto"/>
              <w:ind w:firstLine="0" w:firstLineChars="0"/>
              <w:jc w:val="left"/>
            </w:pPr>
            <w:r>
              <w:rPr>
                <w:rFonts w:ascii="Arial" w:hAnsi="Arial" w:eastAsia="等线" w:cs="Arial"/>
                <w:sz w:val="22"/>
              </w:rPr>
              <w:t>编写日期</w:t>
            </w:r>
          </w:p>
        </w:tc>
        <w:tc>
          <w:tcPr>
            <w:tcW w:w="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93">
            <w:pPr>
              <w:spacing w:before="120" w:after="120" w:line="288" w:lineRule="auto"/>
              <w:ind w:firstLine="0" w:firstLineChars="0"/>
              <w:jc w:val="left"/>
            </w:pPr>
            <w:r>
              <w:rPr>
                <w:rFonts w:ascii="Arial" w:hAnsi="Arial" w:eastAsia="等线" w:cs="Arial"/>
                <w:sz w:val="22"/>
              </w:rPr>
              <w:t>SEPG</w:t>
            </w: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94">
            <w:pPr>
              <w:spacing w:before="120" w:after="120" w:line="288" w:lineRule="auto"/>
              <w:ind w:firstLine="44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3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95">
            <w:pPr>
              <w:spacing w:before="120" w:after="120" w:line="288" w:lineRule="auto"/>
              <w:ind w:firstLine="44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4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96">
            <w:pPr>
              <w:spacing w:before="120" w:after="120" w:line="288" w:lineRule="auto"/>
              <w:ind w:firstLine="440"/>
              <w:jc w:val="left"/>
            </w:pPr>
            <w:r>
              <w:rPr>
                <w:rFonts w:ascii="Arial" w:hAnsi="Arial" w:eastAsia="等线" w:cs="Arial"/>
                <w:sz w:val="22"/>
              </w:rPr>
              <w:t>作者</w:t>
            </w:r>
          </w:p>
        </w:tc>
      </w:tr>
      <w:tr w14:paraId="5FD846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98">
            <w:pPr>
              <w:spacing w:before="120" w:after="120" w:line="288" w:lineRule="auto"/>
              <w:ind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2024.11.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18</w:t>
            </w:r>
          </w:p>
        </w:tc>
        <w:tc>
          <w:tcPr>
            <w:tcW w:w="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99">
            <w:pPr>
              <w:spacing w:before="120" w:after="120" w:line="288" w:lineRule="auto"/>
              <w:jc w:val="left"/>
            </w:pP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9A">
            <w:pPr>
              <w:spacing w:before="120" w:after="120" w:line="288" w:lineRule="auto"/>
              <w:ind w:firstLine="0" w:firstLineChars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</w:t>
            </w:r>
          </w:p>
        </w:tc>
        <w:tc>
          <w:tcPr>
            <w:tcW w:w="3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9B">
            <w:pPr>
              <w:spacing w:before="120" w:after="120" w:line="288" w:lineRule="auto"/>
              <w:jc w:val="left"/>
              <w:rPr>
                <w:rFonts w:hint="eastAsia" w:ascii="宋体" w:hAnsi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根据需求</w:t>
            </w:r>
            <w:r>
              <w:rPr>
                <w:rFonts w:hint="eastAsia" w:ascii="宋体" w:hAnsi="宋体" w:cs="宋体"/>
                <w:lang w:val="en-US" w:eastAsia="zh-CN"/>
              </w:rPr>
              <w:t>分析</w:t>
            </w:r>
            <w:r>
              <w:rPr>
                <w:rFonts w:hint="eastAsia" w:ascii="宋体" w:hAnsi="宋体" w:cs="宋体"/>
                <w:lang w:eastAsia="zh-CN"/>
              </w:rPr>
              <w:t>规约，完成</w:t>
            </w:r>
            <w:r>
              <w:rPr>
                <w:rFonts w:hint="eastAsia" w:ascii="宋体" w:hAnsi="宋体" w:cs="宋体"/>
                <w:lang w:val="en-US" w:eastAsia="zh-CN"/>
              </w:rPr>
              <w:t>概要设计</w:t>
            </w:r>
            <w:r>
              <w:rPr>
                <w:rFonts w:hint="eastAsia" w:ascii="宋体" w:hAnsi="宋体" w:cs="宋体"/>
                <w:lang w:eastAsia="zh-CN"/>
              </w:rPr>
              <w:t>内容</w:t>
            </w:r>
          </w:p>
        </w:tc>
        <w:tc>
          <w:tcPr>
            <w:tcW w:w="24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9C">
            <w:pPr>
              <w:spacing w:before="120" w:after="120" w:line="288" w:lineRule="auto"/>
              <w:ind w:firstLine="440"/>
              <w:jc w:val="left"/>
              <w:rPr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陈甫彬、刘子赫、杨兆镇</w:t>
            </w:r>
          </w:p>
        </w:tc>
      </w:tr>
      <w:tr w14:paraId="5FD846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9E">
            <w:pPr>
              <w:spacing w:before="120" w:after="120" w:line="288" w:lineRule="auto"/>
              <w:ind w:firstLine="0" w:firstLineChars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>.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11.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</w:t>
            </w:r>
          </w:p>
        </w:tc>
        <w:tc>
          <w:tcPr>
            <w:tcW w:w="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9F">
            <w:pPr>
              <w:spacing w:before="120" w:after="120" w:line="288" w:lineRule="auto"/>
              <w:jc w:val="left"/>
            </w:pP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A0">
            <w:pPr>
              <w:spacing w:before="120" w:after="120" w:line="288" w:lineRule="auto"/>
              <w:ind w:firstLine="0" w:firstLineChars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1.1</w:t>
            </w:r>
          </w:p>
        </w:tc>
        <w:tc>
          <w:tcPr>
            <w:tcW w:w="3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A1">
            <w:pPr>
              <w:spacing w:before="120" w:after="120" w:line="288" w:lineRule="auto"/>
              <w:jc w:val="left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对数据库E-R图进行建模分析</w:t>
            </w:r>
          </w:p>
        </w:tc>
        <w:tc>
          <w:tcPr>
            <w:tcW w:w="24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A2">
            <w:pPr>
              <w:spacing w:before="120" w:after="120" w:line="288" w:lineRule="auto"/>
              <w:ind w:firstLine="440"/>
              <w:jc w:val="left"/>
              <w:rPr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陈甫彬、刘子赫、杨兆镇</w:t>
            </w:r>
          </w:p>
        </w:tc>
      </w:tr>
      <w:tr w14:paraId="5FD846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A4">
            <w:pPr>
              <w:spacing w:before="120" w:after="120" w:line="288" w:lineRule="auto"/>
              <w:ind w:firstLine="0" w:firstLineChars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>.11.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23</w:t>
            </w:r>
          </w:p>
        </w:tc>
        <w:tc>
          <w:tcPr>
            <w:tcW w:w="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A5">
            <w:pPr>
              <w:spacing w:before="120" w:after="120" w:line="288" w:lineRule="auto"/>
              <w:jc w:val="left"/>
            </w:pP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A6">
            <w:pPr>
              <w:spacing w:before="120" w:after="120" w:line="288" w:lineRule="auto"/>
              <w:ind w:firstLine="0" w:firstLineChars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1.2</w:t>
            </w:r>
          </w:p>
        </w:tc>
        <w:tc>
          <w:tcPr>
            <w:tcW w:w="3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A7">
            <w:pPr>
              <w:spacing w:before="120" w:after="120" w:line="288" w:lineRule="auto"/>
              <w:jc w:val="left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分析E-R图，得出简单的接口类图以及分析</w:t>
            </w:r>
          </w:p>
        </w:tc>
        <w:tc>
          <w:tcPr>
            <w:tcW w:w="24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A8">
            <w:pPr>
              <w:spacing w:before="120" w:after="120" w:line="288" w:lineRule="auto"/>
              <w:ind w:firstLine="440"/>
              <w:jc w:val="left"/>
              <w:rPr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陈甫彬、刘子赫、杨兆镇</w:t>
            </w:r>
          </w:p>
        </w:tc>
      </w:tr>
      <w:tr w14:paraId="5FD846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AA">
            <w:pPr>
              <w:spacing w:before="120" w:after="120" w:line="288" w:lineRule="auto"/>
              <w:ind w:firstLine="0" w:firstLineChars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>.1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1.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24</w:t>
            </w:r>
          </w:p>
        </w:tc>
        <w:tc>
          <w:tcPr>
            <w:tcW w:w="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AB">
            <w:pPr>
              <w:spacing w:before="120" w:after="120" w:line="288" w:lineRule="auto"/>
              <w:jc w:val="left"/>
            </w:pP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AC">
            <w:pPr>
              <w:spacing w:before="120" w:after="120" w:line="288" w:lineRule="auto"/>
              <w:ind w:firstLine="0" w:firstLineChars="0"/>
              <w:jc w:val="lef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1.3</w:t>
            </w:r>
          </w:p>
        </w:tc>
        <w:tc>
          <w:tcPr>
            <w:tcW w:w="3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AD">
            <w:pPr>
              <w:spacing w:before="120" w:after="120" w:line="288" w:lineRule="auto"/>
              <w:jc w:val="left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修改已实现的程序，导入界面设计</w:t>
            </w:r>
          </w:p>
        </w:tc>
        <w:tc>
          <w:tcPr>
            <w:tcW w:w="24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46AE">
            <w:pPr>
              <w:spacing w:before="120" w:after="120" w:line="288" w:lineRule="auto"/>
              <w:ind w:firstLine="440"/>
              <w:jc w:val="left"/>
              <w:rPr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陈甫彬、刘子赫、杨兆镇</w:t>
            </w:r>
          </w:p>
        </w:tc>
      </w:tr>
      <w:tr w14:paraId="71507E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23" w:hRule="atLeast"/>
        </w:trPr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0B6A8">
            <w:pPr>
              <w:spacing w:before="120" w:after="120" w:line="288" w:lineRule="auto"/>
              <w:ind w:firstLine="0" w:firstLineChars="0"/>
              <w:jc w:val="left"/>
              <w:rPr>
                <w:rFonts w:hint="default" w:ascii="Arial" w:hAnsi="Arial" w:eastAsia="等线" w:cs="Arial"/>
                <w:sz w:val="22"/>
                <w:lang w:val="en-US"/>
              </w:rPr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>.1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1.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25</w:t>
            </w:r>
          </w:p>
        </w:tc>
        <w:tc>
          <w:tcPr>
            <w:tcW w:w="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3E584">
            <w:pPr>
              <w:spacing w:before="120" w:after="120" w:line="288" w:lineRule="auto"/>
              <w:jc w:val="left"/>
            </w:pPr>
          </w:p>
        </w:tc>
        <w:tc>
          <w:tcPr>
            <w:tcW w:w="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5CD6B">
            <w:pPr>
              <w:spacing w:before="120" w:after="120" w:line="288" w:lineRule="auto"/>
              <w:ind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1.4</w:t>
            </w:r>
          </w:p>
        </w:tc>
        <w:tc>
          <w:tcPr>
            <w:tcW w:w="3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7743F">
            <w:pPr>
              <w:spacing w:before="120" w:after="120" w:line="288" w:lineRule="auto"/>
              <w:jc w:val="left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最终完善概要设计规约</w:t>
            </w:r>
          </w:p>
        </w:tc>
        <w:tc>
          <w:tcPr>
            <w:tcW w:w="24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AF214">
            <w:pPr>
              <w:spacing w:before="120" w:after="120" w:line="288" w:lineRule="auto"/>
              <w:ind w:firstLine="440"/>
              <w:jc w:val="left"/>
              <w:rPr>
                <w:rFonts w:hint="eastAsia" w:ascii="Arial" w:hAnsi="Arial" w:eastAsia="等线" w:cs="Arial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陈甫彬、刘子赫、杨兆镇</w:t>
            </w:r>
          </w:p>
        </w:tc>
      </w:tr>
    </w:tbl>
    <w:p w14:paraId="3E8B8C55">
      <w:pPr>
        <w:rPr>
          <w:lang w:eastAsia="zh-CN"/>
        </w:rPr>
      </w:pPr>
    </w:p>
    <w:p w14:paraId="5FD846B1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sz w:val="28"/>
          <w:szCs w:val="28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B2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sz w:val="28"/>
          <w:szCs w:val="28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B3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sz w:val="28"/>
          <w:szCs w:val="28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B4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sz w:val="28"/>
          <w:szCs w:val="28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B5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sz w:val="28"/>
          <w:szCs w:val="28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B6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sz w:val="28"/>
          <w:szCs w:val="28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B7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sz w:val="28"/>
          <w:szCs w:val="28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B8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sz w:val="28"/>
          <w:szCs w:val="28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B9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sz w:val="28"/>
          <w:szCs w:val="28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BA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sz w:val="28"/>
          <w:szCs w:val="28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BB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sz w:val="28"/>
          <w:szCs w:val="28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BC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sz w:val="28"/>
          <w:szCs w:val="28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BD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sz w:val="28"/>
          <w:szCs w:val="28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BE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sz w:val="28"/>
          <w:szCs w:val="28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BF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目录</w:t>
      </w:r>
    </w:p>
    <w:p w14:paraId="5FD846C0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C1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C3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C4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C5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C6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C7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C8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C9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CA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CB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CC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CD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CE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CF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D0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D1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D2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E41422F">
      <w:pPr>
        <w:pStyle w:val="15"/>
        <w:rPr>
          <w:rFonts w:hint="eastAsia" w:ascii="TypeLand 康熙字典體" w:hAnsi="TypeLand 康熙字典體"/>
          <w:b w:val="0"/>
          <w:bCs/>
          <w:color w:val="000000" w:themeColor="text1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FD846D4">
      <w:pPr>
        <w:pStyle w:val="15"/>
        <w:numPr>
          <w:ilvl w:val="0"/>
          <w:numId w:val="1"/>
        </w:numPr>
        <w:jc w:val="left"/>
        <w:rPr>
          <w:rFonts w:hint="eastAsia" w:ascii="TypeLand 康熙字典體" w:hAnsi="TypeLand 康熙字典體"/>
          <w:color w:val="000000" w:themeColor="text1"/>
          <w:sz w:val="32"/>
          <w:szCs w:val="32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TypeLand 康熙字典體" w:hAnsi="TypeLand 康熙字典體"/>
          <w:color w:val="000000" w:themeColor="text1"/>
          <w:sz w:val="32"/>
          <w:szCs w:val="32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引言</w:t>
      </w:r>
    </w:p>
    <w:p w14:paraId="5FD846D5">
      <w:pPr>
        <w:pStyle w:val="15"/>
        <w:jc w:val="left"/>
        <w:rPr>
          <w:rFonts w:hint="default" w:ascii="TypeLand 康熙字典體" w:hAnsi="TypeLand 康熙字典體"/>
          <w:color w:val="000000" w:themeColor="text1"/>
          <w:sz w:val="30"/>
          <w:szCs w:val="30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1.1 </w:t>
      </w:r>
      <w:r>
        <w:rPr>
          <w:rFonts w:hint="eastAsia" w:ascii="TypeLand 康熙字典體" w:hAnsi="TypeLand 康熙字典體"/>
          <w:color w:val="000000" w:themeColor="text1"/>
          <w:sz w:val="30"/>
          <w:szCs w:val="30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概要设计依据</w:t>
      </w:r>
    </w:p>
    <w:p w14:paraId="200875A4">
      <w:pPr>
        <w:keepNext w:val="0"/>
        <w:keepLines w:val="0"/>
        <w:widowControl/>
        <w:suppressLineNumbers w:val="0"/>
        <w:spacing w:line="360" w:lineRule="auto"/>
        <w:rPr>
          <w:rFonts w:hint="default" w:eastAsia="宋体"/>
          <w:lang w:val="en-US" w:eastAsia="zh-CN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1"/>
        </w:rPr>
        <w:t>需求分析规约</w:t>
      </w:r>
      <w:r>
        <w:t>：</w:t>
      </w:r>
      <w:r>
        <w:rPr>
          <w:rFonts w:hint="eastAsia"/>
          <w:lang w:val="en-US" w:eastAsia="zh-CN"/>
        </w:rPr>
        <w:t>基于上一次的需求分析规约，我们小组这次进行了进一步的概要设计。</w:t>
      </w:r>
    </w:p>
    <w:p w14:paraId="2B5D45B3">
      <w:pPr>
        <w:keepNext w:val="0"/>
        <w:keepLines w:val="0"/>
        <w:widowControl/>
        <w:suppressLineNumbers w:val="0"/>
        <w:spacing w:line="360" w:lineRule="auto"/>
        <w:rPr>
          <w:rFonts w:hint="default" w:eastAsia="宋体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1"/>
        </w:rPr>
        <w:t>用户调研和问卷结果</w:t>
      </w:r>
      <w:r>
        <w:t>：在项目初期，我们通过问卷调查收集了用户的反馈，了解了他们在使用乐器交易和租借功能时的期望。</w:t>
      </w:r>
      <w:r>
        <w:rPr>
          <w:rFonts w:hint="eastAsia"/>
          <w:lang w:val="en-US" w:eastAsia="zh-CN"/>
        </w:rPr>
        <w:t>这也是我们进行概要设计的基础。</w:t>
      </w:r>
    </w:p>
    <w:p w14:paraId="44BD54ED">
      <w:pPr>
        <w:keepNext w:val="0"/>
        <w:keepLines w:val="0"/>
        <w:widowControl/>
        <w:suppressLineNumbers w:val="0"/>
        <w:spacing w:line="36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1"/>
        </w:rPr>
        <w:t>技术选型</w:t>
      </w:r>
      <w:r>
        <w:t>：在选择技术栈时，我们考虑了项目的需求和特性，前端使用 Vue.js、后端使用 Node.js 或 Python Flask，数据库选择了 MySQL。这些技术选型帮助我们确定了系统架构和设计方向。</w:t>
      </w:r>
    </w:p>
    <w:p w14:paraId="726C8FB2">
      <w:pPr>
        <w:keepNext w:val="0"/>
        <w:keepLines w:val="0"/>
        <w:widowControl/>
        <w:suppressLineNumbers w:val="0"/>
        <w:spacing w:line="360" w:lineRule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1"/>
        </w:rPr>
        <w:t>行业实践</w:t>
      </w:r>
      <w:r>
        <w:t>：我们</w:t>
      </w:r>
      <w:r>
        <w:rPr>
          <w:rFonts w:hint="eastAsia"/>
          <w:lang w:val="en-US" w:eastAsia="zh-CN"/>
        </w:rPr>
        <w:t>小组</w:t>
      </w:r>
      <w:r>
        <w:t>参考了当前 Web 应用开发的最佳实践，比如响应式设计、数据隐私保护和支付安全等，以确保系统设计符合现代标准。</w:t>
      </w:r>
    </w:p>
    <w:p w14:paraId="4687C030">
      <w:pPr>
        <w:keepNext w:val="0"/>
        <w:keepLines w:val="0"/>
        <w:widowControl/>
        <w:suppressLineNumbers w:val="0"/>
        <w:spacing w:line="360" w:lineRule="auto"/>
        <w:rPr>
          <w:rFonts w:hint="default" w:eastAsia="宋体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11"/>
          <w:rFonts w:hint="eastAsia"/>
          <w:lang w:val="en-US" w:eastAsia="zh-CN"/>
        </w:rPr>
        <w:t>课程内容</w:t>
      </w:r>
      <w:r>
        <w:t>：</w:t>
      </w:r>
      <w:r>
        <w:rPr>
          <w:rFonts w:hint="eastAsia"/>
          <w:lang w:val="en-US" w:eastAsia="zh-CN"/>
        </w:rPr>
        <w:t>结合老师上课讲的要点以及给出的模板，我们小组确定了这次需要进行的工作：进行包图等体系设计，进行E-R图的设计，E-R中的数据表设计，以及简洁的接口类图的设计，初步的界面设计。</w:t>
      </w:r>
    </w:p>
    <w:p w14:paraId="5FD846DB">
      <w:pPr>
        <w:pStyle w:val="7"/>
        <w:spacing w:beforeAutospacing="0" w:afterAutospacing="0" w:line="240" w:lineRule="auto"/>
        <w:ind w:left="0" w:leftChars="0" w:firstLine="0" w:firstLineChars="0"/>
        <w:rPr>
          <w:szCs w:val="24"/>
        </w:rPr>
      </w:pPr>
    </w:p>
    <w:p w14:paraId="5FD846DC">
      <w:pPr>
        <w:pStyle w:val="15"/>
        <w:jc w:val="left"/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1.2 参考资料</w:t>
      </w:r>
    </w:p>
    <w:p w14:paraId="07609968">
      <w:pPr>
        <w:pStyle w:val="15"/>
        <w:jc w:val="left"/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需求分析规约</w:t>
      </w:r>
    </w:p>
    <w:p w14:paraId="6E48B541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标题：乐器交易平台需求分析规约</w:t>
      </w:r>
    </w:p>
    <w:p w14:paraId="231AA0B2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文件编号：20241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116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-NA-001</w:t>
      </w:r>
    </w:p>
    <w:p w14:paraId="4CFBA077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发表日期：2024年1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月1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日</w:t>
      </w:r>
    </w:p>
    <w:p w14:paraId="7EF25FE6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出版单位：课程项目组</w:t>
      </w:r>
    </w:p>
    <w:p w14:paraId="5AF611B4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来源：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小组内部文档</w:t>
      </w:r>
    </w:p>
    <w:p w14:paraId="3303F730">
      <w:pPr>
        <w:pStyle w:val="15"/>
        <w:jc w:val="left"/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用户调研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问卷</w:t>
      </w:r>
    </w:p>
    <w:p w14:paraId="5DA24C0F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标题：乐器交易平台用户调研与问卷分析</w:t>
      </w:r>
    </w:p>
    <w:p w14:paraId="4EE35317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文件编号：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20241020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-UR-00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</w:p>
    <w:p w14:paraId="2F95B934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发表日期：2024年1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日</w:t>
      </w:r>
    </w:p>
    <w:p w14:paraId="14A23F10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出版单位：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软件工程课程小组</w:t>
      </w:r>
    </w:p>
    <w:p w14:paraId="288B45AF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来源：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小组内部文档</w:t>
      </w:r>
    </w:p>
    <w:p w14:paraId="6867CEBB">
      <w:pPr>
        <w:pStyle w:val="15"/>
        <w:jc w:val="left"/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系统设计标准</w:t>
      </w:r>
    </w:p>
    <w:p w14:paraId="01A1536A">
      <w:pPr>
        <w:pStyle w:val="15"/>
        <w:jc w:val="left"/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64B9ABD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标题：Web 应用系统设计与开发标准</w:t>
      </w:r>
    </w:p>
    <w:p w14:paraId="72A4516E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文件编号：WASDS-2023</w:t>
      </w:r>
    </w:p>
    <w:p w14:paraId="0EE6B28F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发表日期：2023年6月1日</w:t>
      </w:r>
    </w:p>
    <w:p w14:paraId="3CF842DD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出版单位：国际软件工程协会（ISEA）</w:t>
      </w:r>
    </w:p>
    <w:p w14:paraId="20322509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来源：https://www.isea.org/</w:t>
      </w:r>
    </w:p>
    <w:p w14:paraId="38E9A5EE">
      <w:pPr>
        <w:pStyle w:val="15"/>
        <w:jc w:val="left"/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技术文档</w:t>
      </w:r>
    </w:p>
    <w:p w14:paraId="31F47826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标题：Vue.js 官方文档</w:t>
      </w:r>
    </w:p>
    <w:p w14:paraId="396CB63A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文件编号：VJS-2023</w:t>
      </w:r>
    </w:p>
    <w:p w14:paraId="50624F37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发表日期：2023年3月10日</w:t>
      </w:r>
    </w:p>
    <w:p w14:paraId="4258C2A5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出版单位：Vue.js 官方团队</w:t>
      </w:r>
    </w:p>
    <w:p w14:paraId="33BD78EE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来源：https://vuejs.org/</w:t>
      </w:r>
    </w:p>
    <w:p w14:paraId="0280E7BB">
      <w:pPr>
        <w:pStyle w:val="15"/>
        <w:jc w:val="left"/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6E9">
      <w:pPr>
        <w:pStyle w:val="15"/>
        <w:jc w:val="left"/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1.3 假定和约束</w:t>
      </w:r>
    </w:p>
    <w:p w14:paraId="5FD846EA">
      <w:pPr>
        <w:pStyle w:val="15"/>
        <w:jc w:val="left"/>
        <w:rPr>
          <w:rFonts w:hint="eastAsia" w:ascii="黑体" w:hAnsi="黑体" w:eastAsia="黑体" w:cs="黑体"/>
          <w:color w:val="0070C0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color w:val="0070C0"/>
          <w:sz w:val="30"/>
          <w:szCs w:val="30"/>
          <w:lang w:eastAsia="zh-CN"/>
        </w:rPr>
        <w:t>1.3.1 假定</w:t>
      </w:r>
    </w:p>
    <w:p w14:paraId="5FD846EB">
      <w:pPr>
        <w:pStyle w:val="15"/>
        <w:jc w:val="left"/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· 用户基础：</w:t>
      </w:r>
    </w:p>
    <w:p w14:paraId="5FD846EC">
      <w:pPr>
        <w:pStyle w:val="15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 平台的主要用户包括买家、卖家和管理员，所有用户在访问平台时需先注册并登录。</w:t>
      </w:r>
    </w:p>
    <w:p w14:paraId="5FD846ED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 用户熟悉基本的网络操作，能够在平台上完成商品查询、交易或租赁操作。</w:t>
      </w:r>
    </w:p>
    <w:p w14:paraId="5FD846EE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 管理员假定为平台内部工作人员，主要进行维护平台秩序，协助处理不法行为，同时处理纠纷等工作。</w:t>
      </w:r>
    </w:p>
    <w:p w14:paraId="5FD846EF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 卖家用户主要假定为贩卖乐器或者出租二手乐器的商家。</w:t>
      </w:r>
    </w:p>
    <w:p w14:paraId="5FD846F0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 买家用户根据需求调研，假定为音乐爱好者、初学音乐尝试者、以及音乐上手者。</w:t>
      </w:r>
    </w:p>
    <w:p w14:paraId="5FD846F1">
      <w:pPr>
        <w:pStyle w:val="15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5FD846F2">
      <w:pPr>
        <w:pStyle w:val="15"/>
        <w:jc w:val="left"/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· 交易行为：</w:t>
      </w:r>
    </w:p>
    <w:p w14:paraId="5FD846F3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 交易行为基于用户信任机制，平台提供商品描述、图片和评价等信息供参考，但不负责实体商品质量保障。</w:t>
      </w:r>
    </w:p>
    <w:p w14:paraId="5FD846F4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 平台会向买家和卖家提供支持，如交易纠纷处理、租赁时限提醒等。</w:t>
      </w:r>
    </w:p>
    <w:p w14:paraId="5FD846F5">
      <w:pPr>
        <w:pStyle w:val="15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5FD846F6">
      <w:pPr>
        <w:pStyle w:val="15"/>
        <w:jc w:val="left"/>
        <w:rPr>
          <w:rFonts w:hint="eastAsia" w:ascii="黑体" w:hAnsi="黑体" w:eastAsia="黑体" w:cs="黑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· 租赁行为：</w:t>
      </w:r>
    </w:p>
    <w:p w14:paraId="5FD846F7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·租赁默认以“按日计费”模式进行，特殊租赁需求（如按小时或长期租赁）由买卖双方自行协商。</w:t>
      </w:r>
    </w:p>
    <w:p w14:paraId="5FD846F8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·租赁的乐器需要卖家给与押金金额，并提供取货与归还的方式说明。</w:t>
      </w:r>
    </w:p>
    <w:p w14:paraId="5FD846F9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·计费从买家收到货后开始，至以买家邮递归还确认后结束</w:t>
      </w:r>
    </w:p>
    <w:p w14:paraId="5FD846FA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·对于乐器途中的丢失、损坏问题，卖家有联系管理员的途径，以及走法律途径。</w:t>
      </w:r>
    </w:p>
    <w:p w14:paraId="5FD846FB">
      <w:pPr>
        <w:pStyle w:val="15"/>
        <w:jc w:val="left"/>
        <w:rPr>
          <w:rFonts w:hint="eastAsia" w:ascii="黑体" w:hAnsi="黑体" w:eastAsia="黑体" w:cs="黑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· 管理员行为：</w:t>
      </w:r>
    </w:p>
    <w:p w14:paraId="5FD846FC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·管理员可以管理用户权限（如禁用违规用户账户）、下架违规商品，以及对平台评价进行监控。</w:t>
      </w:r>
    </w:p>
    <w:p w14:paraId="5FD846FD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·管理员有权查看并审核大众交易的记录，确保合规性。</w:t>
      </w:r>
    </w:p>
    <w:p w14:paraId="5FD846FE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·管理员可以帮助买家、卖家处理交易中的问题，或者走法律途径</w:t>
      </w:r>
    </w:p>
    <w:p w14:paraId="5FD846FF">
      <w:pPr>
        <w:pStyle w:val="15"/>
        <w:jc w:val="left"/>
        <w:rPr>
          <w:rFonts w:hint="eastAsia" w:ascii="黑体" w:hAnsi="黑体" w:eastAsia="黑体" w:cs="黑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· 数据存储更新：</w:t>
      </w:r>
    </w:p>
    <w:p w14:paraId="5FD84700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 平台所有商品、交易、租赁记录、用户信息和评论会存储在数据库中，并实时更新。</w:t>
      </w:r>
    </w:p>
    <w:p w14:paraId="5FD84701">
      <w:pPr>
        <w:pStyle w:val="15"/>
        <w:jc w:val="left"/>
        <w:rPr>
          <w:rFonts w:hint="eastAsia" w:ascii="黑体" w:hAnsi="黑体" w:eastAsia="黑体" w:cs="黑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· 支付结算：</w:t>
      </w:r>
    </w:p>
    <w:p w14:paraId="5FD84702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·支付使用第三方支付接口（如支付宝、微信支付、PayPal 等），平台仅提供支付通道，无需保存用户支付信息。</w:t>
      </w:r>
    </w:p>
    <w:p w14:paraId="5FD84703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·交易完成后，卖家可提现资金，提现周期假定为 2~5 个工作日。</w:t>
      </w:r>
    </w:p>
    <w:p w14:paraId="5FD84704">
      <w:pPr>
        <w:pStyle w:val="15"/>
        <w:jc w:val="left"/>
        <w:rPr>
          <w:rFonts w:hint="eastAsia" w:ascii="黑体" w:hAnsi="黑体" w:eastAsia="黑体" w:cs="黑体"/>
          <w:color w:val="0070C0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color w:val="0070C0"/>
          <w:sz w:val="30"/>
          <w:szCs w:val="30"/>
          <w:lang w:eastAsia="zh-CN"/>
        </w:rPr>
        <w:t>1.3.2 约束</w:t>
      </w:r>
    </w:p>
    <w:p w14:paraId="5FD84705">
      <w:pPr>
        <w:pStyle w:val="15"/>
        <w:jc w:val="left"/>
        <w:rPr>
          <w:rFonts w:hint="eastAsia" w:ascii="黑体" w:hAnsi="黑体" w:eastAsia="黑体" w:cs="黑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· 技术约束：</w:t>
      </w:r>
    </w:p>
    <w:p w14:paraId="5FD84706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·平台为 Web 端开发，需兼容主流浏览器（如 Chrome、Firefox、Safari）。</w:t>
      </w:r>
    </w:p>
    <w:p w14:paraId="5FD84707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·使用指定的技术栈（如前端 Vue.js，后端 Spring Boot，数据库 MySQL）开发，且需要在项目周期内完成。</w:t>
      </w:r>
    </w:p>
    <w:p w14:paraId="5FD84708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·集成支付接口，但不允许保存用户的敏感支付信息，如银行卡号或 CVV。</w:t>
      </w:r>
    </w:p>
    <w:p w14:paraId="5FD84709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5FD8470A">
      <w:pPr>
        <w:pStyle w:val="15"/>
        <w:jc w:val="left"/>
        <w:rPr>
          <w:rFonts w:hint="eastAsia" w:ascii="黑体" w:hAnsi="黑体" w:eastAsia="黑体" w:cs="黑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· 性能约束：</w:t>
      </w:r>
    </w:p>
    <w:p w14:paraId="5FD8470B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·平台需要支持至少 500 并发用户的同时访问，且响应时间需控制在 2 秒内。</w:t>
      </w:r>
    </w:p>
    <w:p w14:paraId="5FD8470C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·页面加载速度要求小于 3 秒，并支持延迟加载图片和商品数据以优化性能。</w:t>
      </w:r>
    </w:p>
    <w:p w14:paraId="5FD8470D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5FD8470E">
      <w:pPr>
        <w:pStyle w:val="15"/>
        <w:jc w:val="left"/>
        <w:rPr>
          <w:rFonts w:hint="eastAsia" w:ascii="黑体" w:hAnsi="黑体" w:eastAsia="黑体" w:cs="黑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· 法律与政策约束：</w:t>
      </w:r>
    </w:p>
    <w:p w14:paraId="5FD8470F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·符合中国的电子商务法律法规（如消费者权益保护法、隐私政策等）。</w:t>
      </w:r>
    </w:p>
    <w:p w14:paraId="5FD84710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·用户数据存储需符合 GDPR 或其他隐私保护法案的要求。</w:t>
      </w:r>
    </w:p>
    <w:p w14:paraId="5FD84711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·不允许平台交易非法商品（如赃物、盗版乐谱等）。</w:t>
      </w:r>
    </w:p>
    <w:p w14:paraId="5FD84712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5FD84713">
      <w:pPr>
        <w:pStyle w:val="15"/>
        <w:jc w:val="left"/>
        <w:rPr>
          <w:rFonts w:hint="eastAsia" w:ascii="黑体" w:hAnsi="黑体" w:eastAsia="黑体" w:cs="黑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· 用户约束：</w:t>
      </w:r>
    </w:p>
    <w:p w14:paraId="5FD84714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·所有用户需要通过邮箱或手机号码进行实名认证，确保交易的真实性。</w:t>
      </w:r>
    </w:p>
    <w:p w14:paraId="5FD84715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·买家和卖家需签署平台提供的电子协议，承诺遵守交易和租赁规则。</w:t>
      </w:r>
    </w:p>
    <w:p w14:paraId="5FD84716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5FD84717">
      <w:pPr>
        <w:pStyle w:val="15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· 开发约束：</w:t>
      </w:r>
    </w:p>
    <w:p w14:paraId="5FD84718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·根据课上老师要求以及其他课程的约束，开发周期限制在1个月半左右完成，包括需求分析、建模、开发、测试和部署。</w:t>
      </w:r>
    </w:p>
    <w:p w14:paraId="5FD84719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·受学生身份限制，项目预算有限，需优先使用开源工具和框架，避免额外的高额授权费用。</w:t>
      </w:r>
    </w:p>
    <w:p w14:paraId="5FD8471A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5FD8471B">
      <w:pPr>
        <w:pStyle w:val="15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· 安全约束：</w:t>
      </w:r>
    </w:p>
    <w:p w14:paraId="5FD8471C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·平台必须实现 HTTPS 协议，确保用户数据的传输安全。</w:t>
      </w:r>
    </w:p>
    <w:p w14:paraId="5FD8471D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·需要实现防止 SQL 注入、跨站脚本攻击（XSS）和跨站请求伪造（CSRF）的安全机制。</w:t>
      </w:r>
    </w:p>
    <w:p w14:paraId="5FD8471E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5FD8471F">
      <w:pPr>
        <w:pStyle w:val="15"/>
        <w:jc w:val="left"/>
        <w:rPr>
          <w:rFonts w:hint="eastAsia" w:ascii="黑体" w:hAnsi="黑体" w:eastAsia="黑体" w:cs="黑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· 可维护约束：</w:t>
      </w:r>
    </w:p>
    <w:p w14:paraId="5FD84720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·平台代码需遵守团队制定的代码规范，提供详细注释。</w:t>
      </w:r>
    </w:p>
    <w:p w14:paraId="5FD84721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·代码在Github进行版本管理。</w:t>
      </w:r>
    </w:p>
    <w:p w14:paraId="5FD84722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·系统需设计成模块化架构，符合设计模式便于后期扩展或修复漏洞。</w:t>
      </w:r>
    </w:p>
    <w:p w14:paraId="5FD84723">
      <w:pPr>
        <w:pStyle w:val="15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5FD8475F">
      <w:pPr>
        <w:pStyle w:val="15"/>
        <w:ind w:firstLine="960" w:firstLineChars="4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5FD84766">
      <w:pPr>
        <w:pStyle w:val="15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5FD84767">
      <w:pPr>
        <w:pStyle w:val="15"/>
        <w:numPr>
          <w:ilvl w:val="0"/>
          <w:numId w:val="1"/>
        </w:numPr>
        <w:jc w:val="left"/>
        <w:rPr>
          <w:rFonts w:hint="eastAsia" w:ascii="TypeLand 康熙字典體" w:hAnsi="TypeLand 康熙字典體"/>
          <w:b w:val="0"/>
          <w:bCs/>
          <w:color w:val="000000" w:themeColor="text1"/>
          <w:sz w:val="32"/>
          <w:szCs w:val="32"/>
          <w:lang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TypeLand 康熙字典體" w:hAnsi="TypeLand 康熙字典體"/>
          <w:b w:val="0"/>
          <w:bCs/>
          <w:color w:val="000000" w:themeColor="text1"/>
          <w:sz w:val="32"/>
          <w:szCs w:val="32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概要设计</w:t>
      </w:r>
    </w:p>
    <w:p w14:paraId="5FD84768">
      <w:pPr>
        <w:pStyle w:val="15"/>
        <w:numPr>
          <w:ilvl w:val="1"/>
          <w:numId w:val="1"/>
        </w:numPr>
        <w:jc w:val="left"/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TypeLand 康熙字典體" w:hAnsi="TypeLand 康熙字典體"/>
          <w:color w:val="000000" w:themeColor="text1"/>
          <w:sz w:val="30"/>
          <w:szCs w:val="30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系统总体架构设计</w:t>
      </w:r>
    </w:p>
    <w:p w14:paraId="35B36B18">
      <w:pPr>
        <w:pStyle w:val="15"/>
        <w:numPr>
          <w:ilvl w:val="0"/>
          <w:numId w:val="0"/>
        </w:numPr>
        <w:snapToGrid w:val="0"/>
        <w:spacing w:line="300" w:lineRule="auto"/>
        <w:jc w:val="left"/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drawing>
          <wp:inline distT="0" distB="0" distL="114300" distR="114300">
            <wp:extent cx="5262880" cy="2740660"/>
            <wp:effectExtent l="0" t="0" r="7620" b="2540"/>
            <wp:docPr id="1" name="图片 1" descr="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总体架构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D537">
      <w:pPr>
        <w:pStyle w:val="15"/>
        <w:numPr>
          <w:ilvl w:val="0"/>
          <w:numId w:val="0"/>
        </w:numPr>
        <w:snapToGrid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本系统采用分层架构设计，分为以下几个主要部分：用户界面层 (UI 层)、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通信层、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业务逻辑层、接口层、数据访问层和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后端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数据库层。系统以高效性、可扩展性和用户友好性为设计目标，结合现代主流技术实现。</w:t>
      </w:r>
    </w:p>
    <w:p w14:paraId="38EF0290">
      <w:pPr>
        <w:pStyle w:val="15"/>
        <w:numPr>
          <w:ilvl w:val="0"/>
          <w:numId w:val="0"/>
        </w:numPr>
        <w:snapToGrid w:val="0"/>
        <w:spacing w:line="360" w:lineRule="auto"/>
        <w:jc w:val="left"/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用户界面层 (UI 层)</w:t>
      </w:r>
    </w:p>
    <w:p w14:paraId="18658985">
      <w:pPr>
        <w:pStyle w:val="15"/>
        <w:numPr>
          <w:ilvl w:val="0"/>
          <w:numId w:val="0"/>
        </w:numPr>
        <w:snapToGrid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用户界面层负责用户与系统之间的交互，采用了 HTML、CSS 和 JavaScript 作为核心技术。HTML 提供了页面结构，通过语义化的标签组织界面内容，确保良好的可访问性和可维护性。CSS 实现了界面的美观布局，包括响应式设计，支持多种设备访问。JavaScript 提供动态交互功能，例如用户验证、动态数据更新和实时反馈，提升了用户体验。</w:t>
      </w:r>
    </w:p>
    <w:p w14:paraId="6F9322DB">
      <w:pPr>
        <w:pStyle w:val="15"/>
        <w:numPr>
          <w:ilvl w:val="0"/>
          <w:numId w:val="0"/>
        </w:numPr>
        <w:snapToGrid w:val="0"/>
        <w:spacing w:line="360" w:lineRule="auto"/>
        <w:jc w:val="left"/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通信层</w:t>
      </w:r>
    </w:p>
    <w:p w14:paraId="3A179FF2">
      <w:pPr>
        <w:pStyle w:val="15"/>
        <w:numPr>
          <w:ilvl w:val="0"/>
          <w:numId w:val="0"/>
        </w:numPr>
        <w:snapToGrid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作为用户界面层与业务逻辑层之间的桥梁，采用 GET 和 POST 请求实现前后端的数据交互。GET 请求用于从服务器获取数据，例如用户信息加载、商品列表查询等。POST 请求用于向服务器提交数据，例如用户登录信息、订单提交等操作。通信层在数据传递中确保了请求的安全性和高效性，并与后端的 Spring Boot 紧密结合，利用其内置的 HTTP 请求处理机制，支持异步操作和数据格式的灵活处理，实现快速响应和稳定性能。</w:t>
      </w:r>
    </w:p>
    <w:p w14:paraId="26DCAD30">
      <w:pPr>
        <w:pStyle w:val="15"/>
        <w:numPr>
          <w:ilvl w:val="0"/>
          <w:numId w:val="0"/>
        </w:numPr>
        <w:snapToGrid w:val="0"/>
        <w:spacing w:line="360" w:lineRule="auto"/>
        <w:jc w:val="left"/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业务逻辑层</w:t>
      </w:r>
    </w:p>
    <w:p w14:paraId="3557F31C">
      <w:pPr>
        <w:pStyle w:val="15"/>
        <w:numPr>
          <w:ilvl w:val="0"/>
          <w:numId w:val="0"/>
        </w:numPr>
        <w:snapToGrid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业务逻辑层使用 Spring Boot 框架构建。Spring Boot 是基于 Java 的现代化微服务框架，具有快速开发、高效运行的特性，支持自动配置和嵌入式服务器，简化了开发流程。</w:t>
      </w:r>
    </w:p>
    <w:p w14:paraId="0E19E228">
      <w:pPr>
        <w:pStyle w:val="15"/>
        <w:numPr>
          <w:ilvl w:val="0"/>
          <w:numId w:val="0"/>
        </w:numPr>
        <w:snapToGrid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主要功能模块包括</w:t>
      </w:r>
    </w:p>
    <w:p w14:paraId="3BCB5863">
      <w:pPr>
        <w:pStyle w:val="15"/>
        <w:numPr>
          <w:ilvl w:val="0"/>
          <w:numId w:val="0"/>
        </w:numPr>
        <w:snapToGrid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登录系统：实现用户的认证与授权，保证系统的安全性。</w:t>
      </w:r>
    </w:p>
    <w:p w14:paraId="637DF239">
      <w:pPr>
        <w:pStyle w:val="15"/>
        <w:numPr>
          <w:ilvl w:val="0"/>
          <w:numId w:val="0"/>
        </w:numPr>
        <w:snapToGrid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信息管理系统：提供用户信息和数据的增删查改功能。</w:t>
      </w:r>
    </w:p>
    <w:p w14:paraId="4F8DFE16">
      <w:pPr>
        <w:pStyle w:val="15"/>
        <w:numPr>
          <w:ilvl w:val="0"/>
          <w:numId w:val="0"/>
        </w:numPr>
        <w:snapToGrid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管理员系统：管理员可以管理乐器商品、租借记录及用户反馈。</w:t>
      </w:r>
    </w:p>
    <w:p w14:paraId="703818F2">
      <w:pPr>
        <w:pStyle w:val="15"/>
        <w:numPr>
          <w:ilvl w:val="0"/>
          <w:numId w:val="0"/>
        </w:numPr>
        <w:snapToGrid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乐器购买和租借系统：支持乐器的在线购买和租借功能，提供详细的商品信息和灵活的交易模式。</w:t>
      </w:r>
    </w:p>
    <w:p w14:paraId="5FBDE9BE">
      <w:pPr>
        <w:pStyle w:val="15"/>
        <w:numPr>
          <w:ilvl w:val="0"/>
          <w:numId w:val="0"/>
        </w:numPr>
        <w:snapToGrid w:val="0"/>
        <w:spacing w:line="360" w:lineRule="auto"/>
        <w:jc w:val="left"/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接口层</w:t>
      </w:r>
    </w:p>
    <w:p w14:paraId="56037149">
      <w:pPr>
        <w:pStyle w:val="15"/>
        <w:numPr>
          <w:ilvl w:val="0"/>
          <w:numId w:val="0"/>
        </w:numPr>
        <w:snapToGrid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接口层连接外部服务和内部系统，支付接口集成第三方支付服务，支持多种支付方式，保障交易的安全性和便捷性。验证接口实现用户身份的第三方认证，提高了系统的安全性。日志记录通过日志追踪系统运行状态，记录错误信息，为后续的调试和优化提供支持。</w:t>
      </w:r>
    </w:p>
    <w:p w14:paraId="4D98398E">
      <w:pPr>
        <w:pStyle w:val="15"/>
        <w:numPr>
          <w:ilvl w:val="0"/>
          <w:numId w:val="0"/>
        </w:numPr>
        <w:snapToGrid w:val="0"/>
        <w:spacing w:line="360" w:lineRule="auto"/>
        <w:jc w:val="left"/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 xml:space="preserve">数据访问层 </w:t>
      </w:r>
    </w:p>
    <w:p w14:paraId="10207A16">
      <w:pPr>
        <w:pStyle w:val="15"/>
        <w:numPr>
          <w:ilvl w:val="0"/>
          <w:numId w:val="0"/>
        </w:numPr>
        <w:snapToGrid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数据访问层负责数据的存储和处理逻辑，采用 DAO模式 以隔离数据访问逻辑，确保代码结构清晰、易维护。数据库连接池提供高效的连接管理机制，提高了系统处理高并发请求的能力。数据模型对复杂数据进行了结构化建模，方便数据的存储、查询和更新操作。</w:t>
      </w:r>
    </w:p>
    <w:p w14:paraId="075CA71C">
      <w:pPr>
        <w:pStyle w:val="15"/>
        <w:numPr>
          <w:ilvl w:val="0"/>
          <w:numId w:val="0"/>
        </w:numPr>
        <w:snapToGrid w:val="0"/>
        <w:spacing w:line="360" w:lineRule="auto"/>
        <w:jc w:val="left"/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·后端</w:t>
      </w:r>
      <w:r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数据库层</w:t>
      </w:r>
    </w:p>
    <w:p w14:paraId="382A7448">
      <w:pPr>
        <w:pStyle w:val="15"/>
        <w:numPr>
          <w:ilvl w:val="0"/>
          <w:numId w:val="0"/>
        </w:numPr>
        <w:snapToGrid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系统使用 MySQL数据库作为后端存储。MySQL 是一种高性能的关系型数据库管理系统，支持复杂的查询语句和事务管理，保障了数据的一致性和完整性。</w:t>
      </w:r>
    </w:p>
    <w:p w14:paraId="3CC75804">
      <w:pPr>
        <w:pStyle w:val="15"/>
        <w:numPr>
          <w:ilvl w:val="0"/>
          <w:numId w:val="0"/>
        </w:numPr>
        <w:snapToGrid w:val="0"/>
        <w:spacing w:line="360" w:lineRule="auto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系统采用了规范化设计和索引优化策略，提升了数据查询的效率。数据库结构设计覆盖用户信息、商品信息、订单记录、租借记录等，提供完整的数据支持。</w:t>
      </w:r>
    </w:p>
    <w:p w14:paraId="5FD847E1">
      <w:pPr>
        <w:pStyle w:val="15"/>
        <w:jc w:val="left"/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D847E2">
      <w:pPr>
        <w:pStyle w:val="15"/>
        <w:numPr>
          <w:ilvl w:val="1"/>
          <w:numId w:val="1"/>
        </w:numPr>
        <w:jc w:val="left"/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TypeLand 康熙字典體" w:hAnsi="TypeLand 康熙字典體"/>
          <w:color w:val="000000" w:themeColor="text1"/>
          <w:sz w:val="30"/>
          <w:szCs w:val="30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系统软件结构设计</w:t>
      </w:r>
    </w:p>
    <w:p w14:paraId="6F6712DB">
      <w:pPr>
        <w:pStyle w:val="15"/>
        <w:numPr>
          <w:numId w:val="0"/>
        </w:numPr>
        <w:ind w:leftChars="0"/>
        <w:jc w:val="left"/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·子系统结构图</w:t>
      </w:r>
    </w:p>
    <w:p w14:paraId="4CE29A76">
      <w:pPr>
        <w:pStyle w:val="15"/>
        <w:numPr>
          <w:numId w:val="0"/>
        </w:numPr>
        <w:ind w:leftChars="0"/>
        <w:jc w:val="left"/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305425" cy="1517015"/>
            <wp:effectExtent l="0" t="0" r="3175" b="6985"/>
            <wp:docPr id="5" name="图片 5" descr="子系统结构层次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子系统结构层次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9FFB">
      <w:pPr>
        <w:pStyle w:val="15"/>
        <w:numPr>
          <w:numId w:val="0"/>
        </w:numPr>
        <w:spacing w:line="360" w:lineRule="auto"/>
        <w:ind w:leftChars="0"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基于之前的需求分析规约，我们的乐器平台系统大致分为5个子系统：登录系统、信息管理系统、管理员系统、乐器购买系统、乐器租借系统。</w:t>
      </w:r>
    </w:p>
    <w:p w14:paraId="0E7DD104">
      <w:pPr>
        <w:pStyle w:val="15"/>
        <w:numPr>
          <w:numId w:val="0"/>
        </w:numPr>
        <w:spacing w:line="360" w:lineRule="auto"/>
        <w:ind w:leftChars="0"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登陆系统提供注册、登录操作，其中登录还包含安全验证以及找回密码的操作，来确保登录安全性以及以防用户忘记密码。</w:t>
      </w:r>
    </w:p>
    <w:p w14:paraId="585B8D41">
      <w:pPr>
        <w:pStyle w:val="15"/>
        <w:numPr>
          <w:numId w:val="0"/>
        </w:numPr>
        <w:spacing w:line="360" w:lineRule="auto"/>
        <w:ind w:leftChars="0"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信息管理系统提供查看订单、查看收藏、查看上架商品。查看订单功能中，用户可以查看自己购买的订单、租借的订单、租出的订单、出售的订单。查看收藏用于用户标记喜欢的商品，方便以后快速查看。查看上架商品其中提供了评论功能，让商家查看自己商品的评论来调整商品或者营销策略。</w:t>
      </w:r>
    </w:p>
    <w:p w14:paraId="63A822E9">
      <w:pPr>
        <w:pStyle w:val="15"/>
        <w:numPr>
          <w:numId w:val="0"/>
        </w:numPr>
        <w:spacing w:line="360" w:lineRule="auto"/>
        <w:ind w:leftChars="0"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管理员系统只有管理员有权限使用。管理员可以管理用户来封禁或者解封用户。管理员可以管理商品的上架审核以及下架不法商品。管理员可以制定平台规则，管理还可以管理用户之间的订单来处理异常订单，处理买卖纠纷。管理员可以审核评论、删除不合理评论。</w:t>
      </w:r>
    </w:p>
    <w:p w14:paraId="054CDDF5">
      <w:pPr>
        <w:pStyle w:val="15"/>
        <w:numPr>
          <w:numId w:val="0"/>
        </w:numPr>
        <w:spacing w:line="360" w:lineRule="auto"/>
        <w:ind w:leftChars="0"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乐器购买系统用于卖家、买家之间的乐器交易。买家可以在购买乐器的时候，进行支付，评价以及退货操作。卖家可以在上架商品后进行商品信息介绍的调整、商品的下架操作。</w:t>
      </w:r>
    </w:p>
    <w:p w14:paraId="5C84AE9D">
      <w:pPr>
        <w:pStyle w:val="15"/>
        <w:numPr>
          <w:numId w:val="0"/>
        </w:numPr>
        <w:spacing w:line="360" w:lineRule="auto"/>
        <w:ind w:leftChars="0"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乐器租借系统用于处理卖家、买家之间的租借流程。买家在租借的功能中同样可以进行评价、支付、退货操作。卖家可以在上架过程中进行信息调整、商品下架。卖家和买家可以共同追踪订单情况，确保乐器的归还以及验收。</w:t>
      </w:r>
    </w:p>
    <w:p w14:paraId="144EEB68">
      <w:pPr>
        <w:pStyle w:val="15"/>
        <w:numPr>
          <w:numId w:val="0"/>
        </w:numPr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03A6430">
      <w:pPr>
        <w:pStyle w:val="15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·核心概括类图</w:t>
      </w:r>
    </w:p>
    <w:p w14:paraId="56AC157D">
      <w:pPr>
        <w:pStyle w:val="15"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135" cy="4687570"/>
            <wp:effectExtent l="0" t="0" r="12065" b="11430"/>
            <wp:docPr id="6" name="图片 6" descr="a6b74303f2074a801251143e9cac2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6b74303f2074a801251143e9cac2b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503C">
      <w:pPr>
        <w:pStyle w:val="15"/>
        <w:numPr>
          <w:ilvl w:val="0"/>
          <w:numId w:val="0"/>
        </w:numPr>
        <w:ind w:leftChars="0"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于需求分析规约以及系统结构的设计，我们对乐器平台中的一些核心类进行了概括性的类图设计。其中核心的类有：USER（用户类）、ADMIN_LOG（管理员类）、INSTRUMENT(乐器类)、ORDER（订单类）、PAYMENT（支付类）、RENTAL（租借类）、REVIEW（评论类）、FAVORITE（收藏类）.</w:t>
      </w:r>
    </w:p>
    <w:p w14:paraId="60FE950F">
      <w:pPr>
        <w:pStyle w:val="15"/>
        <w:numPr>
          <w:ilvl w:val="0"/>
          <w:numId w:val="0"/>
        </w:numPr>
        <w:ind w:leftChars="0"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·用户类用于表示每一个用户的基本信息。</w:t>
      </w:r>
    </w:p>
    <w:p w14:paraId="7F8EC161">
      <w:pPr>
        <w:pStyle w:val="15"/>
        <w:numPr>
          <w:ilvl w:val="0"/>
          <w:numId w:val="0"/>
        </w:numPr>
        <w:ind w:leftChars="0"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管理类是用户类中一个子类，表示特殊的有权限的管理员用户。</w:t>
      </w:r>
    </w:p>
    <w:p w14:paraId="5725FB11">
      <w:pPr>
        <w:pStyle w:val="15"/>
        <w:numPr>
          <w:ilvl w:val="0"/>
          <w:numId w:val="0"/>
        </w:numPr>
        <w:ind w:leftChars="0"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乐器类表示每一个上架的乐器商品。</w:t>
      </w:r>
    </w:p>
    <w:p w14:paraId="03F9CCAF">
      <w:pPr>
        <w:pStyle w:val="15"/>
        <w:numPr>
          <w:ilvl w:val="0"/>
          <w:numId w:val="0"/>
        </w:numPr>
        <w:ind w:leftChars="0"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订单类表示涉及一次订单中买、卖家等基本信息。</w:t>
      </w:r>
    </w:p>
    <w:p w14:paraId="4227CBBB">
      <w:pPr>
        <w:pStyle w:val="15"/>
        <w:numPr>
          <w:ilvl w:val="0"/>
          <w:numId w:val="0"/>
        </w:numPr>
        <w:ind w:leftChars="0"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支付类表示一次订单中实际支付的信息。</w:t>
      </w:r>
    </w:p>
    <w:p w14:paraId="324B1742">
      <w:pPr>
        <w:pStyle w:val="15"/>
        <w:numPr>
          <w:ilvl w:val="0"/>
          <w:numId w:val="0"/>
        </w:numPr>
        <w:ind w:leftChars="0"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租借类表示一次租借中买、卖家信息以及租借时限信息。</w:t>
      </w:r>
    </w:p>
    <w:p w14:paraId="4BBCC333">
      <w:pPr>
        <w:pStyle w:val="15"/>
        <w:numPr>
          <w:ilvl w:val="0"/>
          <w:numId w:val="0"/>
        </w:numPr>
        <w:ind w:leftChars="0"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评论类表示购买商品的用户对该商品的评价。</w:t>
      </w:r>
    </w:p>
    <w:p w14:paraId="69A535ED">
      <w:pPr>
        <w:pStyle w:val="15"/>
        <w:numPr>
          <w:ilvl w:val="0"/>
          <w:numId w:val="0"/>
        </w:numPr>
        <w:ind w:leftChars="0"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收藏类表示每个用户的收藏购物车对象信息。</w:t>
      </w:r>
    </w:p>
    <w:p w14:paraId="565CA814">
      <w:pPr>
        <w:pStyle w:val="15"/>
        <w:numPr>
          <w:ilvl w:val="0"/>
          <w:numId w:val="0"/>
        </w:numPr>
        <w:ind w:leftChars="0" w:firstLine="480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24E2F00F">
      <w:pPr>
        <w:pStyle w:val="15"/>
        <w:numPr>
          <w:ilvl w:val="1"/>
          <w:numId w:val="1"/>
        </w:numPr>
        <w:jc w:val="left"/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TypeLand 康熙字典體" w:hAnsi="TypeLand 康熙字典體"/>
          <w:color w:val="000000" w:themeColor="text1"/>
          <w:sz w:val="30"/>
          <w:szCs w:val="30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接口设计</w:t>
      </w:r>
    </w:p>
    <w:p w14:paraId="5FD847E3">
      <w:pPr>
        <w:pStyle w:val="15"/>
        <w:numPr>
          <w:ilvl w:val="2"/>
          <w:numId w:val="1"/>
        </w:numPr>
        <w:jc w:val="left"/>
        <w:rPr>
          <w:rFonts w:hint="eastAsia" w:ascii="TypeLand 康熙字典體" w:hAnsi="TypeLand 康熙字典體"/>
          <w:color w:val="4874CB" w:themeColor="accent1"/>
          <w:sz w:val="28"/>
          <w:szCs w:val="28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TypeLand 康熙字典體" w:hAnsi="TypeLand 康熙字典體"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登录注册</w:t>
      </w:r>
    </w:p>
    <w:p w14:paraId="3238B0C2">
      <w:pPr>
        <w:pStyle w:val="15"/>
        <w:numPr>
          <w:ilvl w:val="2"/>
          <w:numId w:val="1"/>
        </w:numPr>
        <w:jc w:val="left"/>
        <w:rPr>
          <w:rFonts w:hint="eastAsia" w:ascii="TypeLand 康熙字典體" w:hAnsi="TypeLand 康熙字典體"/>
          <w:color w:val="4874CB" w:themeColor="accent1"/>
          <w:sz w:val="28"/>
          <w:szCs w:val="28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TypeLand 康熙字典體" w:hAnsi="TypeLand 康熙字典體"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等等....</w:t>
      </w:r>
    </w:p>
    <w:p w14:paraId="72C4DDC4">
      <w:pPr>
        <w:pStyle w:val="15"/>
        <w:numPr>
          <w:ilvl w:val="0"/>
          <w:numId w:val="0"/>
        </w:numPr>
        <w:snapToGrid w:val="0"/>
        <w:spacing w:line="300" w:lineRule="auto"/>
        <w:jc w:val="left"/>
        <w:rPr>
          <w:rFonts w:hint="eastAsia" w:ascii="TypeLand 康熙字典體" w:hAnsi="TypeLand 康熙字典體"/>
          <w:color w:val="4874CB" w:themeColor="accent1"/>
          <w:sz w:val="30"/>
          <w:szCs w:val="30"/>
          <w:lang w:val="en-US" w:eastAsia="zh-CN"/>
          <w14:textFill>
            <w14:solidFill>
              <w14:schemeClr w14:val="accent1"/>
            </w14:solidFill>
          </w14:textFill>
        </w:rPr>
      </w:pPr>
    </w:p>
    <w:p w14:paraId="45EE241A">
      <w:pPr>
        <w:pStyle w:val="15"/>
        <w:numPr>
          <w:ilvl w:val="1"/>
          <w:numId w:val="1"/>
        </w:numPr>
        <w:jc w:val="left"/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TypeLand 康熙字典體" w:hAnsi="TypeLand 康熙字典體"/>
          <w:color w:val="000000" w:themeColor="text1"/>
          <w:sz w:val="30"/>
          <w:szCs w:val="30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界面设计</w:t>
      </w:r>
    </w:p>
    <w:p w14:paraId="4DF5CC50">
      <w:pPr>
        <w:pStyle w:val="15"/>
        <w:numPr>
          <w:ilvl w:val="1"/>
          <w:numId w:val="1"/>
        </w:numPr>
        <w:jc w:val="left"/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TypeLand 康熙字典體" w:hAnsi="TypeLand 康熙字典體"/>
          <w:color w:val="000000" w:themeColor="text1"/>
          <w:sz w:val="30"/>
          <w:szCs w:val="30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数据库设计</w:t>
      </w:r>
    </w:p>
    <w:p w14:paraId="43661E8C">
      <w:pPr>
        <w:pStyle w:val="15"/>
        <w:numPr>
          <w:ilvl w:val="1"/>
          <w:numId w:val="1"/>
        </w:numPr>
        <w:jc w:val="left"/>
        <w:rPr>
          <w:rFonts w:hint="eastAsia" w:ascii="TypeLand 康熙字典體" w:hAnsi="TypeLand 康熙字典體"/>
          <w:color w:val="000000" w:themeColor="text1"/>
          <w:sz w:val="30"/>
          <w:szCs w:val="30"/>
          <w:lang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TypeLand 康熙字典體" w:hAnsi="TypeLand 康熙字典體"/>
          <w:color w:val="000000" w:themeColor="text1"/>
          <w:sz w:val="30"/>
          <w:szCs w:val="30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系统出错处理设计</w:t>
      </w:r>
    </w:p>
    <w:p w14:paraId="72EEB3C5">
      <w:pPr>
        <w:pStyle w:val="15"/>
        <w:numPr>
          <w:ilvl w:val="2"/>
          <w:numId w:val="1"/>
        </w:numPr>
        <w:snapToGrid w:val="0"/>
        <w:spacing w:line="300" w:lineRule="auto"/>
        <w:ind w:left="0" w:leftChars="0" w:firstLine="0" w:firstLineChars="0"/>
        <w:jc w:val="left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出错信息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2A7F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1704" w:type="dxa"/>
            <w:tcBorders>
              <w:bottom w:val="single" w:color="auto" w:sz="4" w:space="0"/>
            </w:tcBorders>
            <w:vAlign w:val="center"/>
          </w:tcPr>
          <w:p w14:paraId="6EA4C639">
            <w:pPr>
              <w:pStyle w:val="15"/>
              <w:numPr>
                <w:ilvl w:val="0"/>
                <w:numId w:val="0"/>
              </w:numPr>
              <w:snapToGrid w:val="0"/>
              <w:spacing w:line="300" w:lineRule="auto"/>
              <w:jc w:val="center"/>
              <w:rPr>
                <w:rFonts w:hint="default" w:ascii="黑体" w:hAnsi="黑体" w:eastAsia="黑体" w:cs="黑体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错误类型</w:t>
            </w:r>
          </w:p>
        </w:tc>
        <w:tc>
          <w:tcPr>
            <w:tcW w:w="1704" w:type="dxa"/>
            <w:tcBorders>
              <w:bottom w:val="single" w:color="auto" w:sz="4" w:space="0"/>
            </w:tcBorders>
            <w:vAlign w:val="center"/>
          </w:tcPr>
          <w:p w14:paraId="17A4AD64">
            <w:pPr>
              <w:pStyle w:val="15"/>
              <w:numPr>
                <w:ilvl w:val="0"/>
                <w:numId w:val="0"/>
              </w:numPr>
              <w:snapToGrid w:val="0"/>
              <w:spacing w:line="300" w:lineRule="auto"/>
              <w:jc w:val="center"/>
              <w:rPr>
                <w:rFonts w:hint="default" w:ascii="黑体" w:hAnsi="黑体" w:eastAsia="黑体" w:cs="黑体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错误名字</w:t>
            </w:r>
          </w:p>
        </w:tc>
        <w:tc>
          <w:tcPr>
            <w:tcW w:w="1704" w:type="dxa"/>
            <w:tcBorders>
              <w:bottom w:val="single" w:color="auto" w:sz="4" w:space="0"/>
            </w:tcBorders>
            <w:vAlign w:val="center"/>
          </w:tcPr>
          <w:p w14:paraId="1CE8BAEE">
            <w:pPr>
              <w:pStyle w:val="15"/>
              <w:numPr>
                <w:ilvl w:val="0"/>
                <w:numId w:val="0"/>
              </w:numPr>
              <w:snapToGrid w:val="0"/>
              <w:spacing w:line="300" w:lineRule="auto"/>
              <w:jc w:val="center"/>
              <w:rPr>
                <w:rFonts w:hint="default" w:ascii="黑体" w:hAnsi="黑体" w:eastAsia="黑体" w:cs="黑体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输出信息</w:t>
            </w:r>
          </w:p>
        </w:tc>
        <w:tc>
          <w:tcPr>
            <w:tcW w:w="1705" w:type="dxa"/>
            <w:tcBorders>
              <w:bottom w:val="single" w:color="auto" w:sz="4" w:space="0"/>
            </w:tcBorders>
            <w:vAlign w:val="center"/>
          </w:tcPr>
          <w:p w14:paraId="563CD44E">
            <w:pPr>
              <w:pStyle w:val="15"/>
              <w:numPr>
                <w:ilvl w:val="0"/>
                <w:numId w:val="0"/>
              </w:numPr>
              <w:snapToGrid w:val="0"/>
              <w:spacing w:line="300" w:lineRule="auto"/>
              <w:jc w:val="center"/>
              <w:rPr>
                <w:rFonts w:hint="default" w:ascii="黑体" w:hAnsi="黑体" w:eastAsia="黑体" w:cs="黑体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输出含义</w:t>
            </w:r>
          </w:p>
        </w:tc>
        <w:tc>
          <w:tcPr>
            <w:tcW w:w="1705" w:type="dxa"/>
            <w:tcBorders>
              <w:bottom w:val="single" w:color="auto" w:sz="4" w:space="0"/>
            </w:tcBorders>
            <w:vAlign w:val="center"/>
          </w:tcPr>
          <w:p w14:paraId="03F1F2A2">
            <w:pPr>
              <w:pStyle w:val="15"/>
              <w:numPr>
                <w:ilvl w:val="0"/>
                <w:numId w:val="0"/>
              </w:numPr>
              <w:snapToGrid w:val="0"/>
              <w:spacing w:line="300" w:lineRule="auto"/>
              <w:jc w:val="center"/>
              <w:rPr>
                <w:rFonts w:hint="default" w:ascii="黑体" w:hAnsi="黑体" w:eastAsia="黑体" w:cs="黑体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处理方法</w:t>
            </w:r>
          </w:p>
        </w:tc>
      </w:tr>
      <w:tr w14:paraId="08A00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  <w:jc w:val="center"/>
        </w:trPr>
        <w:tc>
          <w:tcPr>
            <w:tcW w:w="1704" w:type="dxa"/>
            <w:vMerge w:val="restar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5E39CCCE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19F0949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网络错误</w:t>
            </w:r>
          </w:p>
        </w:tc>
        <w:tc>
          <w:tcPr>
            <w:tcW w:w="1704" w:type="dxa"/>
            <w:tcBorders>
              <w:top w:val="single" w:color="auto" w:sz="4" w:space="0"/>
            </w:tcBorders>
            <w:vAlign w:val="center"/>
          </w:tcPr>
          <w:p w14:paraId="41B30568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</w:p>
          <w:p w14:paraId="5A11F172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>网络连接失败</w:t>
            </w:r>
          </w:p>
        </w:tc>
        <w:tc>
          <w:tcPr>
            <w:tcW w:w="1704" w:type="dxa"/>
            <w:tcBorders>
              <w:top w:val="single" w:color="auto" w:sz="4" w:space="0"/>
            </w:tcBorders>
            <w:vAlign w:val="center"/>
          </w:tcPr>
          <w:p w14:paraId="2AC32E03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网络连接失败</w:t>
            </w:r>
          </w:p>
        </w:tc>
        <w:tc>
          <w:tcPr>
            <w:tcW w:w="1705" w:type="dxa"/>
            <w:tcBorders>
              <w:top w:val="single" w:color="auto" w:sz="4" w:space="0"/>
            </w:tcBorders>
            <w:vAlign w:val="center"/>
          </w:tcPr>
          <w:p w14:paraId="16E7F046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提示用户网络接连不可用</w:t>
            </w:r>
          </w:p>
        </w:tc>
        <w:tc>
          <w:tcPr>
            <w:tcW w:w="1705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1BF61D8E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/>
                <w:sz w:val="24"/>
                <w:szCs w:val="24"/>
              </w:rPr>
              <w:t>检查网络连接</w:t>
            </w:r>
          </w:p>
        </w:tc>
      </w:tr>
      <w:tr w14:paraId="30BFF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  <w:jc w:val="center"/>
        </w:trPr>
        <w:tc>
          <w:tcPr>
            <w:tcW w:w="1704" w:type="dxa"/>
            <w:vMerge w:val="continue"/>
            <w:tcBorders>
              <w:left w:val="single" w:color="auto" w:sz="4" w:space="0"/>
            </w:tcBorders>
            <w:vAlign w:val="center"/>
          </w:tcPr>
          <w:p w14:paraId="4641E807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4" w:type="dxa"/>
            <w:vAlign w:val="center"/>
          </w:tcPr>
          <w:p w14:paraId="4E10DD76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>页面加载超时</w:t>
            </w:r>
          </w:p>
        </w:tc>
        <w:tc>
          <w:tcPr>
            <w:tcW w:w="1704" w:type="dxa"/>
            <w:vAlign w:val="center"/>
          </w:tcPr>
          <w:p w14:paraId="66913830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/>
                <w:sz w:val="24"/>
                <w:szCs w:val="24"/>
              </w:rPr>
              <w:t>页面加载超时</w:t>
            </w:r>
          </w:p>
        </w:tc>
        <w:tc>
          <w:tcPr>
            <w:tcW w:w="1705" w:type="dxa"/>
            <w:vAlign w:val="center"/>
          </w:tcPr>
          <w:p w14:paraId="200B9C64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/>
                <w:sz w:val="24"/>
                <w:szCs w:val="24"/>
              </w:rPr>
              <w:t>用户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加载</w:t>
            </w:r>
            <w:r>
              <w:rPr>
                <w:rFonts w:ascii="宋体" w:hAnsi="宋体" w:eastAsia="宋体" w:cs="宋体"/>
                <w:b w:val="0"/>
                <w:bCs/>
                <w:sz w:val="24"/>
                <w:szCs w:val="24"/>
              </w:rPr>
              <w:t>页面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超时</w:t>
            </w:r>
          </w:p>
        </w:tc>
        <w:tc>
          <w:tcPr>
            <w:tcW w:w="1705" w:type="dxa"/>
            <w:tcBorders>
              <w:right w:val="single" w:color="auto" w:sz="4" w:space="0"/>
            </w:tcBorders>
            <w:vAlign w:val="center"/>
          </w:tcPr>
          <w:p w14:paraId="394B129C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/>
                <w:sz w:val="24"/>
                <w:szCs w:val="24"/>
              </w:rPr>
              <w:t>刷新页面或检查网络连接</w:t>
            </w:r>
          </w:p>
        </w:tc>
      </w:tr>
      <w:tr w14:paraId="2E300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704" w:type="dxa"/>
            <w:vMerge w:val="restart"/>
            <w:tcBorders>
              <w:left w:val="single" w:color="auto" w:sz="4" w:space="0"/>
            </w:tcBorders>
            <w:vAlign w:val="center"/>
          </w:tcPr>
          <w:p w14:paraId="3A52A259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登陆错误</w:t>
            </w:r>
          </w:p>
        </w:tc>
        <w:tc>
          <w:tcPr>
            <w:tcW w:w="1704" w:type="dxa"/>
            <w:vAlign w:val="center"/>
          </w:tcPr>
          <w:p w14:paraId="3E5C166F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>登录失败</w:t>
            </w:r>
          </w:p>
        </w:tc>
        <w:tc>
          <w:tcPr>
            <w:tcW w:w="1704" w:type="dxa"/>
            <w:vAlign w:val="center"/>
          </w:tcPr>
          <w:p w14:paraId="32182351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密码错误</w:t>
            </w:r>
          </w:p>
        </w:tc>
        <w:tc>
          <w:tcPr>
            <w:tcW w:w="1705" w:type="dxa"/>
            <w:vAlign w:val="center"/>
          </w:tcPr>
          <w:p w14:paraId="5C478CAF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用户输入账号和密码对应失败</w:t>
            </w:r>
          </w:p>
        </w:tc>
        <w:tc>
          <w:tcPr>
            <w:tcW w:w="1705" w:type="dxa"/>
            <w:tcBorders>
              <w:right w:val="single" w:color="auto" w:sz="4" w:space="0"/>
            </w:tcBorders>
            <w:vAlign w:val="center"/>
          </w:tcPr>
          <w:p w14:paraId="71E813CA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提示用户检查用户名和密码，或使用“忘记密码”功能。</w:t>
            </w:r>
          </w:p>
        </w:tc>
      </w:tr>
      <w:tr w14:paraId="53B9D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704" w:type="dxa"/>
            <w:vMerge w:val="continue"/>
            <w:tcBorders>
              <w:left w:val="single" w:color="auto" w:sz="4" w:space="0"/>
            </w:tcBorders>
            <w:vAlign w:val="center"/>
          </w:tcPr>
          <w:p w14:paraId="3DE16877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4" w:type="dxa"/>
            <w:vAlign w:val="center"/>
          </w:tcPr>
          <w:p w14:paraId="1FCFB2B0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>身份验证失败</w:t>
            </w:r>
          </w:p>
        </w:tc>
        <w:tc>
          <w:tcPr>
            <w:tcW w:w="1704" w:type="dxa"/>
            <w:vAlign w:val="center"/>
          </w:tcPr>
          <w:p w14:paraId="6DDC74D9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用户身份验证失败</w:t>
            </w:r>
          </w:p>
        </w:tc>
        <w:tc>
          <w:tcPr>
            <w:tcW w:w="1705" w:type="dxa"/>
            <w:vAlign w:val="center"/>
          </w:tcPr>
          <w:p w14:paraId="4DCD386E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用户输入邮箱或手机验证码有误</w:t>
            </w:r>
          </w:p>
        </w:tc>
        <w:tc>
          <w:tcPr>
            <w:tcW w:w="1705" w:type="dxa"/>
            <w:tcBorders>
              <w:right w:val="single" w:color="auto" w:sz="4" w:space="0"/>
            </w:tcBorders>
            <w:vAlign w:val="center"/>
          </w:tcPr>
          <w:p w14:paraId="733D762C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使用其他验证方式或者重试</w:t>
            </w:r>
          </w:p>
        </w:tc>
      </w:tr>
      <w:tr w14:paraId="4AC71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704" w:type="dxa"/>
            <w:vMerge w:val="restart"/>
            <w:tcBorders>
              <w:left w:val="single" w:color="auto" w:sz="4" w:space="0"/>
            </w:tcBorders>
            <w:vAlign w:val="center"/>
          </w:tcPr>
          <w:p w14:paraId="551D18DB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权限错误</w:t>
            </w:r>
          </w:p>
        </w:tc>
        <w:tc>
          <w:tcPr>
            <w:tcW w:w="1704" w:type="dxa"/>
            <w:vAlign w:val="center"/>
          </w:tcPr>
          <w:p w14:paraId="6B2E0A76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>账户被封禁</w:t>
            </w:r>
          </w:p>
        </w:tc>
        <w:tc>
          <w:tcPr>
            <w:tcW w:w="1704" w:type="dxa"/>
            <w:vAlign w:val="center"/>
          </w:tcPr>
          <w:p w14:paraId="1C193ACA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账户已被封禁</w:t>
            </w:r>
          </w:p>
        </w:tc>
        <w:tc>
          <w:tcPr>
            <w:tcW w:w="1705" w:type="dxa"/>
            <w:vAlign w:val="center"/>
          </w:tcPr>
          <w:p w14:paraId="2818DDB3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该账户被封禁，无法使用</w:t>
            </w:r>
          </w:p>
        </w:tc>
        <w:tc>
          <w:tcPr>
            <w:tcW w:w="1705" w:type="dxa"/>
            <w:tcBorders>
              <w:right w:val="single" w:color="auto" w:sz="4" w:space="0"/>
            </w:tcBorders>
            <w:vAlign w:val="center"/>
          </w:tcPr>
          <w:p w14:paraId="1049D71B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用户可联系管理员进行解封</w:t>
            </w:r>
          </w:p>
        </w:tc>
      </w:tr>
      <w:tr w14:paraId="6FCB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704" w:type="dxa"/>
            <w:vMerge w:val="continue"/>
            <w:tcBorders>
              <w:left w:val="single" w:color="auto" w:sz="4" w:space="0"/>
            </w:tcBorders>
            <w:vAlign w:val="center"/>
          </w:tcPr>
          <w:p w14:paraId="1B3C8897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04" w:type="dxa"/>
            <w:vAlign w:val="center"/>
          </w:tcPr>
          <w:p w14:paraId="62D8FFBB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>用户权限不足</w:t>
            </w:r>
          </w:p>
        </w:tc>
        <w:tc>
          <w:tcPr>
            <w:tcW w:w="1704" w:type="dxa"/>
            <w:vAlign w:val="center"/>
          </w:tcPr>
          <w:p w14:paraId="2A77A629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权限不足</w:t>
            </w:r>
          </w:p>
        </w:tc>
        <w:tc>
          <w:tcPr>
            <w:tcW w:w="1705" w:type="dxa"/>
            <w:vAlign w:val="center"/>
          </w:tcPr>
          <w:p w14:paraId="1D304966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用户进行不允许的操作</w:t>
            </w:r>
          </w:p>
        </w:tc>
        <w:tc>
          <w:tcPr>
            <w:tcW w:w="1705" w:type="dxa"/>
            <w:tcBorders>
              <w:right w:val="single" w:color="auto" w:sz="4" w:space="0"/>
            </w:tcBorders>
            <w:vAlign w:val="center"/>
          </w:tcPr>
          <w:p w14:paraId="2275F28E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b w:val="0"/>
                <w:bCs/>
                <w:sz w:val="24"/>
                <w:szCs w:val="24"/>
              </w:rPr>
              <w:t>提示用户该操作需要管理员权限</w:t>
            </w:r>
          </w:p>
        </w:tc>
      </w:tr>
      <w:tr w14:paraId="78E5E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704" w:type="dxa"/>
            <w:tcBorders>
              <w:left w:val="single" w:color="auto" w:sz="4" w:space="0"/>
            </w:tcBorders>
            <w:vAlign w:val="center"/>
          </w:tcPr>
          <w:p w14:paraId="7715E41C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支付错误</w:t>
            </w:r>
          </w:p>
        </w:tc>
        <w:tc>
          <w:tcPr>
            <w:tcW w:w="1704" w:type="dxa"/>
            <w:vAlign w:val="center"/>
          </w:tcPr>
          <w:p w14:paraId="7BD86AEA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>支付失败</w:t>
            </w:r>
          </w:p>
        </w:tc>
        <w:tc>
          <w:tcPr>
            <w:tcW w:w="1704" w:type="dxa"/>
            <w:vAlign w:val="center"/>
          </w:tcPr>
          <w:p w14:paraId="3B715F25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支付失败</w:t>
            </w:r>
          </w:p>
        </w:tc>
        <w:tc>
          <w:tcPr>
            <w:tcW w:w="1705" w:type="dxa"/>
            <w:vAlign w:val="center"/>
          </w:tcPr>
          <w:p w14:paraId="717ED192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此处支付无效</w:t>
            </w:r>
          </w:p>
        </w:tc>
        <w:tc>
          <w:tcPr>
            <w:tcW w:w="1705" w:type="dxa"/>
            <w:tcBorders>
              <w:right w:val="single" w:color="auto" w:sz="4" w:space="0"/>
            </w:tcBorders>
            <w:vAlign w:val="center"/>
          </w:tcPr>
          <w:p w14:paraId="39373F49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重新支付或更换支付方式</w:t>
            </w:r>
          </w:p>
        </w:tc>
      </w:tr>
      <w:tr w14:paraId="22A03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704" w:type="dxa"/>
            <w:tcBorders>
              <w:left w:val="single" w:color="auto" w:sz="4" w:space="0"/>
            </w:tcBorders>
            <w:vAlign w:val="center"/>
          </w:tcPr>
          <w:p w14:paraId="7E06388A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库存错误</w:t>
            </w:r>
          </w:p>
        </w:tc>
        <w:tc>
          <w:tcPr>
            <w:tcW w:w="1704" w:type="dxa"/>
            <w:vAlign w:val="center"/>
          </w:tcPr>
          <w:p w14:paraId="0B5A274A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>库存不足</w:t>
            </w:r>
          </w:p>
        </w:tc>
        <w:tc>
          <w:tcPr>
            <w:tcW w:w="1704" w:type="dxa"/>
            <w:vAlign w:val="center"/>
          </w:tcPr>
          <w:p w14:paraId="4DDCE49A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该商品已售完</w:t>
            </w:r>
          </w:p>
        </w:tc>
        <w:tc>
          <w:tcPr>
            <w:tcW w:w="1705" w:type="dxa"/>
            <w:vAlign w:val="center"/>
          </w:tcPr>
          <w:p w14:paraId="369A56C4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用户尝试购买或租借的商品已售完</w:t>
            </w:r>
          </w:p>
        </w:tc>
        <w:tc>
          <w:tcPr>
            <w:tcW w:w="1705" w:type="dxa"/>
            <w:tcBorders>
              <w:right w:val="single" w:color="auto" w:sz="4" w:space="0"/>
            </w:tcBorders>
            <w:vAlign w:val="center"/>
          </w:tcPr>
          <w:p w14:paraId="7A269CFE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提醒用户购买其他商品</w:t>
            </w:r>
          </w:p>
        </w:tc>
      </w:tr>
      <w:tr w14:paraId="54E4A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704" w:type="dxa"/>
            <w:tcBorders>
              <w:left w:val="single" w:color="auto" w:sz="4" w:space="0"/>
            </w:tcBorders>
            <w:vAlign w:val="center"/>
          </w:tcPr>
          <w:p w14:paraId="396B03A8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上传错误</w:t>
            </w:r>
          </w:p>
        </w:tc>
        <w:tc>
          <w:tcPr>
            <w:tcW w:w="1704" w:type="dxa"/>
            <w:vAlign w:val="center"/>
          </w:tcPr>
          <w:p w14:paraId="61A41A23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>图片上传失败</w:t>
            </w:r>
          </w:p>
        </w:tc>
        <w:tc>
          <w:tcPr>
            <w:tcW w:w="1704" w:type="dxa"/>
            <w:vAlign w:val="center"/>
          </w:tcPr>
          <w:p w14:paraId="05714B96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上传失败</w:t>
            </w:r>
          </w:p>
        </w:tc>
        <w:tc>
          <w:tcPr>
            <w:tcW w:w="1705" w:type="dxa"/>
            <w:vAlign w:val="center"/>
          </w:tcPr>
          <w:p w14:paraId="79AD69E3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提醒商家该图片文件不可用</w:t>
            </w:r>
          </w:p>
        </w:tc>
        <w:tc>
          <w:tcPr>
            <w:tcW w:w="1705" w:type="dxa"/>
            <w:tcBorders>
              <w:right w:val="single" w:color="auto" w:sz="4" w:space="0"/>
            </w:tcBorders>
            <w:vAlign w:val="center"/>
          </w:tcPr>
          <w:p w14:paraId="7827B4F8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商家使用其他图片</w:t>
            </w:r>
          </w:p>
        </w:tc>
      </w:tr>
      <w:tr w14:paraId="3A702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704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73C1B7BA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未知错误</w:t>
            </w:r>
          </w:p>
        </w:tc>
        <w:tc>
          <w:tcPr>
            <w:tcW w:w="1704" w:type="dxa"/>
            <w:tcBorders>
              <w:bottom w:val="single" w:color="auto" w:sz="4" w:space="0"/>
            </w:tcBorders>
            <w:vAlign w:val="center"/>
          </w:tcPr>
          <w:p w14:paraId="03A008A2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FF"/>
                <w:sz w:val="24"/>
                <w:szCs w:val="24"/>
                <w:vertAlign w:val="baseline"/>
                <w:lang w:val="en-US" w:eastAsia="zh-CN"/>
              </w:rPr>
              <w:t>未知错误</w:t>
            </w:r>
          </w:p>
        </w:tc>
        <w:tc>
          <w:tcPr>
            <w:tcW w:w="1704" w:type="dxa"/>
            <w:tcBorders>
              <w:bottom w:val="single" w:color="auto" w:sz="4" w:space="0"/>
            </w:tcBorders>
            <w:vAlign w:val="center"/>
          </w:tcPr>
          <w:p w14:paraId="088B6338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未知错误，请联系人员</w:t>
            </w:r>
          </w:p>
        </w:tc>
        <w:tc>
          <w:tcPr>
            <w:tcW w:w="1705" w:type="dxa"/>
            <w:tcBorders>
              <w:bottom w:val="single" w:color="auto" w:sz="4" w:space="0"/>
            </w:tcBorders>
            <w:vAlign w:val="center"/>
          </w:tcPr>
          <w:p w14:paraId="0702B579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未考虑到的错误，但是服务器会报错</w:t>
            </w:r>
          </w:p>
        </w:tc>
        <w:tc>
          <w:tcPr>
            <w:tcW w:w="1705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B00D648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用户反馈，开发人员迅速修正</w:t>
            </w:r>
          </w:p>
        </w:tc>
      </w:tr>
    </w:tbl>
    <w:p w14:paraId="13E49DB9">
      <w:pPr>
        <w:pStyle w:val="15"/>
        <w:numPr>
          <w:ilvl w:val="0"/>
          <w:numId w:val="0"/>
        </w:numPr>
        <w:snapToGrid w:val="0"/>
        <w:spacing w:line="300" w:lineRule="auto"/>
        <w:ind w:leftChars="0"/>
        <w:jc w:val="left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12EA6C3">
      <w:pPr>
        <w:pStyle w:val="15"/>
        <w:numPr>
          <w:ilvl w:val="2"/>
          <w:numId w:val="1"/>
        </w:numPr>
        <w:snapToGrid w:val="0"/>
        <w:spacing w:line="300" w:lineRule="auto"/>
        <w:ind w:left="0" w:leftChars="0" w:firstLine="0" w:firstLineChars="0"/>
        <w:jc w:val="left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补救措施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1930"/>
        <w:gridCol w:w="4646"/>
      </w:tblGrid>
      <w:tr w14:paraId="00971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vAlign w:val="center"/>
          </w:tcPr>
          <w:p w14:paraId="68E988E1">
            <w:pPr>
              <w:pStyle w:val="15"/>
              <w:numPr>
                <w:ilvl w:val="0"/>
                <w:numId w:val="0"/>
              </w:numPr>
              <w:snapToGrid w:val="0"/>
              <w:spacing w:line="300" w:lineRule="auto"/>
              <w:jc w:val="center"/>
              <w:rPr>
                <w:rFonts w:hint="default" w:ascii="黑体" w:hAnsi="黑体" w:eastAsia="黑体" w:cs="黑体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错误类型</w:t>
            </w:r>
          </w:p>
        </w:tc>
        <w:tc>
          <w:tcPr>
            <w:tcW w:w="1930" w:type="dxa"/>
            <w:vAlign w:val="center"/>
          </w:tcPr>
          <w:p w14:paraId="5102F856">
            <w:pPr>
              <w:pStyle w:val="15"/>
              <w:numPr>
                <w:ilvl w:val="0"/>
                <w:numId w:val="0"/>
              </w:numPr>
              <w:snapToGrid w:val="0"/>
              <w:spacing w:line="300" w:lineRule="auto"/>
              <w:jc w:val="center"/>
              <w:rPr>
                <w:rFonts w:hint="default" w:ascii="黑体" w:hAnsi="黑体" w:eastAsia="黑体" w:cs="黑体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错误名字</w:t>
            </w:r>
          </w:p>
        </w:tc>
        <w:tc>
          <w:tcPr>
            <w:tcW w:w="4646" w:type="dxa"/>
            <w:vAlign w:val="center"/>
          </w:tcPr>
          <w:p w14:paraId="25D30932">
            <w:pPr>
              <w:pStyle w:val="15"/>
              <w:numPr>
                <w:ilvl w:val="0"/>
                <w:numId w:val="0"/>
              </w:numPr>
              <w:snapToGrid w:val="0"/>
              <w:spacing w:line="300" w:lineRule="auto"/>
              <w:jc w:val="center"/>
              <w:rPr>
                <w:rFonts w:hint="default" w:ascii="黑体" w:hAnsi="黑体" w:eastAsia="黑体" w:cs="黑体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补救措施</w:t>
            </w:r>
          </w:p>
        </w:tc>
      </w:tr>
      <w:tr w14:paraId="5332D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vMerge w:val="restart"/>
            <w:vAlign w:val="center"/>
          </w:tcPr>
          <w:p w14:paraId="2D3F0DB2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网络错误</w:t>
            </w:r>
          </w:p>
        </w:tc>
        <w:tc>
          <w:tcPr>
            <w:tcW w:w="1930" w:type="dxa"/>
            <w:vAlign w:val="center"/>
          </w:tcPr>
          <w:p w14:paraId="259D8004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  <w:t>网络连接失败</w:t>
            </w:r>
          </w:p>
        </w:tc>
        <w:tc>
          <w:tcPr>
            <w:tcW w:w="4646" w:type="dxa"/>
            <w:vAlign w:val="center"/>
          </w:tcPr>
          <w:p w14:paraId="44FC022D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 用户检查设备的网络连接是否正常，尝试重启路由器或切换网络。</w:t>
            </w:r>
          </w:p>
          <w:p w14:paraId="32026188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 提供刷新页面的按钮，以便用户重新尝试。</w:t>
            </w:r>
          </w:p>
        </w:tc>
      </w:tr>
      <w:tr w14:paraId="7A3BF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vMerge w:val="continue"/>
            <w:vAlign w:val="center"/>
          </w:tcPr>
          <w:p w14:paraId="20894B0E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30" w:type="dxa"/>
            <w:vAlign w:val="center"/>
          </w:tcPr>
          <w:p w14:paraId="03210B1A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  <w:t>页面加载超时</w:t>
            </w:r>
          </w:p>
        </w:tc>
        <w:tc>
          <w:tcPr>
            <w:tcW w:w="4646" w:type="dxa"/>
            <w:vAlign w:val="center"/>
          </w:tcPr>
          <w:p w14:paraId="1A047F4D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 提供页面重试按钮。</w:t>
            </w:r>
          </w:p>
          <w:p w14:paraId="08608B23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 提示用户检查网络连接并刷新页面。</w:t>
            </w:r>
          </w:p>
          <w:p w14:paraId="4EA8C4B9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 实现页面异步加载，以减轻加载时间压力。</w:t>
            </w:r>
          </w:p>
        </w:tc>
      </w:tr>
      <w:tr w14:paraId="6B273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vMerge w:val="restart"/>
            <w:vAlign w:val="center"/>
          </w:tcPr>
          <w:p w14:paraId="7917B6AA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登录错误</w:t>
            </w:r>
          </w:p>
        </w:tc>
        <w:tc>
          <w:tcPr>
            <w:tcW w:w="1930" w:type="dxa"/>
            <w:vAlign w:val="center"/>
          </w:tcPr>
          <w:p w14:paraId="1366F960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  <w:t>登录失败</w:t>
            </w:r>
          </w:p>
        </w:tc>
        <w:tc>
          <w:tcPr>
            <w:tcW w:w="4646" w:type="dxa"/>
            <w:vAlign w:val="center"/>
          </w:tcPr>
          <w:p w14:paraId="1A09622E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 提供“忘记密码”功能，帮助用户重置密码。</w:t>
            </w:r>
          </w:p>
          <w:p w14:paraId="2AE18A37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 提示用户检查输入的用户名和密码是否正确。</w:t>
            </w:r>
          </w:p>
          <w:p w14:paraId="7412C02D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 提供多次登录失败后的验证码验证以防止机器人攻击。</w:t>
            </w:r>
          </w:p>
        </w:tc>
      </w:tr>
      <w:tr w14:paraId="289B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vMerge w:val="continue"/>
            <w:vAlign w:val="center"/>
          </w:tcPr>
          <w:p w14:paraId="036D5B18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30" w:type="dxa"/>
            <w:vAlign w:val="center"/>
          </w:tcPr>
          <w:p w14:paraId="3615467E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  <w:t>身份验证失败</w:t>
            </w:r>
          </w:p>
        </w:tc>
        <w:tc>
          <w:tcPr>
            <w:tcW w:w="4646" w:type="dxa"/>
            <w:vAlign w:val="center"/>
          </w:tcPr>
          <w:p w14:paraId="2465D021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 提示用户重新输入信息并检查是否有拼写错误。</w:t>
            </w:r>
          </w:p>
          <w:p w14:paraId="7808597E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 在多次验证失败后，提供验证码验证以防止自动化攻击。</w:t>
            </w:r>
          </w:p>
        </w:tc>
      </w:tr>
      <w:tr w14:paraId="637D4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946" w:type="dxa"/>
            <w:vMerge w:val="restart"/>
            <w:vAlign w:val="center"/>
          </w:tcPr>
          <w:p w14:paraId="13E2D3EE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权限错误</w:t>
            </w:r>
          </w:p>
        </w:tc>
        <w:tc>
          <w:tcPr>
            <w:tcW w:w="1930" w:type="dxa"/>
            <w:vAlign w:val="center"/>
          </w:tcPr>
          <w:p w14:paraId="064AD354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  <w:t>账户被封禁</w:t>
            </w:r>
          </w:p>
        </w:tc>
        <w:tc>
          <w:tcPr>
            <w:tcW w:w="4646" w:type="dxa"/>
            <w:vAlign w:val="center"/>
          </w:tcPr>
          <w:p w14:paraId="42061EE2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 提供联系客服入口，用户可以通过此入口申请解锁账户。</w:t>
            </w:r>
          </w:p>
          <w:p w14:paraId="074707F1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 提供用户解禁申请流程，并说明禁用原因。</w:t>
            </w:r>
          </w:p>
        </w:tc>
      </w:tr>
      <w:tr w14:paraId="33904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vMerge w:val="continue"/>
            <w:vAlign w:val="center"/>
          </w:tcPr>
          <w:p w14:paraId="4FEE61D1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30" w:type="dxa"/>
            <w:vAlign w:val="center"/>
          </w:tcPr>
          <w:p w14:paraId="490AD00B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  <w:t>用户权限不足</w:t>
            </w:r>
          </w:p>
        </w:tc>
        <w:tc>
          <w:tcPr>
            <w:tcW w:w="4646" w:type="dxa"/>
            <w:vAlign w:val="center"/>
          </w:tcPr>
          <w:p w14:paraId="6ED9552F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 提示用户该操作需要管理员权限。</w:t>
            </w:r>
          </w:p>
          <w:p w14:paraId="0413DB06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 提供联系管理员的快捷链接或按钮，便于用户申请权限。</w:t>
            </w:r>
          </w:p>
        </w:tc>
      </w:tr>
      <w:tr w14:paraId="48B1A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vAlign w:val="center"/>
          </w:tcPr>
          <w:p w14:paraId="79935681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支付错误</w:t>
            </w:r>
          </w:p>
        </w:tc>
        <w:tc>
          <w:tcPr>
            <w:tcW w:w="1930" w:type="dxa"/>
            <w:vAlign w:val="center"/>
          </w:tcPr>
          <w:p w14:paraId="07C1F395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  <w:t>支付失败</w:t>
            </w:r>
          </w:p>
        </w:tc>
        <w:tc>
          <w:tcPr>
            <w:tcW w:w="4646" w:type="dxa"/>
            <w:vAlign w:val="center"/>
          </w:tcPr>
          <w:p w14:paraId="13C4073A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 提供用户选择其他支付方式的选项。</w:t>
            </w:r>
          </w:p>
          <w:p w14:paraId="77AB9832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 在支付失败时，允许用户保存订单并稍后重新支付。</w:t>
            </w:r>
          </w:p>
        </w:tc>
      </w:tr>
      <w:tr w14:paraId="6DD13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vAlign w:val="center"/>
          </w:tcPr>
          <w:p w14:paraId="1F56948E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库存错误</w:t>
            </w:r>
          </w:p>
        </w:tc>
        <w:tc>
          <w:tcPr>
            <w:tcW w:w="1930" w:type="dxa"/>
            <w:vAlign w:val="center"/>
          </w:tcPr>
          <w:p w14:paraId="18292A95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  <w:t>库存不足</w:t>
            </w:r>
          </w:p>
        </w:tc>
        <w:tc>
          <w:tcPr>
            <w:tcW w:w="4646" w:type="dxa"/>
            <w:vAlign w:val="center"/>
          </w:tcPr>
          <w:p w14:paraId="7A6F44B9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 提供用户选择其他商品或稍后购买的选项。</w:t>
            </w:r>
          </w:p>
          <w:p w14:paraId="7A22BBEF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 在商品页面显示库存实时更新。</w:t>
            </w:r>
          </w:p>
          <w:p w14:paraId="4A5BA983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 提供“通知商品有货”功能，用户可以在有货时收到通知。</w:t>
            </w:r>
          </w:p>
        </w:tc>
      </w:tr>
      <w:tr w14:paraId="0E6F1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vAlign w:val="center"/>
          </w:tcPr>
          <w:p w14:paraId="5C7739C3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上传错误</w:t>
            </w:r>
          </w:p>
        </w:tc>
        <w:tc>
          <w:tcPr>
            <w:tcW w:w="1930" w:type="dxa"/>
            <w:vAlign w:val="center"/>
          </w:tcPr>
          <w:p w14:paraId="50BB0849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  <w:t>图片上传失败</w:t>
            </w:r>
          </w:p>
        </w:tc>
        <w:tc>
          <w:tcPr>
            <w:tcW w:w="4646" w:type="dxa"/>
            <w:vAlign w:val="center"/>
          </w:tcPr>
          <w:p w14:paraId="1333B4EB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 提供详细的错误提示信息，告诉用户失败的原因（文件大小、格式错误等）。</w:t>
            </w:r>
          </w:p>
          <w:p w14:paraId="1EDC468A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 限制上传文件的大小和格式。</w:t>
            </w:r>
          </w:p>
          <w:p w14:paraId="00B254E4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 提供用户再次尝试上传的机会</w:t>
            </w:r>
          </w:p>
        </w:tc>
      </w:tr>
      <w:tr w14:paraId="76741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vAlign w:val="center"/>
          </w:tcPr>
          <w:p w14:paraId="772487B4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000000" w:themeColor="text1"/>
                <w:sz w:val="28"/>
                <w:szCs w:val="28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未知错误</w:t>
            </w:r>
          </w:p>
        </w:tc>
        <w:tc>
          <w:tcPr>
            <w:tcW w:w="1930" w:type="dxa"/>
            <w:vAlign w:val="center"/>
          </w:tcPr>
          <w:p w14:paraId="3B8BAB2A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  <w:t>未知错误</w:t>
            </w:r>
          </w:p>
        </w:tc>
        <w:tc>
          <w:tcPr>
            <w:tcW w:w="4646" w:type="dxa"/>
            <w:vAlign w:val="center"/>
          </w:tcPr>
          <w:p w14:paraId="2085E8B3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 提供用户反馈功能，让用户可以报告问题。</w:t>
            </w:r>
          </w:p>
          <w:p w14:paraId="4FBD29AC">
            <w:pPr>
              <w:pStyle w:val="15"/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 提供技术支持联系方式，以便用户获得帮助。</w:t>
            </w:r>
          </w:p>
        </w:tc>
      </w:tr>
    </w:tbl>
    <w:p w14:paraId="3156D9E6">
      <w:pPr>
        <w:pStyle w:val="15"/>
        <w:numPr>
          <w:ilvl w:val="0"/>
          <w:numId w:val="0"/>
        </w:numPr>
        <w:snapToGrid w:val="0"/>
        <w:spacing w:line="300" w:lineRule="auto"/>
        <w:ind w:leftChars="0"/>
        <w:jc w:val="left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154DC26E">
      <w:pPr>
        <w:pStyle w:val="15"/>
        <w:numPr>
          <w:ilvl w:val="2"/>
          <w:numId w:val="1"/>
        </w:numPr>
        <w:snapToGrid w:val="0"/>
        <w:spacing w:line="300" w:lineRule="auto"/>
        <w:ind w:left="0" w:leftChars="0" w:firstLine="0" w:firstLineChars="0"/>
        <w:jc w:val="left"/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系统维护设计</w:t>
      </w:r>
    </w:p>
    <w:p w14:paraId="521D7915">
      <w:pPr>
        <w:pStyle w:val="15"/>
        <w:tabs>
          <w:tab w:val="left" w:pos="312"/>
        </w:tabs>
        <w:spacing w:line="360" w:lineRule="auto"/>
        <w:jc w:val="left"/>
        <w:rPr>
          <w:rFonts w:hint="eastAsia" w:ascii="宋体" w:hAnsi="宋体" w:eastAsia="宋体" w:cs="宋体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 错误处理与异常抛出</w:t>
      </w:r>
    </w:p>
    <w:p w14:paraId="17773A24">
      <w:pPr>
        <w:pStyle w:val="15"/>
        <w:tabs>
          <w:tab w:val="left" w:pos="312"/>
        </w:tabs>
        <w:spacing w:line="360" w:lineRule="auto"/>
        <w:ind w:firstLine="482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（1）异常抛出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在系统核心功能实现和重要的业务逻辑中，加入了错误捕捉和异常抛出的语句。例如，在用户登录、支付处理、数据存取等关键模块中，当检测到异常情况时，系统会抛出自定义的错误信息或异常对象，以便能够及时报告给运维人员。</w:t>
      </w:r>
    </w:p>
    <w:p w14:paraId="5DE8929D">
      <w:pPr>
        <w:pStyle w:val="15"/>
        <w:tabs>
          <w:tab w:val="left" w:pos="312"/>
        </w:tabs>
        <w:spacing w:line="360" w:lineRule="auto"/>
        <w:ind w:firstLine="482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（2）错误日志 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通过在异常抛出时，系统会将错误信息写入日志文件中。这样，当系统运行中出现问题时，开发人员和运维人员可以查看错误日志来分析和定位问题。</w:t>
      </w:r>
    </w:p>
    <w:p w14:paraId="4449D83A">
      <w:pPr>
        <w:pStyle w:val="15"/>
        <w:tabs>
          <w:tab w:val="left" w:pos="312"/>
        </w:tabs>
        <w:spacing w:line="360" w:lineRule="auto"/>
        <w:jc w:val="left"/>
        <w:rPr>
          <w:rFonts w:hint="eastAsia" w:ascii="宋体" w:hAnsi="宋体" w:eastAsia="宋体" w:cs="宋体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·异常处理机制</w:t>
      </w:r>
    </w:p>
    <w:p w14:paraId="2B0289E7">
      <w:pPr>
        <w:pStyle w:val="15"/>
        <w:numPr>
          <w:ilvl w:val="0"/>
          <w:numId w:val="2"/>
        </w:numPr>
        <w:tabs>
          <w:tab w:val="left" w:pos="312"/>
        </w:tabs>
        <w:spacing w:line="360" w:lineRule="auto"/>
        <w:ind w:firstLine="482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用户提醒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对于用户，系统会提供清晰的错误提示，说明出现问题的原因及可能的解决方法。例如，用户输入错误的账号和密码时，系统会返回“用户名或密码错误，请重试”信息。</w:t>
      </w:r>
    </w:p>
    <w:p w14:paraId="1BED37BC">
      <w:pPr>
        <w:pStyle w:val="15"/>
        <w:numPr>
          <w:ilvl w:val="0"/>
          <w:numId w:val="2"/>
        </w:numPr>
        <w:tabs>
          <w:tab w:val="left" w:pos="312"/>
        </w:tabs>
        <w:spacing w:line="360" w:lineRule="auto"/>
        <w:ind w:firstLine="482" w:firstLineChars="20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用户反馈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用户对于无法处理的错误，或者未知错误，平台会提供一个联系方式，用户可以反馈给客服。客服帮助解决异常，或者进一步联系开发人员对系统进行修正完善。</w:t>
      </w:r>
    </w:p>
    <w:p w14:paraId="5FD848CD">
      <w:pPr>
        <w:pStyle w:val="15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sectPr>
      <w:footerReference r:id="rId11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ypeLand 康熙字典體">
    <w:altName w:val="MingLiU-ExtB"/>
    <w:panose1 w:val="00000000000000000000"/>
    <w:charset w:val="88"/>
    <w:family w:val="modern"/>
    <w:pitch w:val="default"/>
    <w:sig w:usb0="00000000" w:usb1="00000000" w:usb2="00000012" w:usb3="00000000" w:csb0="001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12A15">
    <w:pPr>
      <w:pStyle w:val="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8D9BA"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1EABE">
    <w:pPr>
      <w:pStyle w:val="5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848DF">
    <w:pPr>
      <w:pStyle w:val="5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D848E2">
                          <w:pPr>
                            <w:pStyle w:val="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D848E2">
                    <w:pPr>
                      <w:pStyle w:val="5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848DE">
    <w:pPr>
      <w:pStyle w:val="6"/>
      <w:pBdr>
        <w:bottom w:val="double" w:color="auto" w:sz="8" w:space="1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B06AB"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86400">
    <w:pPr>
      <w:pStyle w:val="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FCA5A8"/>
    <w:multiLevelType w:val="singleLevel"/>
    <w:tmpl w:val="92FCA5A8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9BFE222"/>
    <w:multiLevelType w:val="multilevel"/>
    <w:tmpl w:val="E9BFE2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QwYWVlYTlhYjIwMzg1ZTI2Njg1MWZhYTIyMWI3YzEifQ=="/>
  </w:docVars>
  <w:rsids>
    <w:rsidRoot w:val="00FC3CA5"/>
    <w:rsid w:val="00024DD1"/>
    <w:rsid w:val="000749E3"/>
    <w:rsid w:val="00091CC5"/>
    <w:rsid w:val="000F4611"/>
    <w:rsid w:val="00117A9A"/>
    <w:rsid w:val="0014646A"/>
    <w:rsid w:val="001E1E06"/>
    <w:rsid w:val="001F5AFA"/>
    <w:rsid w:val="00204A51"/>
    <w:rsid w:val="00220D67"/>
    <w:rsid w:val="00241B6E"/>
    <w:rsid w:val="00253C4B"/>
    <w:rsid w:val="00254228"/>
    <w:rsid w:val="0027214B"/>
    <w:rsid w:val="00281258"/>
    <w:rsid w:val="002A184A"/>
    <w:rsid w:val="002B54E0"/>
    <w:rsid w:val="002D09D6"/>
    <w:rsid w:val="0032662A"/>
    <w:rsid w:val="00332E58"/>
    <w:rsid w:val="00342054"/>
    <w:rsid w:val="003450A9"/>
    <w:rsid w:val="00356C5E"/>
    <w:rsid w:val="00395081"/>
    <w:rsid w:val="003B6D29"/>
    <w:rsid w:val="003E3E9E"/>
    <w:rsid w:val="003E770F"/>
    <w:rsid w:val="004500D1"/>
    <w:rsid w:val="00477CA8"/>
    <w:rsid w:val="004B486D"/>
    <w:rsid w:val="004B7A8C"/>
    <w:rsid w:val="004D0930"/>
    <w:rsid w:val="004D55EF"/>
    <w:rsid w:val="00555898"/>
    <w:rsid w:val="005C7284"/>
    <w:rsid w:val="00620610"/>
    <w:rsid w:val="00647A26"/>
    <w:rsid w:val="006665DB"/>
    <w:rsid w:val="0066754C"/>
    <w:rsid w:val="006943BB"/>
    <w:rsid w:val="00742433"/>
    <w:rsid w:val="0075099C"/>
    <w:rsid w:val="00762A52"/>
    <w:rsid w:val="0077106C"/>
    <w:rsid w:val="00801DE9"/>
    <w:rsid w:val="0081179B"/>
    <w:rsid w:val="00823C71"/>
    <w:rsid w:val="00846460"/>
    <w:rsid w:val="0085715B"/>
    <w:rsid w:val="00862F98"/>
    <w:rsid w:val="008725B9"/>
    <w:rsid w:val="00885BF3"/>
    <w:rsid w:val="00887334"/>
    <w:rsid w:val="00890C62"/>
    <w:rsid w:val="00894E69"/>
    <w:rsid w:val="00894EDC"/>
    <w:rsid w:val="008B1B32"/>
    <w:rsid w:val="008C4401"/>
    <w:rsid w:val="008E63A6"/>
    <w:rsid w:val="0091410F"/>
    <w:rsid w:val="009A5F4F"/>
    <w:rsid w:val="009B2DC6"/>
    <w:rsid w:val="009F4B9C"/>
    <w:rsid w:val="00A019A0"/>
    <w:rsid w:val="00A36F38"/>
    <w:rsid w:val="00A87AA0"/>
    <w:rsid w:val="00AD6293"/>
    <w:rsid w:val="00B06065"/>
    <w:rsid w:val="00B11F43"/>
    <w:rsid w:val="00BA382C"/>
    <w:rsid w:val="00BA5146"/>
    <w:rsid w:val="00BE598F"/>
    <w:rsid w:val="00BF7C51"/>
    <w:rsid w:val="00C5033B"/>
    <w:rsid w:val="00C57DF0"/>
    <w:rsid w:val="00C939E9"/>
    <w:rsid w:val="00CA6C2B"/>
    <w:rsid w:val="00D0235A"/>
    <w:rsid w:val="00D84FDC"/>
    <w:rsid w:val="00DA11C7"/>
    <w:rsid w:val="00DD27C6"/>
    <w:rsid w:val="00E449FF"/>
    <w:rsid w:val="00EB558C"/>
    <w:rsid w:val="00EC2BD2"/>
    <w:rsid w:val="00F209C0"/>
    <w:rsid w:val="00F44B04"/>
    <w:rsid w:val="00F67D79"/>
    <w:rsid w:val="00FC3CA5"/>
    <w:rsid w:val="025516C8"/>
    <w:rsid w:val="02A36C44"/>
    <w:rsid w:val="056333D1"/>
    <w:rsid w:val="06113EC5"/>
    <w:rsid w:val="065B24A5"/>
    <w:rsid w:val="06ED3BCC"/>
    <w:rsid w:val="08B82D1E"/>
    <w:rsid w:val="0931701E"/>
    <w:rsid w:val="0AC05EBA"/>
    <w:rsid w:val="0B9F01C5"/>
    <w:rsid w:val="0BD32020"/>
    <w:rsid w:val="0C330459"/>
    <w:rsid w:val="0C360B29"/>
    <w:rsid w:val="0DBA7952"/>
    <w:rsid w:val="0DDB1BA2"/>
    <w:rsid w:val="10002F26"/>
    <w:rsid w:val="114C04A7"/>
    <w:rsid w:val="11646C14"/>
    <w:rsid w:val="12AF0CEE"/>
    <w:rsid w:val="12DC1F6E"/>
    <w:rsid w:val="12EA7F78"/>
    <w:rsid w:val="16481B85"/>
    <w:rsid w:val="1755315C"/>
    <w:rsid w:val="19553829"/>
    <w:rsid w:val="1A7346EE"/>
    <w:rsid w:val="1B2E1096"/>
    <w:rsid w:val="1BA13103"/>
    <w:rsid w:val="1DAD49C3"/>
    <w:rsid w:val="1DC13FCB"/>
    <w:rsid w:val="1E1D56A5"/>
    <w:rsid w:val="1EE32B11"/>
    <w:rsid w:val="21F030D1"/>
    <w:rsid w:val="23D84B89"/>
    <w:rsid w:val="244119C2"/>
    <w:rsid w:val="252032C7"/>
    <w:rsid w:val="288661CA"/>
    <w:rsid w:val="28EE7EBC"/>
    <w:rsid w:val="29283150"/>
    <w:rsid w:val="295E6B72"/>
    <w:rsid w:val="2AE24BA9"/>
    <w:rsid w:val="2C324A12"/>
    <w:rsid w:val="2CAC33C6"/>
    <w:rsid w:val="2D131063"/>
    <w:rsid w:val="314D571F"/>
    <w:rsid w:val="31781E47"/>
    <w:rsid w:val="32B074A6"/>
    <w:rsid w:val="3B704014"/>
    <w:rsid w:val="3CEB3A97"/>
    <w:rsid w:val="3D6911CF"/>
    <w:rsid w:val="3F72224D"/>
    <w:rsid w:val="3FBE37A3"/>
    <w:rsid w:val="43895DB7"/>
    <w:rsid w:val="443F0BC4"/>
    <w:rsid w:val="488B4F59"/>
    <w:rsid w:val="491E2FB2"/>
    <w:rsid w:val="4BF4363A"/>
    <w:rsid w:val="4C290DA3"/>
    <w:rsid w:val="4C63256E"/>
    <w:rsid w:val="4CB16E35"/>
    <w:rsid w:val="4D990D71"/>
    <w:rsid w:val="4DE7630D"/>
    <w:rsid w:val="4E215B58"/>
    <w:rsid w:val="4F1D1E4E"/>
    <w:rsid w:val="50100316"/>
    <w:rsid w:val="528D59E4"/>
    <w:rsid w:val="53770784"/>
    <w:rsid w:val="56446F6C"/>
    <w:rsid w:val="59034DDB"/>
    <w:rsid w:val="59493BC7"/>
    <w:rsid w:val="59BA5869"/>
    <w:rsid w:val="5A393C3C"/>
    <w:rsid w:val="5A500DE6"/>
    <w:rsid w:val="5DCF1811"/>
    <w:rsid w:val="5E9B16F3"/>
    <w:rsid w:val="5EA82EAE"/>
    <w:rsid w:val="5EE47928"/>
    <w:rsid w:val="5F2F240C"/>
    <w:rsid w:val="5F9A1332"/>
    <w:rsid w:val="61171269"/>
    <w:rsid w:val="62B47D55"/>
    <w:rsid w:val="6301622C"/>
    <w:rsid w:val="66807B4C"/>
    <w:rsid w:val="672A02FD"/>
    <w:rsid w:val="67F56318"/>
    <w:rsid w:val="6804655B"/>
    <w:rsid w:val="693D54E4"/>
    <w:rsid w:val="69EF6000"/>
    <w:rsid w:val="6B2A2760"/>
    <w:rsid w:val="6C3A254B"/>
    <w:rsid w:val="6CE526E1"/>
    <w:rsid w:val="6E8019E1"/>
    <w:rsid w:val="6F332A53"/>
    <w:rsid w:val="716E0612"/>
    <w:rsid w:val="74E7023C"/>
    <w:rsid w:val="757B58D0"/>
    <w:rsid w:val="7636175E"/>
    <w:rsid w:val="76F02F53"/>
    <w:rsid w:val="78713799"/>
    <w:rsid w:val="78826BB2"/>
    <w:rsid w:val="7C5C4760"/>
    <w:rsid w:val="7DF335AC"/>
    <w:rsid w:val="7F21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300" w:lineRule="auto"/>
      <w:ind w:firstLine="480" w:firstLineChars="200"/>
      <w:jc w:val="both"/>
    </w:pPr>
    <w:rPr>
      <w:rFonts w:ascii="Times New Roman" w:hAnsi="Times New Roman" w:eastAsia="宋体" w:cs="Times New Roman"/>
      <w:sz w:val="24"/>
      <w:lang w:val="en-US" w:eastAsia="en-US" w:bidi="en-US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/>
      <w:b/>
      <w:bCs/>
      <w:sz w:val="27"/>
      <w:szCs w:val="27"/>
      <w:lang w:eastAsia="zh-CN" w:bidi="ar-SA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bCs/>
      <w:szCs w:val="24"/>
      <w:lang w:eastAsia="zh-CN" w:bidi="ar-SA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Autospacing="1" w:afterAutospacing="1"/>
      <w:jc w:val="left"/>
      <w:outlineLvl w:val="4"/>
    </w:pPr>
    <w:rPr>
      <w:rFonts w:hint="eastAsia" w:ascii="宋体" w:hAnsi="宋体"/>
      <w:b/>
      <w:bCs/>
      <w:sz w:val="20"/>
      <w:lang w:eastAsia="zh-CN" w:bidi="ar-SA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lang w:eastAsia="zh-CN" w:bidi="ar-SA"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uiPriority w:val="0"/>
    <w:rPr>
      <w:color w:val="0000FF"/>
      <w:u w:val="single"/>
    </w:rPr>
  </w:style>
  <w:style w:type="character" w:styleId="13">
    <w:name w:val="HTML Code"/>
    <w:basedOn w:val="10"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14">
    <w:name w:val="硕士学位论文"/>
    <w:basedOn w:val="1"/>
    <w:qFormat/>
    <w:uiPriority w:val="0"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type="paragraph" w:customStyle="1" w:styleId="15">
    <w:name w:val="论文题目"/>
    <w:basedOn w:val="1"/>
    <w:qFormat/>
    <w:uiPriority w:val="0"/>
    <w:pPr>
      <w:ind w:firstLine="0" w:firstLineChars="0"/>
      <w:jc w:val="center"/>
    </w:pPr>
    <w:rPr>
      <w:rFonts w:ascii="华文细黑" w:hAnsi="华文细黑" w:eastAsia="华文细黑"/>
      <w:b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3114</Words>
  <Characters>3501</Characters>
  <Lines>74</Lines>
  <Paragraphs>21</Paragraphs>
  <TotalTime>6</TotalTime>
  <ScaleCrop>false</ScaleCrop>
  <LinksUpToDate>false</LinksUpToDate>
  <CharactersWithSpaces>3608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2024-11-19T06:46:00Z</dcterms:created>
  <dc:creator>陈甫彬</dc:creator>
  <cp:lastModifiedBy>Viva La Vida</cp:lastModifiedBy>
  <dcterms:modified xsi:type="dcterms:W3CDTF">2024-12-03T03:09:55Z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C7CFDE4CB99C4BCA85C2B3881CC64798_13</vt:lpwstr>
  </property>
</Properties>
</file>