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sz w:val="36"/>
        </w:rPr>
        <w:t>资产负债说明</w:t>
      </w:r>
    </w:p>
    <w:p>
      <w:r>
        <w:rPr>
          <w:rFonts w:ascii="Microsoft YaHei" w:hAnsi="Microsoft YaHei" w:eastAsia="Microsoft YaHei"/>
          <w:sz w:val="22"/>
        </w:rPr>
        <w:t>一、资产负债表摘要（截至2024年12月31日）</w:t>
      </w:r>
    </w:p>
    <w:p>
      <w:r>
        <w:rPr>
          <w:rFonts w:ascii="Microsoft YaHei" w:hAnsi="Microsoft YaHei" w:eastAsia="Microsoft YaHei"/>
          <w:sz w:val="22"/>
        </w:rPr>
        <w:t>资产总计7,200万元：其中货币资金860万元、应收账款1,480万元、存货1,120万元（原材料480万元、在产品260万元、产成品380万元）、固定资产净值2,340万元、预付款项及其他资产1,400万元。</w:t>
      </w:r>
    </w:p>
    <w:p>
      <w:r>
        <w:rPr>
          <w:rFonts w:ascii="Microsoft YaHei" w:hAnsi="Microsoft YaHei" w:eastAsia="Microsoft YaHei"/>
          <w:sz w:val="22"/>
        </w:rPr>
        <w:t>负债及所有者权益总计7,200万元：其中短期借款1,200万元（银行抵押贷款800万元、信用贷款400万元）、应付账款980万元、其他流动负债（合同负债、应付职工薪酬、应交税费等）1,220万元、所有者权益（净资产）3,800万元。</w:t>
      </w:r>
    </w:p>
    <w:p>
      <w:r>
        <w:rPr>
          <w:rFonts w:ascii="Microsoft YaHei" w:hAnsi="Microsoft YaHei" w:eastAsia="Microsoft YaHei"/>
          <w:sz w:val="22"/>
        </w:rPr>
        <w:t>二、偿债能力指标</w:t>
      </w:r>
    </w:p>
    <w:p>
      <w:r>
        <w:rPr>
          <w:rFonts w:ascii="Microsoft YaHei" w:hAnsi="Microsoft YaHei" w:eastAsia="Microsoft YaHei"/>
          <w:sz w:val="22"/>
        </w:rPr>
        <w:t>资产负债率约47.2%；流动比率约1.7；短期借款均有对应经营周转安排，未出现逾期或展期情况。</w:t>
      </w:r>
    </w:p>
    <w:p>
      <w:r>
        <w:rPr>
          <w:rFonts w:ascii="Microsoft YaHei" w:hAnsi="Microsoft YaHei" w:eastAsia="Microsoft YaHei"/>
          <w:sz w:val="22"/>
        </w:rPr>
        <w:t>三、应收账款账龄</w:t>
      </w:r>
    </w:p>
    <w:p>
      <w:r>
        <w:rPr>
          <w:rFonts w:ascii="Microsoft YaHei" w:hAnsi="Microsoft YaHei" w:eastAsia="Microsoft YaHei"/>
          <w:sz w:val="22"/>
        </w:rPr>
        <w:t>应收账款1,480万元中：账龄一年以内约1,332万元（占比90%）、一至二年约118万元（占比8%）、二年以上约30万元（占比2%），历史坏账率低。</w:t>
      </w:r>
    </w:p>
    <w:p>
      <w:r>
        <w:rPr>
          <w:rFonts w:ascii="Microsoft YaHei" w:hAnsi="Microsoft YaHei" w:eastAsia="Microsoft YaHei"/>
          <w:sz w:val="22"/>
        </w:rPr>
        <w:t>四、存货构成</w:t>
      </w:r>
    </w:p>
    <w:p>
      <w:r>
        <w:rPr>
          <w:rFonts w:ascii="Microsoft YaHei" w:hAnsi="Microsoft YaHei" w:eastAsia="Microsoft YaHei"/>
          <w:sz w:val="22"/>
        </w:rPr>
        <w:t>存货以在制项目和标准备件为主，产成品对应已签合同订单，不存在明显积压；计提存货跌价准备符合企业会计政策。</w:t>
      </w:r>
    </w:p>
    <w:p>
      <w:r>
        <w:rPr>
          <w:rFonts w:ascii="Microsoft YaHei" w:hAnsi="Microsoft YaHei" w:eastAsia="Microsoft YaHei"/>
          <w:sz w:val="22"/>
        </w:rPr>
        <w:t>五、担保与或有事项</w:t>
      </w:r>
    </w:p>
    <w:p>
      <w:r>
        <w:rPr>
          <w:rFonts w:ascii="Microsoft YaHei" w:hAnsi="Microsoft YaHei" w:eastAsia="Microsoft YaHei"/>
          <w:sz w:val="22"/>
        </w:rPr>
        <w:t>企业无对外担保，无未决重大诉讼，无资产被查封、冻结或质押（短期借款抵押资产除外），无重大未披露或有负债。</w:t>
      </w:r>
    </w:p>
    <w:p>
      <w:r>
        <w:rPr>
          <w:rFonts w:ascii="Microsoft YaHei" w:hAnsi="Microsoft YaHei" w:eastAsia="Microsoft YaHei"/>
          <w:sz w:val="22"/>
        </w:rPr>
        <w:t>仅供资料完整度与规则匹配演示参考，不参与贷款申请、审批、授信、额度测算或金融产品销售。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资产负债说明</dc:title>
  <dc:subject/>
  <dc:creator>企业资料资产化与场景知识库 DEMO</dc:creator>
  <cp:keywords/>
  <dc:description>generated by python-docx</dc:description>
  <cp:lastModifiedBy/>
  <cp:revision>1</cp:revision>
  <dcterms:created xsi:type="dcterms:W3CDTF">2026-08-14T10:00:13Z</dcterms:created>
  <dcterms:modified xsi:type="dcterms:W3CDTF">2026-08-14T10:00:13Z</dcterms:modified>
  <cp:category/>
</cp:coreProperties>
</file>