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经营情况说明（模拟资料）</w:t>
      </w:r>
    </w:p>
    <w:p>
      <w:r>
        <w:rPr>
          <w:rFonts w:ascii="Microsoft YaHei" w:hAnsi="Microsoft YaHei" w:eastAsia="Microsoft YaHei"/>
          <w:sz w:val="22"/>
        </w:rPr>
        <w:t>本文件描述虚构主体的经营连续性和资料准备情况，不构成经营证明。</w:t>
      </w:r>
    </w:p>
    <w:p>
      <w:r>
        <w:rPr>
          <w:rFonts w:ascii="Microsoft YaHei" w:hAnsi="Microsoft YaHei" w:eastAsia="Microsoft YaHei"/>
          <w:sz w:val="22"/>
        </w:rPr>
        <w:t>当前只提供一份经营情况说明，未提供连续两年经营证明。</w:t>
      </w:r>
    </w:p>
    <w:p>
      <w:r>
        <w:rPr>
          <w:rFonts w:ascii="Microsoft YaHei" w:hAnsi="Microsoft YaHei" w:eastAsia="Microsoft YaHei"/>
          <w:sz w:val="22"/>
        </w:rPr>
        <w:t>仅供资料完整度与规则匹配演示参考，不参与贷款申请、审批、授信、额度测算或金融产品销售。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经营情况说明（模拟资料）</dc:title>
  <dc:subject/>
  <dc:creator>企业资料资产化与场景知识库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