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sz w:val="36"/>
        </w:rPr>
        <w:t>资产负债说明（模拟资料）</w:t>
      </w:r>
    </w:p>
    <w:p>
      <w:r>
        <w:rPr>
          <w:rFonts w:ascii="Microsoft YaHei" w:hAnsi="Microsoft YaHei" w:eastAsia="Microsoft YaHei"/>
          <w:sz w:val="22"/>
        </w:rPr>
        <w:t>资产与负债信息均为虚构示例，不包含真实财产、债务、身份或征信数据。</w:t>
      </w:r>
    </w:p>
    <w:p>
      <w:r>
        <w:rPr>
          <w:rFonts w:ascii="Microsoft YaHei" w:hAnsi="Microsoft YaHei" w:eastAsia="Microsoft YaHei"/>
          <w:sz w:val="22"/>
        </w:rPr>
        <w:t>资料状态：已提供资产负债说明，可用于演示材料完整度核验。</w:t>
      </w:r>
    </w:p>
    <w:p>
      <w:r>
        <w:rPr>
          <w:rFonts w:ascii="Microsoft YaHei" w:hAnsi="Microsoft YaHei" w:eastAsia="Microsoft YaHei"/>
          <w:sz w:val="22"/>
        </w:rPr>
        <w:t>仅供资料完整度与规则匹配演示参考，不参与贷款申请、审批、授信、额度测算或金融产品销售。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资产负债说明（模拟资料）</dc:title>
  <dc:subject/>
  <dc:creator>企业资料资产化与场景知识库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