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sz w:val="36"/>
        </w:rPr>
        <w:t>资料概览与授权说明（模拟）</w:t>
      </w:r>
    </w:p>
    <w:p>
      <w:r>
        <w:rPr>
          <w:rFonts w:ascii="Microsoft YaHei" w:hAnsi="Microsoft YaHei" w:eastAsia="Microsoft YaHei"/>
          <w:sz w:val="22"/>
        </w:rPr>
        <w:t>本演示资料全部为虚构或脱敏样例，禁止用于真实金融业务判断。</w:t>
      </w:r>
    </w:p>
    <w:p>
      <w:r>
        <w:rPr>
          <w:rFonts w:ascii="Microsoft YaHei" w:hAnsi="Microsoft YaHei" w:eastAsia="Microsoft YaHei"/>
          <w:sz w:val="22"/>
        </w:rPr>
        <w:t>资料用途：展示企业资料资产化、版本化、权限检索和确定性规则匹配。</w:t>
      </w:r>
    </w:p>
    <w:p>
      <w:r>
        <w:rPr>
          <w:rFonts w:ascii="Microsoft YaHei" w:hAnsi="Microsoft YaHei" w:eastAsia="Microsoft YaHei"/>
          <w:sz w:val="22"/>
        </w:rPr>
        <w:t>仅供资料完整度与规则匹配演示参考，不参与贷款申请、审批、授信、额度测算或金融产品销售。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资料概览与授权说明（模拟）</dc:title>
  <dc:subject/>
  <dc:creator>企业资料资产化与场景知识库 DEMO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