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及び専門化していけば、それぞれと相互に作用する必要は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ヘテロジニアス）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Polkadotは将来的には、予定されている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このカートリッジはとても高額で、コードを作成し、チップに組むにも時間がかかり、失敗は許されませんでした。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しかし、ブロックチェーンはアプリ、ゲーム、またブラウザのアップグレードを行うよりはるかに難しいことです。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ネットワークをフォークする必要があり、これは数か月かかることがあります。特に問題により議論が発生するようなハードフォークであれば、コミュニティ自体を分けてしまうこともあります。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この機能を持つことにより、Polkadotはプロジェクトが機敏、順応性が高く、技術の進化に柔軟であり続けるようにします。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デザインによる</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コラボ作業</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しかし、特定のユースケースのためのチェーンが増えていくにつれて、クロスチェーン同士が相互にコミュニケーションを行い、また相互運用する必要が高まります。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