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An Introduction to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 Introduction to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empowers the individual against much more powerful corporate and state actors.”</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Founder</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Table of Contents</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Introduction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Overview</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Sharding</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Scalability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Upgradeability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Transparent Governance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Architecture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Consensus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Contact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Introduction</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LESS TRUST</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TRUTH</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Every day we interact with technologies controlled by a handful of large companies whose interests and incentives often conflict with our own.</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If we want the benefits of using their proprietary apps, we’re forced to agree to terms that most of us will never read, granting these companies complete control over the data we generate through each interaction with their tools.</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Because that data can often paint a detailed picture of our personal lives, it’s become a resource more valuable than oil. And we’re giving it up for free—with no choice but to trust that it won’t be lost, stolen or misused.</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At the same time, progress in open-source and decentralized technologies like blockchain has shown that we can build systems that prioritize individual sovereignty over centralized control. With these new systems, there’s no need to trust any third parties not to be evil.</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But blockchain technology, in its current form, isn’t ready to break the corporate stranglehold on the web just yet. Despite the promise and the progress made, we have yet to see significant real-world deployment of the technology.</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Overview</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next-generation blockchain protocol that unites an entire network of purpose-built blockchains, allowing them to operate seamlessly together at scale. Because Polkadot allows any type of data to be sent between any type of blockchain, it unlocks a wide range of real-world use cases.</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bringing together the best features from multiple specialized blockchains, Polkadot paves the way for new decentralized marketplaces to emerge, offering fairer ways to access services through a variety of apps and providers.</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While blockchains have demonstrated great promise in several fields—Internet of Things (IoT), finance, governance, identity management, web decentralization, and asset-tracking to name a few—design limitations in previous systems have largely hindered large-scale adoption.</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design offers several distinct advantages over existing and legacy networks, including </w:t>
      </w:r>
      <w:r>
        <w:rPr>
          <w:rFonts w:ascii="Helvetica Neue" w:hAnsi="Helvetica Neue" w:cs="Helvetica Neue" w:eastAsia="Helvetica Neue"/>
          <w:i w:val="1"/>
          <w:sz w:val="28"/>
          <w:szCs w:val="28"/>
        </w:rPr>
        <w:t xml:space="preserve">heterogeneous sharding, scalability,</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upgradeability, transparent governance and cross-chain composability.</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THIS IS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UNBOUNDED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