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60"/>
      </w:pPr>
      <w:r>
        <w:t>Runtime Assurance for Autonomous Maritime Systems</w:t>
      </w:r>
    </w:p>
    <w:p>
      <w:pPr>
        <w:spacing w:after="180"/>
      </w:pPr>
      <w:r>
        <w:rPr>
          <w:rFonts w:ascii="Aptos" w:hAnsi="Aptos"/>
          <w:b/>
          <w:i w:val="0"/>
          <w:color w:val="1E78B4"/>
          <w:sz w:val="22"/>
        </w:rPr>
        <w:t>A bounded safety governor for real-time supervision of autonomous vessel commands</w:t>
      </w:r>
    </w:p>
    <w:p>
      <w:pPr>
        <w:spacing w:after="160" w:line="259" w:lineRule="auto"/>
      </w:pPr>
      <w:r>
        <w:rPr>
          <w:rFonts w:ascii="Aptos" w:hAnsi="Aptos"/>
          <w:b/>
          <w:i w:val="0"/>
          <w:color w:val="167C63"/>
          <w:sz w:val="20"/>
        </w:rPr>
        <w:t xml:space="preserve">Recommendation. </w:t>
      </w:r>
      <w:r>
        <w:rPr>
          <w:rFonts w:ascii="Aptos" w:hAnsi="Aptos"/>
          <w:b w:val="0"/>
          <w:i w:val="0"/>
          <w:color w:val="17232D"/>
          <w:sz w:val="18"/>
        </w:rPr>
        <w:t>Use A5, the evidence-conditioned predictive-filter hybrid, as the hackathon integration architecture. It gave the strongest operational result among the recovery-oriented candidates in the 60-episode development study: 99.83% gate acceptance and three deadline misses, compared with six for A3 and ten for A4. This is a prototype selection, not a certified safety conclusion; the formal study correctly withheld a winner because missions were censored, uncertainty bounds were exceeded, and only three seeds per scenario were run.</w:t>
      </w:r>
    </w:p>
    <w:p>
      <w:pPr>
        <w:pStyle w:val="Heading1"/>
        <w:keepNext/>
        <w:spacing w:before="140" w:after="60"/>
      </w:pPr>
      <w:r>
        <w:rPr>
          <w:rFonts w:ascii="Aptos Display" w:hAnsi="Aptos Display"/>
          <w:b/>
          <w:color w:val="000000"/>
          <w:sz w:val="26"/>
        </w:rPr>
        <w:t>The problem and the safety boundary</w:t>
      </w:r>
    </w:p>
    <w:p>
      <w:pPr>
        <w:spacing w:before="0" w:after="120" w:line="259" w:lineRule="auto"/>
      </w:pPr>
      <w:r>
        <w:rPr>
          <w:rFonts w:ascii="Aptos" w:hAnsi="Aptos"/>
          <w:b w:val="0"/>
          <w:i w:val="0"/>
          <w:color w:val="17232D"/>
          <w:sz w:val="18"/>
        </w:rPr>
        <w:t>An autonomous vessel can produce unsafe commands even when each onboard component appears healthy. Horizon places an independent runtime-assurance layer between the decision-making AI and the actuators. It continuously evaluates the proposed heading and speed against fused navigation state, obstacle estimates, uncertainty, platform limits, source health, and communication freshness. The AI retains control only while its command remains admissible. Otherwise, Horizon modifies the command, selects a validated recovery, or issues a minimum-risk fallback.</w:t>
      </w:r>
    </w:p>
    <w:tbl>
      <w:tblPr>
        <w:tblW w:type="auto" w:w="0"/>
        <w:jc w:val="center"/>
        <w:tblLayout w:type="fixed"/>
        <w:tblLook w:firstColumn="1" w:firstRow="1" w:lastColumn="0" w:lastRow="0" w:noHBand="0" w:noVBand="1" w:val="04A0"/>
        <w:tblBorders>
          <w:top w:val="single" w:sz="10" w:color="FFFFFF"/>
          <w:left w:val="single" w:sz="10" w:color="FFFFFF"/>
          <w:bottom w:val="single" w:sz="10" w:color="FFFFFF"/>
          <w:right w:val="single" w:sz="10" w:color="FFFFFF"/>
          <w:insideH w:val="single" w:sz="10" w:color="FFFFFF"/>
          <w:insideV w:val="single" w:sz="10" w:color="FFFFFF"/>
        </w:tblBorders>
      </w:tblPr>
      <w:tblGrid>
        <w:gridCol w:w="2048"/>
        <w:gridCol w:w="2048"/>
        <w:gridCol w:w="2048"/>
        <w:gridCol w:w="2048"/>
        <w:gridCol w:w="2048"/>
      </w:tblGrid>
      <w:tr>
        <w:trPr>
          <w:tblHeader w:val="true"/>
        </w:trPr>
        <w:tc>
          <w:tcPr>
            <w:tcW w:type="dxa" w:w="1987"/>
            <w:shd w:fill="EAF4F8"/>
            <w:vAlign w:val="center"/>
            <w:tcMar>
              <w:top w:w="90" w:type="dxa"/>
              <w:start w:w="55" w:type="dxa"/>
              <w:bottom w:w="90" w:type="dxa"/>
              <w:end w:w="55" w:type="dxa"/>
            </w:tcMar>
          </w:tcPr>
          <w:p>
            <w:pPr>
              <w:spacing w:after="20"/>
              <w:jc w:val="center"/>
            </w:pPr>
            <w:r/>
            <w:r>
              <w:rPr>
                <w:rFonts w:ascii="Aptos" w:hAnsi="Aptos"/>
                <w:b/>
                <w:i w:val="0"/>
                <w:color w:val="112B45"/>
                <w:sz w:val="16"/>
              </w:rPr>
              <w:t>SENSE</w:t>
            </w:r>
          </w:p>
          <w:p>
            <w:pPr>
              <w:spacing w:after="0" w:line="240" w:lineRule="auto"/>
              <w:jc w:val="center"/>
            </w:pPr>
            <w:r>
              <w:rPr>
                <w:rFonts w:ascii="Aptos" w:hAnsi="Aptos"/>
                <w:b w:val="0"/>
                <w:i w:val="0"/>
                <w:color w:val="17232D"/>
                <w:sz w:val="15"/>
              </w:rPr>
              <w:t>Radar | AIS | GNSS</w:t>
              <w:br/>
              <w:t>IMU | camera</w:t>
            </w:r>
          </w:p>
        </w:tc>
        <w:tc>
          <w:tcPr>
            <w:tcW w:type="dxa" w:w="2044"/>
            <w:shd w:fill="EAF4F8"/>
            <w:vAlign w:val="center"/>
            <w:tcMar>
              <w:top w:w="90" w:type="dxa"/>
              <w:start w:w="55" w:type="dxa"/>
              <w:bottom w:w="90" w:type="dxa"/>
              <w:end w:w="55" w:type="dxa"/>
            </w:tcMar>
          </w:tcPr>
          <w:p>
            <w:pPr>
              <w:spacing w:after="20"/>
              <w:jc w:val="center"/>
            </w:pPr>
            <w:r/>
            <w:r>
              <w:rPr>
                <w:rFonts w:ascii="Aptos" w:hAnsi="Aptos"/>
                <w:b/>
                <w:i w:val="0"/>
                <w:color w:val="112B45"/>
                <w:sz w:val="16"/>
              </w:rPr>
              <w:t>UNDERSTAND</w:t>
            </w:r>
          </w:p>
          <w:p>
            <w:pPr>
              <w:spacing w:after="0" w:line="240" w:lineRule="auto"/>
              <w:jc w:val="center"/>
            </w:pPr>
            <w:r>
              <w:rPr>
                <w:rFonts w:ascii="Aptos" w:hAnsi="Aptos"/>
                <w:b w:val="0"/>
                <w:i w:val="0"/>
                <w:color w:val="17232D"/>
                <w:sz w:val="15"/>
              </w:rPr>
              <w:t>Fusion | tracks</w:t>
              <w:br/>
              <w:t>uncertainty | health</w:t>
            </w:r>
          </w:p>
        </w:tc>
        <w:tc>
          <w:tcPr>
            <w:tcW w:type="dxa" w:w="1987"/>
            <w:shd w:fill="EAF4F8"/>
            <w:vAlign w:val="center"/>
            <w:tcMar>
              <w:top w:w="90" w:type="dxa"/>
              <w:start w:w="55" w:type="dxa"/>
              <w:bottom w:w="90" w:type="dxa"/>
              <w:end w:w="55" w:type="dxa"/>
            </w:tcMar>
          </w:tcPr>
          <w:p>
            <w:pPr>
              <w:spacing w:after="20"/>
              <w:jc w:val="center"/>
            </w:pPr>
            <w:r/>
            <w:r>
              <w:rPr>
                <w:rFonts w:ascii="Aptos" w:hAnsi="Aptos"/>
                <w:b/>
                <w:i w:val="0"/>
                <w:color w:val="112B45"/>
                <w:sz w:val="16"/>
              </w:rPr>
              <w:t>PROPOSE</w:t>
            </w:r>
          </w:p>
          <w:p>
            <w:pPr>
              <w:spacing w:after="0" w:line="240" w:lineRule="auto"/>
              <w:jc w:val="center"/>
            </w:pPr>
            <w:r>
              <w:rPr>
                <w:rFonts w:ascii="Aptos" w:hAnsi="Aptos"/>
                <w:b w:val="0"/>
                <w:i w:val="0"/>
                <w:color w:val="17232D"/>
                <w:sz w:val="15"/>
              </w:rPr>
              <w:t>External decision AI</w:t>
              <w:br/>
              <w:t>heading | speed</w:t>
            </w:r>
          </w:p>
        </w:tc>
        <w:tc>
          <w:tcPr>
            <w:tcW w:type="dxa" w:w="2059"/>
            <w:shd w:fill="112B45"/>
            <w:vAlign w:val="center"/>
            <w:tcMar>
              <w:top w:w="90" w:type="dxa"/>
              <w:start w:w="55" w:type="dxa"/>
              <w:bottom w:w="90" w:type="dxa"/>
              <w:end w:w="55" w:type="dxa"/>
            </w:tcMar>
          </w:tcPr>
          <w:p>
            <w:pPr>
              <w:spacing w:after="20"/>
              <w:jc w:val="center"/>
            </w:pPr>
            <w:r/>
            <w:r>
              <w:rPr>
                <w:rFonts w:ascii="Aptos" w:hAnsi="Aptos"/>
                <w:b/>
                <w:i w:val="0"/>
                <w:color w:val="FFFFFF"/>
                <w:sz w:val="16"/>
              </w:rPr>
              <w:t>ASSURE</w:t>
            </w:r>
          </w:p>
          <w:p>
            <w:pPr>
              <w:spacing w:after="0" w:line="240" w:lineRule="auto"/>
              <w:jc w:val="center"/>
            </w:pPr>
            <w:r>
              <w:rPr>
                <w:rFonts w:ascii="Aptos" w:hAnsi="Aptos"/>
                <w:b w:val="0"/>
                <w:i w:val="0"/>
                <w:color w:val="FFFFFF"/>
                <w:sz w:val="15"/>
              </w:rPr>
              <w:t>A5 predictive +</w:t>
              <w:br/>
              <w:t>barrier checks</w:t>
            </w:r>
          </w:p>
        </w:tc>
        <w:tc>
          <w:tcPr>
            <w:tcW w:type="dxa" w:w="1987"/>
            <w:shd w:fill="112B45"/>
            <w:vAlign w:val="center"/>
            <w:tcMar>
              <w:top w:w="90" w:type="dxa"/>
              <w:start w:w="55" w:type="dxa"/>
              <w:bottom w:w="90" w:type="dxa"/>
              <w:end w:w="55" w:type="dxa"/>
            </w:tcMar>
          </w:tcPr>
          <w:p>
            <w:pPr>
              <w:spacing w:after="20"/>
              <w:jc w:val="center"/>
            </w:pPr>
            <w:r/>
            <w:r>
              <w:rPr>
                <w:rFonts w:ascii="Aptos" w:hAnsi="Aptos"/>
                <w:b/>
                <w:i w:val="0"/>
                <w:color w:val="FFFFFF"/>
                <w:sz w:val="16"/>
              </w:rPr>
              <w:t>ACT</w:t>
            </w:r>
          </w:p>
          <w:p>
            <w:pPr>
              <w:spacing w:after="0" w:line="240" w:lineRule="auto"/>
              <w:jc w:val="center"/>
            </w:pPr>
            <w:r>
              <w:rPr>
                <w:rFonts w:ascii="Aptos" w:hAnsi="Aptos"/>
                <w:b w:val="0"/>
                <w:i w:val="0"/>
                <w:color w:val="FFFFFF"/>
                <w:sz w:val="15"/>
              </w:rPr>
              <w:t>Exclusive gate</w:t>
              <w:br/>
              <w:t>watchdog | vessel</w:t>
            </w:r>
          </w:p>
        </w:tc>
      </w:tr>
    </w:tbl>
    <w:p>
      <w:pPr>
        <w:spacing w:after="40"/>
      </w:pPr>
    </w:p>
    <w:p>
      <w:pPr>
        <w:pStyle w:val="Heading1"/>
        <w:keepNext/>
        <w:spacing w:before="140" w:after="60"/>
      </w:pPr>
      <w:r>
        <w:rPr>
          <w:rFonts w:ascii="Aptos Display" w:hAnsi="Aptos Display"/>
          <w:b/>
          <w:color w:val="000000"/>
          <w:sz w:val="26"/>
        </w:rPr>
        <w:t>Recommended architecture A5</w:t>
      </w:r>
    </w:p>
    <w:p>
      <w:pPr>
        <w:spacing w:before="0" w:after="100" w:line="259" w:lineRule="auto"/>
      </w:pPr>
      <w:r>
        <w:rPr>
          <w:rFonts w:ascii="Aptos" w:hAnsi="Aptos"/>
          <w:b w:val="0"/>
          <w:i w:val="0"/>
          <w:color w:val="17232D"/>
          <w:sz w:val="18"/>
        </w:rPr>
        <w:t>A5 combines three ideas in one bounded decision path. First, it converts source health into explicit operating constraints: healthy evidence keeps nominal uncertainty and a 6 m/s cap; degraded evidence expands declared bounds by 1.5x and caps speed at 3 m/s; invalid evidence limits speed to 1 m/s and forces recovery. Second, it checks whether the proposed command remains safe through a short predictive handoff and a complete recovery continuation. Third, if prediction rejects the proposal, it invokes the A4 discrete plant-map barrier filter and validates any corrected command with the full 3DOF vessel rollout. Failure at any step closes safely to the recovery library or minimum-risk command.</w:t>
      </w:r>
    </w:p>
    <w:p>
      <w:pPr>
        <w:pStyle w:val="ListBullet"/>
        <w:spacing w:after="40" w:line="247" w:lineRule="auto"/>
        <w:ind w:left="230" w:hanging="173"/>
      </w:pPr>
      <w:r>
        <w:rPr>
          <w:rFonts w:ascii="Aptos" w:hAnsi="Aptos"/>
          <w:b/>
          <w:i w:val="0"/>
          <w:color w:val="17232D"/>
          <w:sz w:val="17"/>
        </w:rPr>
        <w:t xml:space="preserve">Independent authority. </w:t>
      </w:r>
      <w:r>
        <w:rPr>
          <w:rFonts w:ascii="Aptos" w:hAnsi="Aptos"/>
          <w:b w:val="0"/>
          <w:i w:val="0"/>
          <w:color w:val="17232D"/>
          <w:sz w:val="17"/>
        </w:rPr>
        <w:t>The decision AI never writes to actuators directly; only the exclusive gate can issue commands.</w:t>
      </w:r>
    </w:p>
    <w:p>
      <w:pPr>
        <w:pStyle w:val="ListBullet"/>
        <w:spacing w:after="40" w:line="247" w:lineRule="auto"/>
        <w:ind w:left="230" w:hanging="173"/>
      </w:pPr>
      <w:r>
        <w:rPr>
          <w:rFonts w:ascii="Aptos" w:hAnsi="Aptos"/>
          <w:b/>
          <w:i w:val="0"/>
          <w:color w:val="17232D"/>
          <w:sz w:val="17"/>
        </w:rPr>
        <w:t xml:space="preserve">Fresh evidence. </w:t>
      </w:r>
      <w:r>
        <w:rPr>
          <w:rFonts w:ascii="Aptos" w:hAnsi="Aptos"/>
          <w:b w:val="0"/>
          <w:i w:val="0"/>
          <w:color w:val="17232D"/>
          <w:sz w:val="17"/>
        </w:rPr>
        <w:t>The gate validates identity, epoch, lineage, deadline, source age, bounds, and final-command safety.</w:t>
      </w:r>
    </w:p>
    <w:p>
      <w:pPr>
        <w:pStyle w:val="ListBullet"/>
        <w:spacing w:after="40" w:line="247" w:lineRule="auto"/>
        <w:ind w:left="230" w:hanging="173"/>
      </w:pPr>
      <w:r>
        <w:rPr>
          <w:rFonts w:ascii="Aptos" w:hAnsi="Aptos"/>
          <w:b/>
          <w:i w:val="0"/>
          <w:color w:val="17232D"/>
          <w:sz w:val="17"/>
        </w:rPr>
        <w:t xml:space="preserve">Perception health. </w:t>
      </w:r>
      <w:r>
        <w:rPr>
          <w:rFonts w:ascii="Aptos" w:hAnsi="Aptos"/>
          <w:b w:val="0"/>
          <w:i w:val="0"/>
          <w:color w:val="17232D"/>
          <w:sz w:val="17"/>
        </w:rPr>
        <w:t>WaSR-T segmentation and neural representation health can enlarge margins or revoke camera-derived free-space authority; they never certify an empty sea alone.</w:t>
      </w:r>
    </w:p>
    <w:p>
      <w:pPr>
        <w:pStyle w:val="ListBullet"/>
        <w:spacing w:after="40" w:line="247" w:lineRule="auto"/>
        <w:ind w:left="230" w:hanging="173"/>
      </w:pPr>
      <w:r>
        <w:rPr>
          <w:rFonts w:ascii="Aptos" w:hAnsi="Aptos"/>
          <w:b/>
          <w:i w:val="0"/>
          <w:color w:val="17232D"/>
          <w:sz w:val="17"/>
        </w:rPr>
        <w:t xml:space="preserve">Communications health. </w:t>
      </w:r>
      <w:r>
        <w:rPr>
          <w:rFonts w:ascii="Aptos" w:hAnsi="Aptos"/>
          <w:b w:val="0"/>
          <w:i w:val="0"/>
          <w:color w:val="17232D"/>
          <w:sz w:val="17"/>
        </w:rPr>
        <w:t>Internal and inter-ship traffic contribute freshness, integrity, availability, consistency, and anomaly evidence without becoming actuator authority.</w:t>
      </w:r>
    </w:p>
    <w:p>
      <w:pPr>
        <w:spacing w:before="100" w:after="0" w:line="247" w:lineRule="auto"/>
      </w:pPr>
      <w:r>
        <w:rPr>
          <w:rFonts w:ascii="Aptos" w:hAnsi="Aptos"/>
          <w:b/>
          <w:i w:val="0"/>
          <w:color w:val="1E78B4"/>
          <w:sz w:val="18"/>
        </w:rPr>
        <w:t xml:space="preserve">Safety contract  </w:t>
      </w:r>
      <w:r>
        <w:rPr>
          <w:rFonts w:ascii="Aptos" w:hAnsi="Aptos"/>
          <w:b/>
          <w:i w:val="0"/>
          <w:color w:val="17232D"/>
          <w:sz w:val="18"/>
        </w:rPr>
        <w:t>Unknown, stale, unbounded, or late evidence cannot increase autonomy. It can only preserve or reduce authority.</w:t>
      </w:r>
    </w:p>
    <w:p>
      <w:pPr>
        <w:pStyle w:val="Heading1"/>
        <w:keepNext/>
        <w:spacing w:before="140" w:after="60"/>
      </w:pPr>
      <w:r>
        <w:rPr>
          <w:rFonts w:ascii="Aptos Display" w:hAnsi="Aptos Display"/>
          <w:b/>
          <w:color w:val="000000"/>
          <w:sz w:val="26"/>
        </w:rPr>
        <w:t>Operational inputs and governed outputs</w:t>
      </w:r>
    </w:p>
    <w:tbl>
      <w:tblPr>
        <w:tblW w:type="auto" w:w="0"/>
        <w:jc w:val="center"/>
        <w:tblLayout w:type="fixed"/>
        <w:tblLook w:firstColumn="1" w:firstRow="1" w:lastColumn="0" w:lastRow="0" w:noHBand="0" w:noVBand="1" w:val="04A0"/>
        <w:tblBorders>
          <w:top w:val="single" w:sz="6" w:color="CBD6DD"/>
          <w:left w:val="single" w:sz="6" w:color="CBD6DD"/>
          <w:bottom w:val="single" w:sz="6" w:color="CBD6DD"/>
          <w:right w:val="single" w:sz="6" w:color="CBD6DD"/>
          <w:insideH w:val="single" w:sz="6" w:color="CBD6DD"/>
          <w:insideV w:val="single" w:sz="6" w:color="CBD6DD"/>
        </w:tblBorders>
      </w:tblPr>
      <w:tblGrid>
        <w:gridCol w:w="2560"/>
        <w:gridCol w:w="2560"/>
        <w:gridCol w:w="2560"/>
        <w:gridCol w:w="2560"/>
      </w:tblGrid>
      <w:tr>
        <w:trPr>
          <w:tblHeader w:val="true"/>
        </w:trPr>
        <w:tc>
          <w:tcPr>
            <w:tcW w:type="dxa" w:w="2548"/>
            <w:shd w:fill="112B45"/>
            <w:vAlign w:val="center"/>
            <w:tcMar>
              <w:top w:w="70" w:type="dxa"/>
              <w:start w:w="90" w:type="dxa"/>
              <w:bottom w:w="70" w:type="dxa"/>
              <w:end w:w="90" w:type="dxa"/>
            </w:tcMar>
          </w:tcPr>
          <w:p>
            <w:pPr>
              <w:spacing w:after="0" w:before="0" w:line="245" w:lineRule="auto"/>
              <w:jc w:val="center"/>
            </w:pPr>
            <w:r/>
            <w:r>
              <w:rPr>
                <w:rFonts w:ascii="Aptos" w:hAnsi="Aptos"/>
                <w:b/>
                <w:color w:val="FFFFFF"/>
                <w:sz w:val="14"/>
              </w:rPr>
              <w:t>NAVIGATION AND PLATFORM</w:t>
            </w:r>
          </w:p>
        </w:tc>
        <w:tc>
          <w:tcPr>
            <w:tcW w:type="dxa" w:w="2548"/>
            <w:shd w:fill="112B45"/>
            <w:vAlign w:val="center"/>
            <w:tcMar>
              <w:top w:w="70" w:type="dxa"/>
              <w:start w:w="90" w:type="dxa"/>
              <w:bottom w:w="70" w:type="dxa"/>
              <w:end w:w="90" w:type="dxa"/>
            </w:tcMar>
          </w:tcPr>
          <w:p>
            <w:pPr>
              <w:spacing w:after="0" w:before="0" w:line="245" w:lineRule="auto"/>
              <w:jc w:val="center"/>
            </w:pPr>
            <w:r/>
            <w:r>
              <w:rPr>
                <w:rFonts w:ascii="Aptos" w:hAnsi="Aptos"/>
                <w:b/>
                <w:color w:val="FFFFFF"/>
                <w:sz w:val="14"/>
              </w:rPr>
              <w:t>CONTACTS AND ENVIRONMENT</w:t>
            </w:r>
          </w:p>
        </w:tc>
        <w:tc>
          <w:tcPr>
            <w:tcW w:type="dxa" w:w="2548"/>
            <w:shd w:fill="112B45"/>
            <w:vAlign w:val="center"/>
            <w:tcMar>
              <w:top w:w="70" w:type="dxa"/>
              <w:start w:w="90" w:type="dxa"/>
              <w:bottom w:w="70" w:type="dxa"/>
              <w:end w:w="90" w:type="dxa"/>
            </w:tcMar>
          </w:tcPr>
          <w:p>
            <w:pPr>
              <w:spacing w:after="0" w:before="0" w:line="245" w:lineRule="auto"/>
              <w:jc w:val="center"/>
            </w:pPr>
            <w:r/>
            <w:r>
              <w:rPr>
                <w:rFonts w:ascii="Aptos" w:hAnsi="Aptos"/>
                <w:b/>
                <w:color w:val="FFFFFF"/>
                <w:sz w:val="14"/>
              </w:rPr>
              <w:t>COMMUNICATIONS</w:t>
            </w:r>
          </w:p>
        </w:tc>
        <w:tc>
          <w:tcPr>
            <w:tcW w:type="dxa" w:w="2548"/>
            <w:shd w:fill="112B45"/>
            <w:vAlign w:val="center"/>
            <w:tcMar>
              <w:top w:w="70" w:type="dxa"/>
              <w:start w:w="90" w:type="dxa"/>
              <w:bottom w:w="70" w:type="dxa"/>
              <w:end w:w="90" w:type="dxa"/>
            </w:tcMar>
          </w:tcPr>
          <w:p>
            <w:pPr>
              <w:spacing w:after="0" w:before="0" w:line="245" w:lineRule="auto"/>
              <w:jc w:val="center"/>
            </w:pPr>
            <w:r/>
            <w:r>
              <w:rPr>
                <w:rFonts w:ascii="Aptos" w:hAnsi="Aptos"/>
                <w:b/>
                <w:color w:val="FFFFFF"/>
                <w:sz w:val="14"/>
              </w:rPr>
              <w:t>AI AND PERCEPTION</w:t>
            </w:r>
          </w:p>
        </w:tc>
      </w:tr>
      <w:tr>
        <w:tc>
          <w:tcPr>
            <w:tcW w:type="dxa" w:w="2560"/>
            <w:shd w:fill="EAF4F8"/>
            <w:vAlign w:val="center"/>
            <w:tcMar>
              <w:top w:w="70" w:type="dxa"/>
              <w:start w:w="90" w:type="dxa"/>
              <w:bottom w:w="70" w:type="dxa"/>
              <w:end w:w="90" w:type="dxa"/>
            </w:tcMar>
          </w:tcPr>
          <w:p>
            <w:pPr>
              <w:spacing w:after="0" w:before="0" w:line="245" w:lineRule="auto"/>
              <w:jc w:val="center"/>
            </w:pPr>
            <w:r/>
            <w:r>
              <w:rPr>
                <w:rFonts w:ascii="Aptos" w:hAnsi="Aptos"/>
                <w:b w:val="0"/>
                <w:color w:val="17232D"/>
                <w:sz w:val="14"/>
              </w:rPr>
              <w:t>GNSS, IMU, compass, speed log, actuator feedback, propulsion and steering limits</w:t>
            </w:r>
          </w:p>
        </w:tc>
        <w:tc>
          <w:tcPr>
            <w:tcW w:type="dxa" w:w="2560"/>
            <w:shd w:fill="FFFFFF"/>
            <w:vAlign w:val="center"/>
            <w:tcMar>
              <w:top w:w="70" w:type="dxa"/>
              <w:start w:w="90" w:type="dxa"/>
              <w:bottom w:w="70" w:type="dxa"/>
              <w:end w:w="90" w:type="dxa"/>
            </w:tcMar>
          </w:tcPr>
          <w:p>
            <w:pPr>
              <w:spacing w:after="0" w:before="0" w:line="245" w:lineRule="auto"/>
              <w:jc w:val="center"/>
            </w:pPr>
            <w:r/>
            <w:r>
              <w:rPr>
                <w:rFonts w:ascii="Aptos" w:hAnsi="Aptos"/>
                <w:b w:val="0"/>
                <w:color w:val="17232D"/>
                <w:sz w:val="14"/>
              </w:rPr>
              <w:t>Radar, AIS, camera, depth, weather, sea state, charts and geofences</w:t>
            </w:r>
          </w:p>
        </w:tc>
        <w:tc>
          <w:tcPr>
            <w:tcW w:type="dxa" w:w="2560"/>
            <w:shd w:fill="EAF4F8"/>
            <w:vAlign w:val="center"/>
            <w:tcMar>
              <w:top w:w="70" w:type="dxa"/>
              <w:start w:w="90" w:type="dxa"/>
              <w:bottom w:w="70" w:type="dxa"/>
              <w:end w:w="90" w:type="dxa"/>
            </w:tcMar>
          </w:tcPr>
          <w:p>
            <w:pPr>
              <w:spacing w:after="0" w:before="0" w:line="245" w:lineRule="auto"/>
              <w:jc w:val="center"/>
            </w:pPr>
            <w:r/>
            <w:r>
              <w:rPr>
                <w:rFonts w:ascii="Aptos" w:hAnsi="Aptos"/>
                <w:b w:val="0"/>
                <w:color w:val="17232D"/>
                <w:sz w:val="14"/>
              </w:rPr>
              <w:t>Internal bus and service traffic, inter-ship messages, age, loss, integrity and disagreement</w:t>
            </w:r>
          </w:p>
        </w:tc>
        <w:tc>
          <w:tcPr>
            <w:tcW w:type="dxa" w:w="2560"/>
            <w:shd w:fill="FFFFFF"/>
            <w:vAlign w:val="center"/>
            <w:tcMar>
              <w:top w:w="70" w:type="dxa"/>
              <w:start w:w="90" w:type="dxa"/>
              <w:bottom w:w="70" w:type="dxa"/>
              <w:end w:w="90" w:type="dxa"/>
            </w:tcMar>
          </w:tcPr>
          <w:p>
            <w:pPr>
              <w:spacing w:after="0" w:before="0" w:line="245" w:lineRule="auto"/>
              <w:jc w:val="center"/>
            </w:pPr>
            <w:r/>
            <w:r>
              <w:rPr>
                <w:rFonts w:ascii="Aptos" w:hAnsi="Aptos"/>
                <w:b w:val="0"/>
                <w:color w:val="17232D"/>
                <w:sz w:val="14"/>
              </w:rPr>
              <w:t>Proposed command, plan, confidence, inference latency, WaSR-T outputs and representation health</w:t>
            </w:r>
          </w:p>
        </w:tc>
      </w:tr>
    </w:tbl>
    <w:p>
      <w:pPr>
        <w:spacing w:before="80" w:after="0" w:line="245" w:lineRule="auto"/>
      </w:pPr>
      <w:r>
        <w:rPr>
          <w:rFonts w:ascii="Aptos" w:hAnsi="Aptos"/>
          <w:b/>
          <w:i w:val="0"/>
          <w:color w:val="1E78B4"/>
          <w:sz w:val="17"/>
        </w:rPr>
        <w:t xml:space="preserve">Governed output. </w:t>
      </w:r>
      <w:r>
        <w:rPr>
          <w:rFonts w:ascii="Aptos" w:hAnsi="Aptos"/>
          <w:b w:val="0"/>
          <w:i w:val="0"/>
          <w:color w:val="17232D"/>
          <w:sz w:val="17"/>
        </w:rPr>
        <w:t>A lineage-bound pass, modified command, validated recovery, or minimum-risk fallback, followed by an independent gate receipt and watchdog status.</w:t>
      </w:r>
    </w:p>
    <w:p>
      <w:r>
        <w:br w:type="page"/>
      </w:r>
    </w:p>
    <w:p>
      <w:pPr>
        <w:spacing w:after="40"/>
      </w:pPr>
      <w:r>
        <w:rPr>
          <w:rFonts w:ascii="Aptos" w:hAnsi="Aptos"/>
          <w:b/>
          <w:i w:val="0"/>
          <w:color w:val="1E78B4"/>
          <w:sz w:val="16"/>
        </w:rPr>
        <w:t>DEVELOPMENT EVIDENCE</w:t>
      </w:r>
    </w:p>
    <w:p>
      <w:pPr>
        <w:spacing w:after="100"/>
      </w:pPr>
      <w:r>
        <w:rPr>
          <w:rFonts w:ascii="Aptos" w:hAnsi="Aptos"/>
          <w:b/>
          <w:i w:val="0"/>
          <w:color w:val="000000"/>
          <w:sz w:val="34"/>
        </w:rPr>
        <w:t>What the 60-episode study established</w:t>
      </w:r>
    </w:p>
    <w:p>
      <w:pPr>
        <w:spacing w:before="0" w:after="120" w:line="259" w:lineRule="auto"/>
      </w:pPr>
      <w:r>
        <w:rPr>
          <w:rFonts w:ascii="Aptos" w:hAnsi="Aptos"/>
          <w:b w:val="0"/>
          <w:i w:val="0"/>
          <w:color w:val="17232D"/>
          <w:sz w:val="18"/>
        </w:rPr>
        <w:t>The paired development matrix exercised A1-A5 across recoverable crossing, dense traffic, vessel degradation, and deliberately initially-unrecoverable encounters. Each architecture ran three seeds per scenario for 30 simulated seconds. The analyzer verified all 60 traces, diagnostic records, assumption audits, and the twelve complete five-candidate pairings.</w:t>
      </w:r>
    </w:p>
    <w:tbl>
      <w:tblPr>
        <w:tblW w:type="auto" w:w="0"/>
        <w:jc w:val="center"/>
        <w:tblLayout w:type="fixed"/>
        <w:tblLook w:firstColumn="1" w:firstRow="1" w:lastColumn="0" w:lastRow="0" w:noHBand="0" w:noVBand="1" w:val="04A0"/>
        <w:tblBorders>
          <w:top w:val="single" w:sz="6" w:color="CBD6DD"/>
          <w:left w:val="single" w:sz="6" w:color="CBD6DD"/>
          <w:bottom w:val="single" w:sz="6" w:color="CBD6DD"/>
          <w:right w:val="single" w:sz="6" w:color="CBD6DD"/>
          <w:insideH w:val="single" w:sz="6" w:color="CBD6DD"/>
          <w:insideV w:val="single" w:sz="6" w:color="CBD6DD"/>
        </w:tblBorders>
      </w:tblPr>
      <w:tblGrid>
        <w:gridCol w:w="2560"/>
        <w:gridCol w:w="2560"/>
        <w:gridCol w:w="2560"/>
        <w:gridCol w:w="2560"/>
      </w:tblGrid>
      <w:tr>
        <w:trPr>
          <w:tblHeader w:val="true"/>
        </w:trPr>
        <w:tc>
          <w:tcPr>
            <w:tcW w:type="dxa" w:w="2534"/>
            <w:shd w:fill="112B45"/>
            <w:vAlign w:val="center"/>
            <w:tcMar>
              <w:top w:w="70" w:type="dxa"/>
              <w:start w:w="90" w:type="dxa"/>
              <w:bottom w:w="70" w:type="dxa"/>
              <w:end w:w="90" w:type="dxa"/>
            </w:tcMar>
          </w:tcPr>
          <w:p>
            <w:pPr>
              <w:spacing w:after="0" w:before="0" w:line="245" w:lineRule="auto"/>
              <w:jc w:val="center"/>
            </w:pPr>
            <w:r/>
            <w:r>
              <w:rPr>
                <w:rFonts w:ascii="Aptos" w:hAnsi="Aptos"/>
                <w:b/>
                <w:color w:val="FFFFFF"/>
                <w:sz w:val="30"/>
              </w:rPr>
              <w:t>60</w:t>
            </w:r>
          </w:p>
        </w:tc>
        <w:tc>
          <w:tcPr>
            <w:tcW w:type="dxa" w:w="2534"/>
            <w:shd w:fill="112B45"/>
            <w:vAlign w:val="center"/>
            <w:tcMar>
              <w:top w:w="70" w:type="dxa"/>
              <w:start w:w="90" w:type="dxa"/>
              <w:bottom w:w="70" w:type="dxa"/>
              <w:end w:w="90" w:type="dxa"/>
            </w:tcMar>
          </w:tcPr>
          <w:p>
            <w:pPr>
              <w:spacing w:after="0" w:before="0" w:line="245" w:lineRule="auto"/>
              <w:jc w:val="center"/>
            </w:pPr>
            <w:r/>
            <w:r>
              <w:rPr>
                <w:rFonts w:ascii="Aptos" w:hAnsi="Aptos"/>
                <w:b/>
                <w:color w:val="FFFFFF"/>
                <w:sz w:val="30"/>
              </w:rPr>
              <w:t>0</w:t>
            </w:r>
          </w:p>
        </w:tc>
        <w:tc>
          <w:tcPr>
            <w:tcW w:type="dxa" w:w="2534"/>
            <w:shd w:fill="112B45"/>
            <w:vAlign w:val="center"/>
            <w:tcMar>
              <w:top w:w="70" w:type="dxa"/>
              <w:start w:w="90" w:type="dxa"/>
              <w:bottom w:w="70" w:type="dxa"/>
              <w:end w:w="90" w:type="dxa"/>
            </w:tcMar>
          </w:tcPr>
          <w:p>
            <w:pPr>
              <w:spacing w:after="0" w:before="0" w:line="245" w:lineRule="auto"/>
              <w:jc w:val="center"/>
            </w:pPr>
            <w:r/>
            <w:r>
              <w:rPr>
                <w:rFonts w:ascii="Aptos" w:hAnsi="Aptos"/>
                <w:b/>
                <w:color w:val="FFFFFF"/>
                <w:sz w:val="30"/>
              </w:rPr>
              <w:t>15 / 15</w:t>
            </w:r>
          </w:p>
        </w:tc>
        <w:tc>
          <w:tcPr>
            <w:tcW w:type="dxa" w:w="2534"/>
            <w:shd w:fill="112B45"/>
            <w:vAlign w:val="center"/>
            <w:tcMar>
              <w:top w:w="70" w:type="dxa"/>
              <w:start w:w="90" w:type="dxa"/>
              <w:bottom w:w="70" w:type="dxa"/>
              <w:end w:w="90" w:type="dxa"/>
            </w:tcMar>
          </w:tcPr>
          <w:p>
            <w:pPr>
              <w:spacing w:after="0" w:before="0" w:line="245" w:lineRule="auto"/>
              <w:jc w:val="center"/>
            </w:pPr>
            <w:r/>
            <w:r>
              <w:rPr>
                <w:rFonts w:ascii="Aptos" w:hAnsi="Aptos"/>
                <w:b/>
                <w:color w:val="FFFFFF"/>
                <w:sz w:val="30"/>
              </w:rPr>
              <w:t>0</w:t>
            </w:r>
          </w:p>
        </w:tc>
      </w:tr>
      <w:tr>
        <w:tc>
          <w:tcPr>
            <w:tcW w:type="dxa" w:w="2560"/>
            <w:shd w:fill="EAF4F8"/>
            <w:vAlign w:val="center"/>
            <w:tcMar>
              <w:top w:w="70" w:type="dxa"/>
              <w:start w:w="90" w:type="dxa"/>
              <w:bottom w:w="70" w:type="dxa"/>
              <w:end w:w="90" w:type="dxa"/>
            </w:tcMar>
          </w:tcPr>
          <w:p>
            <w:pPr>
              <w:spacing w:after="0" w:before="0" w:line="245" w:lineRule="auto"/>
              <w:jc w:val="center"/>
            </w:pPr>
            <w:r/>
            <w:r>
              <w:rPr>
                <w:rFonts w:ascii="Aptos" w:hAnsi="Aptos"/>
                <w:b/>
                <w:color w:val="17232D"/>
                <w:sz w:val="15"/>
              </w:rPr>
              <w:t>complete episodes</w:t>
            </w:r>
          </w:p>
        </w:tc>
        <w:tc>
          <w:tcPr>
            <w:tcW w:type="dxa" w:w="2560"/>
            <w:shd w:fill="EAF4F8"/>
            <w:vAlign w:val="center"/>
            <w:tcMar>
              <w:top w:w="70" w:type="dxa"/>
              <w:start w:w="90" w:type="dxa"/>
              <w:bottom w:w="70" w:type="dxa"/>
              <w:end w:w="90" w:type="dxa"/>
            </w:tcMar>
          </w:tcPr>
          <w:p>
            <w:pPr>
              <w:spacing w:after="0" w:before="0" w:line="245" w:lineRule="auto"/>
              <w:jc w:val="center"/>
            </w:pPr>
            <w:r/>
            <w:r>
              <w:rPr>
                <w:rFonts w:ascii="Aptos" w:hAnsi="Aptos"/>
                <w:b/>
                <w:color w:val="17232D"/>
                <w:sz w:val="15"/>
              </w:rPr>
              <w:t>recoverable collisions</w:t>
            </w:r>
          </w:p>
        </w:tc>
        <w:tc>
          <w:tcPr>
            <w:tcW w:type="dxa" w:w="2560"/>
            <w:shd w:fill="EAF4F8"/>
            <w:vAlign w:val="center"/>
            <w:tcMar>
              <w:top w:w="70" w:type="dxa"/>
              <w:start w:w="90" w:type="dxa"/>
              <w:bottom w:w="70" w:type="dxa"/>
              <w:end w:w="90" w:type="dxa"/>
            </w:tcMar>
          </w:tcPr>
          <w:p>
            <w:pPr>
              <w:spacing w:after="0" w:before="0" w:line="245" w:lineRule="auto"/>
              <w:jc w:val="center"/>
            </w:pPr>
            <w:r/>
            <w:r>
              <w:rPr>
                <w:rFonts w:ascii="Aptos" w:hAnsi="Aptos"/>
                <w:b/>
                <w:color w:val="17232D"/>
                <w:sz w:val="15"/>
              </w:rPr>
              <w:t>unrecoverable collisions</w:t>
            </w:r>
          </w:p>
        </w:tc>
        <w:tc>
          <w:tcPr>
            <w:tcW w:type="dxa" w:w="2560"/>
            <w:shd w:fill="EAF4F8"/>
            <w:vAlign w:val="center"/>
            <w:tcMar>
              <w:top w:w="70" w:type="dxa"/>
              <w:start w:w="90" w:type="dxa"/>
              <w:bottom w:w="70" w:type="dxa"/>
              <w:end w:w="90" w:type="dxa"/>
            </w:tcMar>
          </w:tcPr>
          <w:p>
            <w:pPr>
              <w:spacing w:after="0" w:before="0" w:line="245" w:lineRule="auto"/>
              <w:jc w:val="center"/>
            </w:pPr>
            <w:r/>
            <w:r>
              <w:rPr>
                <w:rFonts w:ascii="Aptos" w:hAnsi="Aptos"/>
                <w:b/>
                <w:color w:val="17232D"/>
                <w:sz w:val="15"/>
              </w:rPr>
              <w:t>unsafe or stale accepts</w:t>
            </w:r>
          </w:p>
        </w:tc>
      </w:tr>
    </w:tbl>
    <w:p>
      <w:pPr>
        <w:spacing w:after="40"/>
      </w:pPr>
    </w:p>
    <w:p>
      <w:pPr>
        <w:pStyle w:val="Heading1"/>
        <w:keepNext/>
        <w:spacing w:before="140" w:after="60"/>
      </w:pPr>
      <w:r>
        <w:rPr>
          <w:rFonts w:ascii="Aptos Display" w:hAnsi="Aptos Display"/>
          <w:b/>
          <w:color w:val="000000"/>
          <w:sz w:val="26"/>
        </w:rPr>
        <w:t>Candidate comparison</w:t>
      </w:r>
    </w:p>
    <w:tbl>
      <w:tblPr>
        <w:tblW w:type="auto" w:w="0"/>
        <w:jc w:val="center"/>
        <w:tblLayout w:type="fixed"/>
        <w:tblLook w:firstColumn="1" w:firstRow="1" w:lastColumn="0" w:lastRow="0" w:noHBand="0" w:noVBand="1" w:val="04A0"/>
        <w:tblBorders>
          <w:top w:val="single" w:sz="6" w:color="CBD6DD"/>
          <w:left w:val="single" w:sz="6" w:color="CBD6DD"/>
          <w:bottom w:val="single" w:sz="6" w:color="CBD6DD"/>
          <w:right w:val="single" w:sz="6" w:color="CBD6DD"/>
          <w:insideH w:val="single" w:sz="6" w:color="CBD6DD"/>
          <w:insideV w:val="single" w:sz="6" w:color="CBD6DD"/>
        </w:tblBorders>
      </w:tblPr>
      <w:tblGrid>
        <w:gridCol w:w="2048"/>
        <w:gridCol w:w="2048"/>
        <w:gridCol w:w="2048"/>
        <w:gridCol w:w="2048"/>
        <w:gridCol w:w="2048"/>
      </w:tblGrid>
      <w:tr>
        <w:trPr>
          <w:tblHeader w:val="true"/>
        </w:trPr>
        <w:tc>
          <w:tcPr>
            <w:tcW w:type="dxa" w:w="619"/>
            <w:shd w:fill="112B45"/>
            <w:vAlign w:val="center"/>
            <w:tcMar>
              <w:top w:w="70" w:type="dxa"/>
              <w:start w:w="90" w:type="dxa"/>
              <w:bottom w:w="70" w:type="dxa"/>
              <w:end w:w="90" w:type="dxa"/>
            </w:tcMar>
          </w:tcPr>
          <w:p>
            <w:pPr>
              <w:spacing w:after="0" w:before="0" w:line="245" w:lineRule="auto"/>
              <w:jc w:val="center"/>
            </w:pPr>
            <w:r/>
            <w:r>
              <w:rPr>
                <w:rFonts w:ascii="Aptos" w:hAnsi="Aptos"/>
                <w:b/>
                <w:color w:val="FFFFFF"/>
                <w:sz w:val="15"/>
              </w:rPr>
              <w:t>ID</w:t>
            </w:r>
          </w:p>
        </w:tc>
        <w:tc>
          <w:tcPr>
            <w:tcW w:type="dxa" w:w="3960"/>
            <w:shd w:fill="112B45"/>
            <w:vAlign w:val="center"/>
            <w:tcMar>
              <w:top w:w="70" w:type="dxa"/>
              <w:start w:w="90" w:type="dxa"/>
              <w:bottom w:w="70" w:type="dxa"/>
              <w:end w:w="90" w:type="dxa"/>
            </w:tcMar>
          </w:tcPr>
          <w:p>
            <w:pPr>
              <w:spacing w:after="0" w:before="0" w:line="245" w:lineRule="auto"/>
              <w:jc w:val="center"/>
            </w:pPr>
            <w:r/>
            <w:r>
              <w:rPr>
                <w:rFonts w:ascii="Aptos" w:hAnsi="Aptos"/>
                <w:b/>
                <w:color w:val="FFFFFF"/>
                <w:sz w:val="15"/>
              </w:rPr>
              <w:t>Method</w:t>
            </w:r>
          </w:p>
        </w:tc>
        <w:tc>
          <w:tcPr>
            <w:tcW w:type="dxa" w:w="1512"/>
            <w:shd w:fill="112B45"/>
            <w:vAlign w:val="center"/>
            <w:tcMar>
              <w:top w:w="70" w:type="dxa"/>
              <w:start w:w="90" w:type="dxa"/>
              <w:bottom w:w="70" w:type="dxa"/>
              <w:end w:w="90" w:type="dxa"/>
            </w:tcMar>
          </w:tcPr>
          <w:p>
            <w:pPr>
              <w:spacing w:after="0" w:before="0" w:line="245" w:lineRule="auto"/>
              <w:jc w:val="center"/>
            </w:pPr>
            <w:r/>
            <w:r>
              <w:rPr>
                <w:rFonts w:ascii="Aptos" w:hAnsi="Aptos"/>
                <w:b/>
                <w:color w:val="FFFFFF"/>
                <w:sz w:val="15"/>
              </w:rPr>
              <w:t>Gate accepted</w:t>
            </w:r>
          </w:p>
        </w:tc>
        <w:tc>
          <w:tcPr>
            <w:tcW w:type="dxa" w:w="1512"/>
            <w:shd w:fill="112B45"/>
            <w:vAlign w:val="center"/>
            <w:tcMar>
              <w:top w:w="70" w:type="dxa"/>
              <w:start w:w="90" w:type="dxa"/>
              <w:bottom w:w="70" w:type="dxa"/>
              <w:end w:w="90" w:type="dxa"/>
            </w:tcMar>
          </w:tcPr>
          <w:p>
            <w:pPr>
              <w:spacing w:after="0" w:before="0" w:line="245" w:lineRule="auto"/>
              <w:jc w:val="center"/>
            </w:pPr>
            <w:r/>
            <w:r>
              <w:rPr>
                <w:rFonts w:ascii="Aptos" w:hAnsi="Aptos"/>
                <w:b/>
                <w:color w:val="FFFFFF"/>
                <w:sz w:val="15"/>
              </w:rPr>
              <w:t>Deadline misses</w:t>
            </w:r>
          </w:p>
        </w:tc>
        <w:tc>
          <w:tcPr>
            <w:tcW w:type="dxa" w:w="2880"/>
            <w:shd w:fill="112B45"/>
            <w:vAlign w:val="center"/>
            <w:tcMar>
              <w:top w:w="70" w:type="dxa"/>
              <w:start w:w="90" w:type="dxa"/>
              <w:bottom w:w="70" w:type="dxa"/>
              <w:end w:w="90" w:type="dxa"/>
            </w:tcMar>
          </w:tcPr>
          <w:p>
            <w:pPr>
              <w:spacing w:after="0" w:before="0" w:line="245" w:lineRule="auto"/>
              <w:jc w:val="center"/>
            </w:pPr>
            <w:r/>
            <w:r>
              <w:rPr>
                <w:rFonts w:ascii="Aptos" w:hAnsi="Aptos"/>
                <w:b/>
                <w:color w:val="FFFFFF"/>
                <w:sz w:val="15"/>
              </w:rPr>
              <w:t>Decision for prototype</w:t>
            </w:r>
          </w:p>
        </w:tc>
      </w:tr>
      <w:tr>
        <w:tc>
          <w:tcPr>
            <w:tcW w:type="dxa" w:w="619"/>
            <w:shd w:fill="EAF4F8"/>
            <w:vAlign w:val="center"/>
            <w:tcMar>
              <w:top w:w="70" w:type="dxa"/>
              <w:start w:w="90" w:type="dxa"/>
              <w:bottom w:w="70" w:type="dxa"/>
              <w:end w:w="90" w:type="dxa"/>
            </w:tcMar>
          </w:tcPr>
          <w:p>
            <w:pPr>
              <w:spacing w:after="0" w:before="0" w:line="245" w:lineRule="auto"/>
              <w:jc w:val="center"/>
            </w:pPr>
            <w:r/>
            <w:r>
              <w:rPr>
                <w:rFonts w:ascii="Aptos" w:hAnsi="Aptos"/>
                <w:b/>
                <w:color w:val="17232D"/>
                <w:sz w:val="15"/>
              </w:rPr>
              <w:t>A1</w:t>
            </w:r>
          </w:p>
        </w:tc>
        <w:tc>
          <w:tcPr>
            <w:tcW w:type="dxa" w:w="3960"/>
            <w:shd w:fill="EAF4F8"/>
            <w:vAlign w:val="center"/>
            <w:tcMar>
              <w:top w:w="70" w:type="dxa"/>
              <w:start w:w="90" w:type="dxa"/>
              <w:bottom w:w="70" w:type="dxa"/>
              <w:end w:w="90" w:type="dxa"/>
            </w:tcMar>
          </w:tcPr>
          <w:p>
            <w:pPr>
              <w:spacing w:after="0" w:before="0" w:line="245" w:lineRule="auto"/>
              <w:jc w:val="left"/>
            </w:pPr>
            <w:r/>
            <w:r>
              <w:rPr>
                <w:rFonts w:ascii="Aptos" w:hAnsi="Aptos"/>
                <w:b w:val="0"/>
                <w:color w:val="17232D"/>
                <w:sz w:val="15"/>
              </w:rPr>
              <w:t>Fixed CPA/TCPA threshold + Simplex</w:t>
            </w:r>
          </w:p>
        </w:tc>
        <w:tc>
          <w:tcPr>
            <w:tcW w:type="dxa" w:w="1512"/>
            <w:shd w:fill="EAF4F8"/>
            <w:vAlign w:val="center"/>
            <w:tcMar>
              <w:top w:w="70" w:type="dxa"/>
              <w:start w:w="90" w:type="dxa"/>
              <w:bottom w:w="70" w:type="dxa"/>
              <w:end w:w="90" w:type="dxa"/>
            </w:tcMar>
          </w:tcPr>
          <w:p>
            <w:pPr>
              <w:spacing w:after="0" w:before="0" w:line="245" w:lineRule="auto"/>
              <w:jc w:val="center"/>
            </w:pPr>
            <w:r/>
            <w:r>
              <w:rPr>
                <w:rFonts w:ascii="Aptos" w:hAnsi="Aptos"/>
                <w:b w:val="0"/>
                <w:color w:val="17232D"/>
                <w:sz w:val="15"/>
              </w:rPr>
              <w:t>8.87%</w:t>
            </w:r>
          </w:p>
        </w:tc>
        <w:tc>
          <w:tcPr>
            <w:tcW w:type="dxa" w:w="1512"/>
            <w:shd w:fill="EAF4F8"/>
            <w:vAlign w:val="center"/>
            <w:tcMar>
              <w:top w:w="70" w:type="dxa"/>
              <w:start w:w="90" w:type="dxa"/>
              <w:bottom w:w="70" w:type="dxa"/>
              <w:end w:w="90" w:type="dxa"/>
            </w:tcMar>
          </w:tcPr>
          <w:p>
            <w:pPr>
              <w:spacing w:after="0" w:before="0" w:line="245" w:lineRule="auto"/>
              <w:jc w:val="center"/>
            </w:pPr>
            <w:r/>
            <w:r>
              <w:rPr>
                <w:rFonts w:ascii="Aptos" w:hAnsi="Aptos"/>
                <w:b w:val="0"/>
                <w:color w:val="17232D"/>
                <w:sz w:val="15"/>
              </w:rPr>
              <w:t>0</w:t>
            </w:r>
          </w:p>
        </w:tc>
        <w:tc>
          <w:tcPr>
            <w:tcW w:type="dxa" w:w="2880"/>
            <w:shd w:fill="EAF4F8"/>
            <w:vAlign w:val="center"/>
            <w:tcMar>
              <w:top w:w="70" w:type="dxa"/>
              <w:start w:w="90" w:type="dxa"/>
              <w:bottom w:w="70" w:type="dxa"/>
              <w:end w:w="90" w:type="dxa"/>
            </w:tcMar>
          </w:tcPr>
          <w:p>
            <w:pPr>
              <w:spacing w:after="0" w:before="0" w:line="245" w:lineRule="auto"/>
              <w:jc w:val="left"/>
            </w:pPr>
            <w:r/>
            <w:r>
              <w:rPr>
                <w:rFonts w:ascii="Aptos" w:hAnsi="Aptos"/>
                <w:b w:val="0"/>
                <w:color w:val="17232D"/>
                <w:sz w:val="15"/>
              </w:rPr>
              <w:t>Useful transparent baseline</w:t>
            </w:r>
          </w:p>
        </w:tc>
      </w:tr>
      <w:tr>
        <w:tc>
          <w:tcPr>
            <w:tcW w:type="dxa" w:w="619"/>
            <w:shd w:fill="FFFFFF"/>
            <w:vAlign w:val="center"/>
            <w:tcMar>
              <w:top w:w="70" w:type="dxa"/>
              <w:start w:w="90" w:type="dxa"/>
              <w:bottom w:w="70" w:type="dxa"/>
              <w:end w:w="90" w:type="dxa"/>
            </w:tcMar>
          </w:tcPr>
          <w:p>
            <w:pPr>
              <w:spacing w:after="0" w:before="0" w:line="245" w:lineRule="auto"/>
              <w:jc w:val="center"/>
            </w:pPr>
            <w:r/>
            <w:r>
              <w:rPr>
                <w:rFonts w:ascii="Aptos" w:hAnsi="Aptos"/>
                <w:b/>
                <w:color w:val="17232D"/>
                <w:sz w:val="15"/>
              </w:rPr>
              <w:t>A2</w:t>
            </w:r>
          </w:p>
        </w:tc>
        <w:tc>
          <w:tcPr>
            <w:tcW w:type="dxa" w:w="3960"/>
            <w:shd w:fill="FFFFFF"/>
            <w:vAlign w:val="center"/>
            <w:tcMar>
              <w:top w:w="70" w:type="dxa"/>
              <w:start w:w="90" w:type="dxa"/>
              <w:bottom w:w="70" w:type="dxa"/>
              <w:end w:w="90" w:type="dxa"/>
            </w:tcMar>
          </w:tcPr>
          <w:p>
            <w:pPr>
              <w:spacing w:after="0" w:before="0" w:line="245" w:lineRule="auto"/>
              <w:jc w:val="left"/>
            </w:pPr>
            <w:r/>
            <w:r>
              <w:rPr>
                <w:rFonts w:ascii="Aptos" w:hAnsi="Aptos"/>
                <w:b w:val="0"/>
                <w:color w:val="17232D"/>
                <w:sz w:val="15"/>
              </w:rPr>
              <w:t>Gaussian collision-risk + Simplex</w:t>
            </w:r>
          </w:p>
        </w:tc>
        <w:tc>
          <w:tcPr>
            <w:tcW w:type="dxa" w:w="1512"/>
            <w:shd w:fill="FFFFFF"/>
            <w:vAlign w:val="center"/>
            <w:tcMar>
              <w:top w:w="70" w:type="dxa"/>
              <w:start w:w="90" w:type="dxa"/>
              <w:bottom w:w="70" w:type="dxa"/>
              <w:end w:w="90" w:type="dxa"/>
            </w:tcMar>
          </w:tcPr>
          <w:p>
            <w:pPr>
              <w:spacing w:after="0" w:before="0" w:line="245" w:lineRule="auto"/>
              <w:jc w:val="center"/>
            </w:pPr>
            <w:r/>
            <w:r>
              <w:rPr>
                <w:rFonts w:ascii="Aptos" w:hAnsi="Aptos"/>
                <w:b w:val="0"/>
                <w:color w:val="17232D"/>
                <w:sz w:val="15"/>
              </w:rPr>
              <w:t>8.73%</w:t>
            </w:r>
          </w:p>
        </w:tc>
        <w:tc>
          <w:tcPr>
            <w:tcW w:type="dxa" w:w="1512"/>
            <w:shd w:fill="FFFFFF"/>
            <w:vAlign w:val="center"/>
            <w:tcMar>
              <w:top w:w="70" w:type="dxa"/>
              <w:start w:w="90" w:type="dxa"/>
              <w:bottom w:w="70" w:type="dxa"/>
              <w:end w:w="90" w:type="dxa"/>
            </w:tcMar>
          </w:tcPr>
          <w:p>
            <w:pPr>
              <w:spacing w:after="0" w:before="0" w:line="245" w:lineRule="auto"/>
              <w:jc w:val="center"/>
            </w:pPr>
            <w:r/>
            <w:r>
              <w:rPr>
                <w:rFonts w:ascii="Aptos" w:hAnsi="Aptos"/>
                <w:b w:val="0"/>
                <w:color w:val="17232D"/>
                <w:sz w:val="15"/>
              </w:rPr>
              <w:t>1</w:t>
            </w:r>
          </w:p>
        </w:tc>
        <w:tc>
          <w:tcPr>
            <w:tcW w:type="dxa" w:w="2880"/>
            <w:shd w:fill="FFFFFF"/>
            <w:vAlign w:val="center"/>
            <w:tcMar>
              <w:top w:w="70" w:type="dxa"/>
              <w:start w:w="90" w:type="dxa"/>
              <w:bottom w:w="70" w:type="dxa"/>
              <w:end w:w="90" w:type="dxa"/>
            </w:tcMar>
          </w:tcPr>
          <w:p>
            <w:pPr>
              <w:spacing w:after="0" w:before="0" w:line="245" w:lineRule="auto"/>
              <w:jc w:val="left"/>
            </w:pPr>
            <w:r/>
            <w:r>
              <w:rPr>
                <w:rFonts w:ascii="Aptos" w:hAnsi="Aptos"/>
                <w:b w:val="0"/>
                <w:color w:val="17232D"/>
                <w:sz w:val="15"/>
              </w:rPr>
              <w:t>Hold until calibrated</w:t>
            </w:r>
          </w:p>
        </w:tc>
      </w:tr>
      <w:tr>
        <w:tc>
          <w:tcPr>
            <w:tcW w:type="dxa" w:w="619"/>
            <w:shd w:fill="EAF4F8"/>
            <w:vAlign w:val="center"/>
            <w:tcMar>
              <w:top w:w="70" w:type="dxa"/>
              <w:start w:w="90" w:type="dxa"/>
              <w:bottom w:w="70" w:type="dxa"/>
              <w:end w:w="90" w:type="dxa"/>
            </w:tcMar>
          </w:tcPr>
          <w:p>
            <w:pPr>
              <w:spacing w:after="0" w:before="0" w:line="245" w:lineRule="auto"/>
              <w:jc w:val="center"/>
            </w:pPr>
            <w:r/>
            <w:r>
              <w:rPr>
                <w:rFonts w:ascii="Aptos" w:hAnsi="Aptos"/>
                <w:b/>
                <w:color w:val="17232D"/>
                <w:sz w:val="15"/>
              </w:rPr>
              <w:t>A3</w:t>
            </w:r>
          </w:p>
        </w:tc>
        <w:tc>
          <w:tcPr>
            <w:tcW w:type="dxa" w:w="3960"/>
            <w:shd w:fill="EAF4F8"/>
            <w:vAlign w:val="center"/>
            <w:tcMar>
              <w:top w:w="70" w:type="dxa"/>
              <w:start w:w="90" w:type="dxa"/>
              <w:bottom w:w="70" w:type="dxa"/>
              <w:end w:w="90" w:type="dxa"/>
            </w:tcMar>
          </w:tcPr>
          <w:p>
            <w:pPr>
              <w:spacing w:after="0" w:before="0" w:line="245" w:lineRule="auto"/>
              <w:jc w:val="left"/>
            </w:pPr>
            <w:r/>
            <w:r>
              <w:rPr>
                <w:rFonts w:ascii="Aptos" w:hAnsi="Aptos"/>
                <w:b w:val="0"/>
                <w:color w:val="17232D"/>
                <w:sz w:val="15"/>
              </w:rPr>
              <w:t>Finite bounded predictive recovery</w:t>
            </w:r>
          </w:p>
        </w:tc>
        <w:tc>
          <w:tcPr>
            <w:tcW w:type="dxa" w:w="1512"/>
            <w:shd w:fill="EAF4F8"/>
            <w:vAlign w:val="center"/>
            <w:tcMar>
              <w:top w:w="70" w:type="dxa"/>
              <w:start w:w="90" w:type="dxa"/>
              <w:bottom w:w="70" w:type="dxa"/>
              <w:end w:w="90" w:type="dxa"/>
            </w:tcMar>
          </w:tcPr>
          <w:p>
            <w:pPr>
              <w:spacing w:after="0" w:before="0" w:line="245" w:lineRule="auto"/>
              <w:jc w:val="center"/>
            </w:pPr>
            <w:r/>
            <w:r>
              <w:rPr>
                <w:rFonts w:ascii="Aptos" w:hAnsi="Aptos"/>
                <w:b w:val="0"/>
                <w:color w:val="17232D"/>
                <w:sz w:val="15"/>
              </w:rPr>
              <w:t>99.66%</w:t>
            </w:r>
          </w:p>
        </w:tc>
        <w:tc>
          <w:tcPr>
            <w:tcW w:type="dxa" w:w="1512"/>
            <w:shd w:fill="EAF4F8"/>
            <w:vAlign w:val="center"/>
            <w:tcMar>
              <w:top w:w="70" w:type="dxa"/>
              <w:start w:w="90" w:type="dxa"/>
              <w:bottom w:w="70" w:type="dxa"/>
              <w:end w:w="90" w:type="dxa"/>
            </w:tcMar>
          </w:tcPr>
          <w:p>
            <w:pPr>
              <w:spacing w:after="0" w:before="0" w:line="245" w:lineRule="auto"/>
              <w:jc w:val="center"/>
            </w:pPr>
            <w:r/>
            <w:r>
              <w:rPr>
                <w:rFonts w:ascii="Aptos" w:hAnsi="Aptos"/>
                <w:b w:val="0"/>
                <w:color w:val="17232D"/>
                <w:sz w:val="15"/>
              </w:rPr>
              <w:t>6</w:t>
            </w:r>
          </w:p>
        </w:tc>
        <w:tc>
          <w:tcPr>
            <w:tcW w:type="dxa" w:w="2880"/>
            <w:shd w:fill="EAF4F8"/>
            <w:vAlign w:val="center"/>
            <w:tcMar>
              <w:top w:w="70" w:type="dxa"/>
              <w:start w:w="90" w:type="dxa"/>
              <w:bottom w:w="70" w:type="dxa"/>
              <w:end w:w="90" w:type="dxa"/>
            </w:tcMar>
          </w:tcPr>
          <w:p>
            <w:pPr>
              <w:spacing w:after="0" w:before="0" w:line="245" w:lineRule="auto"/>
              <w:jc w:val="left"/>
            </w:pPr>
            <w:r/>
            <w:r>
              <w:rPr>
                <w:rFonts w:ascii="Aptos" w:hAnsi="Aptos"/>
                <w:b w:val="0"/>
                <w:color w:val="17232D"/>
                <w:sz w:val="15"/>
              </w:rPr>
              <w:t>Strong comparator</w:t>
            </w:r>
          </w:p>
        </w:tc>
      </w:tr>
      <w:tr>
        <w:tc>
          <w:tcPr>
            <w:tcW w:type="dxa" w:w="619"/>
            <w:shd w:fill="FFFFFF"/>
            <w:vAlign w:val="center"/>
            <w:tcMar>
              <w:top w:w="70" w:type="dxa"/>
              <w:start w:w="90" w:type="dxa"/>
              <w:bottom w:w="70" w:type="dxa"/>
              <w:end w:w="90" w:type="dxa"/>
            </w:tcMar>
          </w:tcPr>
          <w:p>
            <w:pPr>
              <w:spacing w:after="0" w:before="0" w:line="245" w:lineRule="auto"/>
              <w:jc w:val="center"/>
            </w:pPr>
            <w:r/>
            <w:r>
              <w:rPr>
                <w:rFonts w:ascii="Aptos" w:hAnsi="Aptos"/>
                <w:b/>
                <w:color w:val="17232D"/>
                <w:sz w:val="15"/>
              </w:rPr>
              <w:t>A4</w:t>
            </w:r>
          </w:p>
        </w:tc>
        <w:tc>
          <w:tcPr>
            <w:tcW w:type="dxa" w:w="3960"/>
            <w:shd w:fill="FFFFFF"/>
            <w:vAlign w:val="center"/>
            <w:tcMar>
              <w:top w:w="70" w:type="dxa"/>
              <w:start w:w="90" w:type="dxa"/>
              <w:bottom w:w="70" w:type="dxa"/>
              <w:end w:w="90" w:type="dxa"/>
            </w:tcMar>
          </w:tcPr>
          <w:p>
            <w:pPr>
              <w:spacing w:after="0" w:before="0" w:line="245" w:lineRule="auto"/>
              <w:jc w:val="left"/>
            </w:pPr>
            <w:r/>
            <w:r>
              <w:rPr>
                <w:rFonts w:ascii="Aptos" w:hAnsi="Aptos"/>
                <w:b w:val="0"/>
                <w:color w:val="17232D"/>
                <w:sz w:val="15"/>
              </w:rPr>
              <w:t>Plant-map barrier + full rollout</w:t>
            </w:r>
          </w:p>
        </w:tc>
        <w:tc>
          <w:tcPr>
            <w:tcW w:type="dxa" w:w="1512"/>
            <w:shd w:fill="FFFFFF"/>
            <w:vAlign w:val="center"/>
            <w:tcMar>
              <w:top w:w="70" w:type="dxa"/>
              <w:start w:w="90" w:type="dxa"/>
              <w:bottom w:w="70" w:type="dxa"/>
              <w:end w:w="90" w:type="dxa"/>
            </w:tcMar>
          </w:tcPr>
          <w:p>
            <w:pPr>
              <w:spacing w:after="0" w:before="0" w:line="245" w:lineRule="auto"/>
              <w:jc w:val="center"/>
            </w:pPr>
            <w:r/>
            <w:r>
              <w:rPr>
                <w:rFonts w:ascii="Aptos" w:hAnsi="Aptos"/>
                <w:b w:val="0"/>
                <w:color w:val="17232D"/>
                <w:sz w:val="15"/>
              </w:rPr>
              <w:t>99.44%</w:t>
            </w:r>
          </w:p>
        </w:tc>
        <w:tc>
          <w:tcPr>
            <w:tcW w:type="dxa" w:w="1512"/>
            <w:shd w:fill="FFFFFF"/>
            <w:vAlign w:val="center"/>
            <w:tcMar>
              <w:top w:w="70" w:type="dxa"/>
              <w:start w:w="90" w:type="dxa"/>
              <w:bottom w:w="70" w:type="dxa"/>
              <w:end w:w="90" w:type="dxa"/>
            </w:tcMar>
          </w:tcPr>
          <w:p>
            <w:pPr>
              <w:spacing w:after="0" w:before="0" w:line="245" w:lineRule="auto"/>
              <w:jc w:val="center"/>
            </w:pPr>
            <w:r/>
            <w:r>
              <w:rPr>
                <w:rFonts w:ascii="Aptos" w:hAnsi="Aptos"/>
                <w:b w:val="0"/>
                <w:color w:val="17232D"/>
                <w:sz w:val="15"/>
              </w:rPr>
              <w:t>10</w:t>
            </w:r>
          </w:p>
        </w:tc>
        <w:tc>
          <w:tcPr>
            <w:tcW w:type="dxa" w:w="2880"/>
            <w:shd w:fill="FFFFFF"/>
            <w:vAlign w:val="center"/>
            <w:tcMar>
              <w:top w:w="70" w:type="dxa"/>
              <w:start w:w="90" w:type="dxa"/>
              <w:bottom w:w="70" w:type="dxa"/>
              <w:end w:w="90" w:type="dxa"/>
            </w:tcMar>
          </w:tcPr>
          <w:p>
            <w:pPr>
              <w:spacing w:after="0" w:before="0" w:line="245" w:lineRule="auto"/>
              <w:jc w:val="left"/>
            </w:pPr>
            <w:r/>
            <w:r>
              <w:rPr>
                <w:rFonts w:ascii="Aptos" w:hAnsi="Aptos"/>
                <w:b w:val="0"/>
                <w:color w:val="17232D"/>
                <w:sz w:val="15"/>
              </w:rPr>
              <w:t>Strong filter; timing concern</w:t>
            </w:r>
          </w:p>
        </w:tc>
      </w:tr>
      <w:tr>
        <w:tc>
          <w:tcPr>
            <w:tcW w:type="dxa" w:w="619"/>
            <w:shd w:fill="EAF4F8"/>
            <w:vAlign w:val="center"/>
            <w:tcMar>
              <w:top w:w="70" w:type="dxa"/>
              <w:start w:w="90" w:type="dxa"/>
              <w:bottom w:w="70" w:type="dxa"/>
              <w:end w:w="90" w:type="dxa"/>
            </w:tcMar>
          </w:tcPr>
          <w:p>
            <w:pPr>
              <w:spacing w:after="0" w:before="0" w:line="245" w:lineRule="auto"/>
              <w:jc w:val="center"/>
            </w:pPr>
            <w:r/>
            <w:r>
              <w:rPr>
                <w:rFonts w:ascii="Aptos" w:hAnsi="Aptos"/>
                <w:b/>
                <w:color w:val="167C63"/>
                <w:sz w:val="15"/>
              </w:rPr>
              <w:t>A5</w:t>
            </w:r>
          </w:p>
        </w:tc>
        <w:tc>
          <w:tcPr>
            <w:tcW w:type="dxa" w:w="3960"/>
            <w:shd w:fill="EAF4F8"/>
            <w:vAlign w:val="center"/>
            <w:tcMar>
              <w:top w:w="70" w:type="dxa"/>
              <w:start w:w="90" w:type="dxa"/>
              <w:bottom w:w="70" w:type="dxa"/>
              <w:end w:w="90" w:type="dxa"/>
            </w:tcMar>
          </w:tcPr>
          <w:p>
            <w:pPr>
              <w:spacing w:after="0" w:before="0" w:line="245" w:lineRule="auto"/>
              <w:jc w:val="left"/>
            </w:pPr>
            <w:r/>
            <w:r>
              <w:rPr>
                <w:rFonts w:ascii="Aptos" w:hAnsi="Aptos"/>
                <w:b w:val="0"/>
                <w:color w:val="17232D"/>
                <w:sz w:val="15"/>
              </w:rPr>
              <w:t>Evidence-conditioned predictive/barrier hybrid</w:t>
            </w:r>
          </w:p>
        </w:tc>
        <w:tc>
          <w:tcPr>
            <w:tcW w:type="dxa" w:w="1512"/>
            <w:shd w:fill="EAF4F8"/>
            <w:vAlign w:val="center"/>
            <w:tcMar>
              <w:top w:w="70" w:type="dxa"/>
              <w:start w:w="90" w:type="dxa"/>
              <w:bottom w:w="70" w:type="dxa"/>
              <w:end w:w="90" w:type="dxa"/>
            </w:tcMar>
          </w:tcPr>
          <w:p>
            <w:pPr>
              <w:spacing w:after="0" w:before="0" w:line="245" w:lineRule="auto"/>
              <w:jc w:val="center"/>
            </w:pPr>
            <w:r/>
            <w:r>
              <w:rPr>
                <w:rFonts w:ascii="Aptos" w:hAnsi="Aptos"/>
                <w:b w:val="0"/>
                <w:color w:val="17232D"/>
                <w:sz w:val="15"/>
              </w:rPr>
              <w:t>99.83%</w:t>
            </w:r>
          </w:p>
        </w:tc>
        <w:tc>
          <w:tcPr>
            <w:tcW w:type="dxa" w:w="1512"/>
            <w:shd w:fill="EAF4F8"/>
            <w:vAlign w:val="center"/>
            <w:tcMar>
              <w:top w:w="70" w:type="dxa"/>
              <w:start w:w="90" w:type="dxa"/>
              <w:bottom w:w="70" w:type="dxa"/>
              <w:end w:w="90" w:type="dxa"/>
            </w:tcMar>
          </w:tcPr>
          <w:p>
            <w:pPr>
              <w:spacing w:after="0" w:before="0" w:line="245" w:lineRule="auto"/>
              <w:jc w:val="center"/>
            </w:pPr>
            <w:r/>
            <w:r>
              <w:rPr>
                <w:rFonts w:ascii="Aptos" w:hAnsi="Aptos"/>
                <w:b w:val="0"/>
                <w:color w:val="17232D"/>
                <w:sz w:val="15"/>
              </w:rPr>
              <w:t>3</w:t>
            </w:r>
          </w:p>
        </w:tc>
        <w:tc>
          <w:tcPr>
            <w:tcW w:type="dxa" w:w="2880"/>
            <w:shd w:fill="EAF4F8"/>
            <w:vAlign w:val="center"/>
            <w:tcMar>
              <w:top w:w="70" w:type="dxa"/>
              <w:start w:w="90" w:type="dxa"/>
              <w:bottom w:w="70" w:type="dxa"/>
              <w:end w:w="90" w:type="dxa"/>
            </w:tcMar>
          </w:tcPr>
          <w:p>
            <w:pPr>
              <w:spacing w:after="0" w:before="0" w:line="245" w:lineRule="auto"/>
              <w:jc w:val="left"/>
            </w:pPr>
            <w:r/>
            <w:r>
              <w:rPr>
                <w:rFonts w:ascii="Aptos" w:hAnsi="Aptos"/>
                <w:b/>
                <w:color w:val="167C63"/>
                <w:sz w:val="15"/>
              </w:rPr>
              <w:t>Recommended prototype</w:t>
            </w:r>
          </w:p>
        </w:tc>
      </w:tr>
    </w:tbl>
    <w:p>
      <w:pPr>
        <w:pStyle w:val="Heading1"/>
        <w:keepNext/>
        <w:spacing w:before="140" w:after="60"/>
      </w:pPr>
      <w:r>
        <w:rPr>
          <w:rFonts w:ascii="Aptos Display" w:hAnsi="Aptos Display"/>
          <w:b/>
          <w:color w:val="000000"/>
          <w:sz w:val="26"/>
        </w:rPr>
        <w:t>How to interpret the result</w:t>
      </w:r>
    </w:p>
    <w:p>
      <w:pPr>
        <w:spacing w:before="0" w:after="80" w:line="259" w:lineRule="auto"/>
      </w:pPr>
      <w:r>
        <w:rPr>
          <w:rFonts w:ascii="Aptos" w:hAnsi="Aptos"/>
          <w:b w:val="0"/>
          <w:i w:val="0"/>
          <w:color w:val="17232D"/>
          <w:sz w:val="17"/>
        </w:rPr>
        <w:t>A5 is the best current implementation choice because it preserves explicit health-dependent limits, validates a recovery continuation, can fall back to a plant-aware barrier correction, and showed the best acceptance/miss balance among A3-A5. A1 and A2 were faster, but they mostly passed commands that the independent gate later rejected, so their apparent compute advantage did not translate into comparable closed-loop authority. A4 missed the deadline most often. A3 remained credible but had twice A5’s misses and slightly lower gate acceptance.</w:t>
      </w:r>
    </w:p>
    <w:p>
      <w:pPr>
        <w:spacing w:before="0" w:after="100" w:line="259" w:lineRule="auto"/>
      </w:pPr>
      <w:r>
        <w:rPr>
          <w:rFonts w:ascii="Aptos" w:hAnsi="Aptos"/>
          <w:b w:val="0"/>
          <w:i w:val="0"/>
          <w:color w:val="17232D"/>
          <w:sz w:val="17"/>
        </w:rPr>
        <w:t>The evidence does not support a formal safety ranking. Every mission was censored at 30 seconds; 40 of 60 branches exceeded at least one declared engineering uncertainty bound; no independent sampled recovery boundary was included; modeled front-end latency was idealized; and gate/watchdog behavior materially influenced trajectories. All 15 collisions belonged to the deliberately unrecoverable stratum, so they do not measure preventable-collision performance.</w:t>
      </w:r>
    </w:p>
    <w:p>
      <w:pPr>
        <w:pStyle w:val="Heading1"/>
        <w:keepNext/>
        <w:spacing w:before="140" w:after="60"/>
      </w:pPr>
      <w:r>
        <w:rPr>
          <w:rFonts w:ascii="Aptos Display" w:hAnsi="Aptos Display"/>
          <w:b/>
          <w:color w:val="000000"/>
          <w:sz w:val="26"/>
        </w:rPr>
        <w:t>Path to a defensible selection</w:t>
      </w:r>
    </w:p>
    <w:p>
      <w:pPr>
        <w:pStyle w:val="ListBullet"/>
        <w:spacing w:after="40" w:line="247" w:lineRule="auto"/>
        <w:ind w:left="230" w:hanging="173"/>
      </w:pPr>
      <w:r>
        <w:rPr>
          <w:rFonts w:ascii="Aptos" w:hAnsi="Aptos"/>
          <w:b/>
          <w:i w:val="0"/>
          <w:color w:val="17232D"/>
          <w:sz w:val="17"/>
        </w:rPr>
        <w:t xml:space="preserve">Freeze the protocol. </w:t>
      </w:r>
      <w:r>
        <w:rPr>
          <w:rFonts w:ascii="Aptos" w:hAnsi="Aptos"/>
          <w:b w:val="0"/>
          <w:i w:val="0"/>
          <w:color w:val="17232D"/>
          <w:sz w:val="17"/>
        </w:rPr>
        <w:t>Calibrate A2 and perception-health thresholds without reading held-out outcomes; lock code, models, bounds, and timing profiles.</w:t>
      </w:r>
    </w:p>
    <w:p>
      <w:pPr>
        <w:pStyle w:val="ListBullet"/>
        <w:spacing w:after="40" w:line="247" w:lineRule="auto"/>
        <w:ind w:left="230" w:hanging="173"/>
      </w:pPr>
      <w:r>
        <w:rPr>
          <w:rFonts w:ascii="Aptos" w:hAnsi="Aptos"/>
          <w:b/>
          <w:i w:val="0"/>
          <w:color w:val="17232D"/>
          <w:sz w:val="17"/>
        </w:rPr>
        <w:t xml:space="preserve">Run the required study. </w:t>
      </w:r>
      <w:r>
        <w:rPr>
          <w:rFonts w:ascii="Aptos" w:hAnsi="Aptos"/>
          <w:b w:val="0"/>
          <w:i w:val="0"/>
          <w:color w:val="17232D"/>
          <w:sz w:val="17"/>
        </w:rPr>
        <w:t>Use at least 1,000 held-out episodes with 30 or more paired seeds per stochastic scenario and architecture cell, plus explicit recoverability strata.</w:t>
      </w:r>
    </w:p>
    <w:p>
      <w:pPr>
        <w:pStyle w:val="ListBullet"/>
        <w:spacing w:after="40" w:line="247" w:lineRule="auto"/>
        <w:ind w:left="230" w:hanging="173"/>
      </w:pPr>
      <w:r>
        <w:rPr>
          <w:rFonts w:ascii="Aptos" w:hAnsi="Aptos"/>
          <w:b/>
          <w:i w:val="0"/>
          <w:color w:val="17232D"/>
          <w:sz w:val="17"/>
        </w:rPr>
        <w:t xml:space="preserve">Measure the full loop. </w:t>
      </w:r>
      <w:r>
        <w:rPr>
          <w:rFonts w:ascii="Aptos" w:hAnsi="Aptos"/>
          <w:b w:val="0"/>
          <w:i w:val="0"/>
          <w:color w:val="17232D"/>
          <w:sz w:val="17"/>
        </w:rPr>
        <w:t>Include sensor, network, AI, fusion, assurance, gate, and actuator latency on target hardware; characterize deadline misses and watchdog takeover.</w:t>
      </w:r>
    </w:p>
    <w:p>
      <w:pPr>
        <w:pStyle w:val="ListBullet"/>
        <w:spacing w:after="40" w:line="247" w:lineRule="auto"/>
        <w:ind w:left="230" w:hanging="173"/>
      </w:pPr>
      <w:r>
        <w:rPr>
          <w:rFonts w:ascii="Aptos" w:hAnsi="Aptos"/>
          <w:b/>
          <w:i w:val="0"/>
          <w:color w:val="17232D"/>
          <w:sz w:val="17"/>
        </w:rPr>
        <w:t xml:space="preserve">Qualify each operating mode. </w:t>
      </w:r>
      <w:r>
        <w:rPr>
          <w:rFonts w:ascii="Aptos" w:hAnsi="Aptos"/>
          <w:b w:val="0"/>
          <w:i w:val="0"/>
          <w:color w:val="17232D"/>
          <w:sz w:val="17"/>
        </w:rPr>
        <w:t>Validate marine physics, uncertainty coverage, degraded sensing, communication faults, and real vessel endpoints before expanding authority.</w:t>
      </w:r>
    </w:p>
    <w:p>
      <w:pPr>
        <w:spacing w:before="100" w:after="40"/>
      </w:pPr>
      <w:r>
        <w:rPr>
          <w:rFonts w:ascii="Aptos" w:hAnsi="Aptos"/>
          <w:b/>
          <w:i w:val="0"/>
          <w:color w:val="167C63"/>
          <w:sz w:val="18"/>
        </w:rPr>
        <w:t xml:space="preserve">Architecture decision  </w:t>
      </w:r>
      <w:r>
        <w:rPr>
          <w:rFonts w:ascii="Aptos" w:hAnsi="Aptos"/>
          <w:b/>
          <w:i w:val="0"/>
          <w:color w:val="17232D"/>
          <w:sz w:val="18"/>
        </w:rPr>
        <w:t>Proceed with A5 for the hackathon demo and preserve A1 as the transparent baseline. Keep the exclusive gate and watchdog independent of either candidate.</w:t>
      </w:r>
    </w:p>
    <w:p>
      <w:pPr>
        <w:spacing w:before="80" w:after="0" w:line="240" w:lineRule="auto"/>
      </w:pPr>
      <w:r>
        <w:rPr>
          <w:rFonts w:ascii="Aptos" w:hAnsi="Aptos"/>
          <w:b w:val="0"/>
          <w:i/>
          <w:color w:val="526675"/>
          <w:sz w:val="14"/>
        </w:rPr>
        <w:t>Evidence source: Horizon A32 A1-A5 30-second development analysis, source revision 28eb923, analysis hash 8004358ed9ac50c824750a6906e344b94e438ec04b0448bca421e7768072e909. Development evidence only.</w:t>
      </w:r>
    </w:p>
    <w:sectPr w:rsidR="00FC693F" w:rsidRPr="0006063C" w:rsidSect="00034616">
      <w:headerReference w:type="default" r:id="rId9"/>
      <w:footerReference w:type="default" r:id="rId10"/>
      <w:pgSz w:w="11909" w:h="16834"/>
      <w:pgMar w:top="749" w:right="835" w:bottom="720" w:left="835" w:header="288"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b w:val="0"/>
        <w:i w:val="0"/>
        <w:color w:val="526675"/>
        <w:sz w:val="14"/>
      </w:rPr>
      <w:t xml:space="preserve">22 September 2026  |  Development evidence  |  Page </w:t>
    </w:r>
    <w:r/>
    <w:fldSimple w:instr="PAGE"/>
    <w:r>
      <w:rPr>
        <w:rFonts w:ascii="Aptos" w:hAnsi="Aptos"/>
        <w:b w:val="0"/>
        <w:i w:val="0"/>
        <w:color w:val="526675"/>
        <w:sz w:val="14"/>
      </w:rPr>
      <w:t xml:space="preserve"> of 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ptos" w:hAnsi="Aptos"/>
        <w:b/>
        <w:i w:val="0"/>
        <w:color w:val="526675"/>
        <w:sz w:val="15"/>
      </w:rPr>
      <w:t>HORIZON  |  DEVELOPMENT WHITE PAPER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17232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Runtime Assurance for Autonomous Maritime Systems</dc:title>
  <dc:subject>Horizon two-page development white paper and provisional A5 architecture recommendation</dc:subject>
  <dc:creator>Horizon Project</dc:creator>
  <cp:keywords>runtime assurance, maritime autonomy, A5, safety governor, autonomous vessel</cp:keywords>
  <dc:description>generated by python-docx</dc:description>
  <cp:lastModifiedBy/>
  <cp:revision>1</cp:revision>
  <dcterms:created xsi:type="dcterms:W3CDTF">2013-12-23T23:15:00Z</dcterms:created>
  <dcterms:modified xsi:type="dcterms:W3CDTF">2013-12-23T23:15:00Z</dcterms:modified>
  <cp:category/>
</cp:coreProperties>
</file>