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7"/>
      <w:footerReference w:type="default" r:id="rId8"/>
      <w:pgSz w:w="12240" w:h="15840" w:orient="portrait"/>
      <w:pgMar w:top="18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1" w:space="3"/>
      </w:pBd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Wetware Labs LLC  |  Confidential  |  Page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2" w:space="5"/>
      </w:pBdr>
      <w:spacing w:after="0"/>
      <w:jc w:val="right"/>
    </w:pPr>
    <w:r>
      <w:drawing>
        <wp:inline distT="0" distB="0" distL="0" distR="0">
          <wp:extent cx="16478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40"/>
      <w:jc w:val="right"/>
    </w:pPr>
    <w:r>
      <w:rPr>
        <w:rFonts w:ascii="Arial" w:cs="Arial" w:eastAsia="Arial" w:hAnsi="Arial"/>
        <w:i w:val="false"/>
        <w:iCs w:val="false"/>
        <w:color w:val="555555"/>
        <w:sz w:val="32"/>
        <w:szCs w:val="32"/>
      </w:rPr>
      <w:t xml:space="preserve">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e4c3809d48bb06d056c48baf5f46ebaad14cf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2026-02-25T22:38:21.843Z</dcterms:created>
  <dcterms:modified xsi:type="dcterms:W3CDTF">2026-02-25T22:38:21.864Z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