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TD 4 – La mesure de la dette publique et de sa soutenabilité</w:t>
      </w:r>
    </w:p>
    <w:p>
      <w:pPr>
        <w:spacing w:after="120"/>
        <w:jc w:val="center"/>
      </w:pPr>
      <w:r>
        <w:rPr>
          <w:i/>
          <w:iCs/>
          <w:color w:val="666666"/>
        </w:rPr>
        <w:t xml:space="preserve">Fiche de préparation – Macroéconomie</w:t>
      </w:r>
    </w:p>
    <w:p>
      <w:pPr>
        <w:spacing w:after="120"/>
      </w:pPr>
      <w:r>
        <w:t xml:space="preserve">Document : « La dette publique est-elle vraiment alarmante ? », débat entre </w:t>
      </w:r>
      <w:r>
        <w:rPr>
          <w:b/>
          <w:bCs/>
        </w:rPr>
        <w:t xml:space="preserve">François Ecalle</w:t>
      </w:r>
      <w:r>
        <w:t xml:space="preserve"> (ancien magistrat à la Cour des comptes) et </w:t>
      </w:r>
      <w:r>
        <w:rPr>
          <w:b/>
          <w:bCs/>
        </w:rPr>
        <w:t xml:space="preserve">François Geerolf</w:t>
      </w:r>
      <w:r>
        <w:t xml:space="preserve"> (économiste à l’OFCE), Lemonde.fr, 10 janvier 2025.</w:t>
      </w:r>
    </w:p>
    <w:p>
      <w:pPr>
        <w:spacing w:after="120"/>
      </w:pPr>
      <w:r>
        <w:t xml:space="preserve">Pour chaque question : la réponse simplifiée, les </w:t>
      </w:r>
      <w:r>
        <w:rPr>
          <w:b/>
          <w:bCs/>
        </w:rPr>
        <w:t xml:space="preserve">notions de cours</w:t>
      </w:r>
      <w:r>
        <w:t xml:space="preserve"> à relier et une </w:t>
      </w:r>
      <w:r>
        <w:rPr>
          <w:b/>
          <w:bCs/>
        </w:rPr>
        <w:t xml:space="preserve">phrase pour participer</w:t>
      </w:r>
      <w:r>
        <w:t xml:space="preserve"> en TD.</w:t>
      </w:r>
    </w:p>
    <w:p>
      <w:pPr>
        <w:pStyle w:val="Heading1"/>
        <w:spacing w:after="160" w:before="360"/>
      </w:pPr>
      <w:r>
        <w:t xml:space="preserve">Rappel de cours</w:t>
      </w:r>
    </w:p>
    <w:p>
      <w:pPr>
        <w:pStyle w:val="Heading2"/>
        <w:spacing w:after="100" w:before="200"/>
      </w:pPr>
      <w:r>
        <w:t xml:space="preserve">a) Qu’appelle-t-on « dette publique » ?</w:t>
      </w:r>
    </w:p>
    <w:p>
      <w:pPr>
        <w:spacing w:after="120"/>
      </w:pPr>
      <w:r>
        <w:t xml:space="preserve">C’est l’ensemble des </w:t>
      </w:r>
      <w:r>
        <w:rPr>
          <w:b/>
          <w:bCs/>
        </w:rPr>
        <w:t xml:space="preserve">emprunts accumulés</w:t>
      </w:r>
      <w:r>
        <w:t xml:space="preserve"> par les </w:t>
      </w:r>
      <w:r>
        <w:rPr>
          <w:b/>
          <w:bCs/>
        </w:rPr>
        <w:t xml:space="preserve">administrations publiques</w:t>
      </w:r>
      <w:r>
        <w:t xml:space="preserve"> (APU) et non encore remboursés. Les APU regroupent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l’</w:t>
      </w:r>
      <w:r>
        <w:rPr>
          <w:b/>
          <w:bCs/>
        </w:rPr>
        <w:t xml:space="preserve">État</w:t>
      </w:r>
      <w:r>
        <w:t xml:space="preserve"> et les organismes qui en dépendent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</w:t>
      </w:r>
      <w:r>
        <w:rPr>
          <w:b/>
          <w:bCs/>
        </w:rPr>
        <w:t xml:space="preserve">collectivités locales</w:t>
      </w:r>
      <w:r>
        <w:t xml:space="preserve"> (communes, départements, régions)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</w:t>
      </w:r>
      <w:r>
        <w:rPr>
          <w:b/>
          <w:bCs/>
        </w:rPr>
        <w:t xml:space="preserve">administrations de sécurité sociale</w:t>
      </w:r>
      <w:r>
        <w:t xml:space="preserve"> (retraites, assurance maladie…).</w:t>
      </w:r>
    </w:p>
    <w:p>
      <w:pPr>
        <w:spacing w:after="120"/>
      </w:pPr>
      <w:r>
        <w:t xml:space="preserve">On utilise la définition dite « </w:t>
      </w:r>
      <w:r>
        <w:rPr>
          <w:b/>
          <w:bCs/>
        </w:rPr>
        <w:t xml:space="preserve">de Maastricht</w:t>
      </w:r>
      <w:r>
        <w:t xml:space="preserve"> » : dette </w:t>
      </w:r>
      <w:r>
        <w:rPr>
          <w:b/>
          <w:bCs/>
        </w:rPr>
        <w:t xml:space="preserve">brute</w:t>
      </w:r>
      <w:r>
        <w:t xml:space="preserve">, en </w:t>
      </w:r>
      <w:r>
        <w:rPr>
          <w:b/>
          <w:bCs/>
        </w:rPr>
        <w:t xml:space="preserve">valeur nominale</w:t>
      </w:r>
      <w:r>
        <w:t xml:space="preserve">. En France, elle représente environ </w:t>
      </w:r>
      <w:r>
        <w:rPr>
          <w:b/>
          <w:bCs/>
        </w:rPr>
        <w:t xml:space="preserve">3 400 milliards d’euros</w:t>
      </w:r>
      <w:r>
        <w:t xml:space="preserve">, soit environ </w:t>
      </w:r>
      <w:r>
        <w:rPr>
          <w:b/>
          <w:bCs/>
        </w:rPr>
        <w:t xml:space="preserve">115 % du PIB</w:t>
      </w:r>
      <w:r>
        <w:t xml:space="preserve"> en 2025.</w:t>
      </w:r>
    </w:p>
    <w:p>
      <w:pPr>
        <w:pBdr>
          <w:left w:val="single" w:color="B7791F" w:sz="18" w:space="6"/>
        </w:pBdr>
        <w:shd w:fill="FDF3E3" w:color="auto" w:val="clear"/>
        <w:spacing w:after="120" w:before="120"/>
        <w:ind w:left="120"/>
      </w:pPr>
      <w:r>
        <w:rPr>
          <w:b/>
          <w:bCs/>
          <w:color w:val="B7791F"/>
        </w:rPr>
        <w:t xml:space="preserve">Attention : </w:t>
      </w:r>
      <w:r>
        <w:t xml:space="preserve">ne confondez pas </w:t>
      </w:r>
      <w:r>
        <w:rPr>
          <w:b/>
          <w:bCs/>
        </w:rPr>
        <w:t xml:space="preserve">déficit</w:t>
      </w:r>
      <w:r>
        <w:t xml:space="preserve"> et </w:t>
      </w:r>
      <w:r>
        <w:rPr>
          <w:b/>
          <w:bCs/>
        </w:rPr>
        <w:t xml:space="preserve">dette</w:t>
      </w:r>
      <w:r>
        <w:t xml:space="preserve">. Le déficit est un </w:t>
      </w:r>
      <w:r>
        <w:rPr>
          <w:b/>
          <w:bCs/>
        </w:rPr>
        <w:t xml:space="preserve">flux</w:t>
      </w:r>
      <w:r>
        <w:t xml:space="preserve"> : ce qui manque sur </w:t>
      </w:r>
      <w:r>
        <w:rPr>
          <w:b/>
          <w:bCs/>
        </w:rPr>
        <w:t xml:space="preserve">une année</w:t>
      </w:r>
      <w:r>
        <w:t xml:space="preserve">. La dette est un </w:t>
      </w:r>
      <w:r>
        <w:rPr>
          <w:b/>
          <w:bCs/>
        </w:rPr>
        <w:t xml:space="preserve">stock</w:t>
      </w:r>
      <w:r>
        <w:t xml:space="preserve"> : l’</w:t>
      </w:r>
      <w:r>
        <w:rPr>
          <w:b/>
          <w:bCs/>
        </w:rPr>
        <w:t xml:space="preserve">accumulation</w:t>
      </w:r>
      <w:r>
        <w:t xml:space="preserve"> des déficits passés. Chaque déficit vient grossir la dette.</w:t>
      </w:r>
    </w:p>
    <w:p>
      <w:pPr>
        <w:pStyle w:val="Heading2"/>
        <w:spacing w:after="100" w:before="200"/>
      </w:pPr>
      <w:r>
        <w:t xml:space="preserve">b) Qu’est-ce que le solde primaire ?</w:t>
      </w:r>
    </w:p>
    <w:p>
      <w:pPr>
        <w:spacing w:after="120"/>
      </w:pPr>
      <w:r>
        <w:t xml:space="preserve">C’est le solde budgétaire </w:t>
      </w:r>
      <w:r>
        <w:rPr>
          <w:b/>
          <w:bCs/>
        </w:rPr>
        <w:t xml:space="preserve">hors charge d’intérêts</w:t>
      </w:r>
      <w:r>
        <w:t xml:space="preserve"> de la dette :</w:t>
      </w:r>
    </w:p>
    <w:p>
      <w:pPr>
        <w:shd w:fill="F4F4F4" w:color="auto" w:val="clear"/>
        <w:spacing w:after="120" w:before="120"/>
        <w:jc w:val="center"/>
      </w:pPr>
      <w:r>
        <w:rPr>
          <w:b/>
          <w:bCs/>
          <w:sz w:val="26"/>
          <w:szCs w:val="26"/>
        </w:rPr>
        <w:t xml:space="preserve">Solde primaire = Recettes publiques − Dépenses publiques hors intérêts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S’il est </w:t>
      </w:r>
      <w:r>
        <w:rPr>
          <w:b/>
          <w:bCs/>
        </w:rPr>
        <w:t xml:space="preserve">positif</w:t>
      </w:r>
      <w:r>
        <w:t xml:space="preserve">, on parle d’</w:t>
      </w:r>
      <w:r>
        <w:rPr>
          <w:b/>
          <w:bCs/>
        </w:rPr>
        <w:t xml:space="preserve">excédent primaire</w:t>
      </w:r>
      <w:r>
        <w:t xml:space="preserve"> : l’État dépense moins que ce qu’il gagne, </w:t>
      </w:r>
      <w:r>
        <w:rPr>
          <w:b/>
          <w:bCs/>
        </w:rPr>
        <w:t xml:space="preserve">avant</w:t>
      </w:r>
      <w:r>
        <w:t xml:space="preserve"> de payer les intérêts.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S’il est </w:t>
      </w:r>
      <w:r>
        <w:rPr>
          <w:b/>
          <w:bCs/>
        </w:rPr>
        <w:t xml:space="preserve">négatif</w:t>
      </w:r>
      <w:r>
        <w:t xml:space="preserve">, on parle de </w:t>
      </w:r>
      <w:r>
        <w:rPr>
          <w:b/>
          <w:bCs/>
        </w:rPr>
        <w:t xml:space="preserve">déficit primaire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Pourquoi l’utiliser ?</w:t>
      </w:r>
      <w:r>
        <w:t xml:space="preserve"> Il mesure l’effort budgétaire </w:t>
      </w:r>
      <w:r>
        <w:rPr>
          <w:b/>
          <w:bCs/>
        </w:rPr>
        <w:t xml:space="preserve">réellement contrôlé</w:t>
      </w:r>
      <w:r>
        <w:t xml:space="preserve"> par le gouvernement aujourd’hui. Les intérêts, eux, dépendent des dettes passées et des taux.</w:t>
      </w:r>
    </w:p>
    <w:p>
      <w:pPr>
        <w:pBdr>
          <w:left w:val="single" w:color="2E5C8A" w:sz="18" w:space="6"/>
        </w:pBdr>
        <w:shd w:fill="EAF1FB" w:color="auto" w:val="clear"/>
        <w:spacing w:after="120" w:before="120"/>
        <w:ind w:left="120"/>
      </w:pPr>
      <w:r>
        <w:rPr>
          <w:b/>
          <w:bCs/>
          <w:color w:val="2E5C8A"/>
        </w:rPr>
        <w:t xml:space="preserve">Notions de cours : </w:t>
      </w:r>
      <w:r>
        <w:t xml:space="preserve">APU, flux et stock, solde public, solde primaire, critères de Maastricht (déficit &lt; 3 % du PIB, dette &lt; 60 % du PIB).</w:t>
      </w:r>
    </w:p>
    <w:p>
      <w:pPr>
        <w:pStyle w:val="Heading1"/>
        <w:spacing w:after="160" w:before="360"/>
      </w:pPr>
      <w:r>
        <w:t xml:space="preserve">Question 1 – Les 10 pays les plus endettés</w:t>
      </w:r>
    </w:p>
    <w:p>
      <w:pPr>
        <w:spacing w:after="120"/>
      </w:pPr>
      <w:r>
        <w:t xml:space="preserve">Données : </w:t>
      </w:r>
      <w:r>
        <w:rPr>
          <w:b/>
          <w:bCs/>
        </w:rPr>
        <w:t xml:space="preserve">FMI, World Economic Outlook, octobre 2025</w:t>
      </w:r>
      <w:r>
        <w:t xml:space="preserve"> (dette publique brute). Le dernier classement est une </w:t>
      </w:r>
      <w:r>
        <w:rPr>
          <w:b/>
          <w:bCs/>
        </w:rPr>
        <w:t xml:space="preserve">estimation</w:t>
      </w:r>
      <w:r>
        <w:t xml:space="preserve"> : dette en dollars ÷ population.</w:t>
      </w:r>
    </w:p>
    <w:p>
      <w:pPr>
        <w:pStyle w:val="Heading2"/>
        <w:spacing w:after="100" w:before="200"/>
      </w:pPr>
      <w:r>
        <w:t xml:space="preserve">Classement 1 – En valeur (milliers de milliards de dollars)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69"/>
        <w:gridCol w:w="4369"/>
      </w:tblGrid>
      <w:tr>
        <w:trPr>
          <w:tblHeader/>
        </w:trPr>
        <w:tc>
          <w:tcPr>
            <w:tcW w:type="dxa" w:w="900"/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Rang</w:t>
            </w:r>
          </w:p>
        </w:tc>
        <w:tc>
          <w:tcPr>
            <w:tcW w:type="dxa" w:w="4369"/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Pays</w:t>
            </w:r>
          </w:p>
        </w:tc>
        <w:tc>
          <w:tcPr>
            <w:tcW w:type="dxa" w:w="4369"/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Dette publique (environ)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43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États-Unis</w:t>
            </w:r>
          </w:p>
        </w:tc>
        <w:tc>
          <w:tcPr>
            <w:tcW w:type="dxa" w:w="43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38 300 Md$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43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Chine</w:t>
            </w:r>
          </w:p>
        </w:tc>
        <w:tc>
          <w:tcPr>
            <w:tcW w:type="dxa" w:w="43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18 700 Md$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43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Japon</w:t>
            </w:r>
          </w:p>
        </w:tc>
        <w:tc>
          <w:tcPr>
            <w:tcW w:type="dxa" w:w="43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9 800 Md$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43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Royaume-Uni</w:t>
            </w:r>
          </w:p>
        </w:tc>
        <w:tc>
          <w:tcPr>
            <w:tcW w:type="dxa" w:w="43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4 100 Md$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43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France</w:t>
            </w:r>
          </w:p>
        </w:tc>
        <w:tc>
          <w:tcPr>
            <w:tcW w:type="dxa" w:w="43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3 900 Md$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43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Italie</w:t>
            </w:r>
          </w:p>
        </w:tc>
        <w:tc>
          <w:tcPr>
            <w:tcW w:type="dxa" w:w="43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3 500 Md$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43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Inde</w:t>
            </w:r>
          </w:p>
        </w:tc>
        <w:tc>
          <w:tcPr>
            <w:tcW w:type="dxa" w:w="43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≈ 3 400 Md$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</w:t>
            </w:r>
          </w:p>
        </w:tc>
        <w:tc>
          <w:tcPr>
            <w:tcW w:type="dxa" w:w="43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Allemagne</w:t>
            </w:r>
          </w:p>
        </w:tc>
        <w:tc>
          <w:tcPr>
            <w:tcW w:type="dxa" w:w="43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≈ 3 100 Md$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</w:t>
            </w:r>
          </w:p>
        </w:tc>
        <w:tc>
          <w:tcPr>
            <w:tcW w:type="dxa" w:w="43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Canada</w:t>
            </w:r>
          </w:p>
        </w:tc>
        <w:tc>
          <w:tcPr>
            <w:tcW w:type="dxa" w:w="43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≈ 2 400 Md$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</w:t>
            </w:r>
          </w:p>
        </w:tc>
        <w:tc>
          <w:tcPr>
            <w:tcW w:type="dxa" w:w="43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Brésil / Espagne</w:t>
            </w:r>
          </w:p>
        </w:tc>
        <w:tc>
          <w:tcPr>
            <w:tcW w:type="dxa" w:w="43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≈ 1 900 Md$</w:t>
            </w:r>
          </w:p>
        </w:tc>
      </w:tr>
    </w:tbl>
    <w:p>
      <w:pPr>
        <w:pStyle w:val="Heading2"/>
        <w:spacing w:after="100" w:before="200"/>
      </w:pPr>
      <w:r>
        <w:t xml:space="preserve">Classement 2 – En % du PIB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69"/>
        <w:gridCol w:w="4369"/>
      </w:tblGrid>
      <w:tr>
        <w:trPr>
          <w:tblHeader/>
        </w:trPr>
        <w:tc>
          <w:tcPr>
            <w:tcW w:type="dxa" w:w="900"/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Rang</w:t>
            </w:r>
          </w:p>
        </w:tc>
        <w:tc>
          <w:tcPr>
            <w:tcW w:type="dxa" w:w="4369"/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Pays</w:t>
            </w:r>
          </w:p>
        </w:tc>
        <w:tc>
          <w:tcPr>
            <w:tcW w:type="dxa" w:w="4369"/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Dette / PIB (environ)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43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Japon</w:t>
            </w:r>
          </w:p>
        </w:tc>
        <w:tc>
          <w:tcPr>
            <w:tcW w:type="dxa" w:w="43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230 %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43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Soudan</w:t>
            </w:r>
          </w:p>
        </w:tc>
        <w:tc>
          <w:tcPr>
            <w:tcW w:type="dxa" w:w="43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222 %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43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Singapour</w:t>
            </w:r>
          </w:p>
        </w:tc>
        <w:tc>
          <w:tcPr>
            <w:tcW w:type="dxa" w:w="43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176 %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43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Grèce</w:t>
            </w:r>
          </w:p>
        </w:tc>
        <w:tc>
          <w:tcPr>
            <w:tcW w:type="dxa" w:w="43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147 %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43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Bahreïn</w:t>
            </w:r>
          </w:p>
        </w:tc>
        <w:tc>
          <w:tcPr>
            <w:tcW w:type="dxa" w:w="43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≈ 140 %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43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Italie</w:t>
            </w:r>
          </w:p>
        </w:tc>
        <w:tc>
          <w:tcPr>
            <w:tcW w:type="dxa" w:w="43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≈ 137 %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43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Maldives</w:t>
            </w:r>
          </w:p>
        </w:tc>
        <w:tc>
          <w:tcPr>
            <w:tcW w:type="dxa" w:w="43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≈ 130 %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</w:t>
            </w:r>
          </w:p>
        </w:tc>
        <w:tc>
          <w:tcPr>
            <w:tcW w:type="dxa" w:w="43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États-Unis</w:t>
            </w:r>
          </w:p>
        </w:tc>
        <w:tc>
          <w:tcPr>
            <w:tcW w:type="dxa" w:w="43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≈ 125 %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</w:t>
            </w:r>
          </w:p>
        </w:tc>
        <w:tc>
          <w:tcPr>
            <w:tcW w:type="dxa" w:w="43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Sénégal</w:t>
            </w:r>
          </w:p>
        </w:tc>
        <w:tc>
          <w:tcPr>
            <w:tcW w:type="dxa" w:w="43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≈ 120 %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</w:t>
            </w:r>
          </w:p>
        </w:tc>
        <w:tc>
          <w:tcPr>
            <w:tcW w:type="dxa" w:w="43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France</w:t>
            </w:r>
          </w:p>
        </w:tc>
        <w:tc>
          <w:tcPr>
            <w:tcW w:type="dxa" w:w="43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≈ 116 %</w:t>
            </w:r>
          </w:p>
        </w:tc>
      </w:tr>
    </w:tbl>
    <w:p>
      <w:pPr>
        <w:pStyle w:val="Heading2"/>
        <w:spacing w:after="100" w:before="200"/>
      </w:pPr>
      <w:r>
        <w:t xml:space="preserve">Classement 3 – Par habitant (estimation)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69"/>
        <w:gridCol w:w="4369"/>
      </w:tblGrid>
      <w:tr>
        <w:trPr>
          <w:tblHeader/>
        </w:trPr>
        <w:tc>
          <w:tcPr>
            <w:tcW w:type="dxa" w:w="900"/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Rang</w:t>
            </w:r>
          </w:p>
        </w:tc>
        <w:tc>
          <w:tcPr>
            <w:tcW w:type="dxa" w:w="4369"/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Pays</w:t>
            </w:r>
          </w:p>
        </w:tc>
        <w:tc>
          <w:tcPr>
            <w:tcW w:type="dxa" w:w="4369"/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Dette par habitant (environ)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43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Singapour</w:t>
            </w:r>
          </w:p>
        </w:tc>
        <w:tc>
          <w:tcPr>
            <w:tcW w:type="dxa" w:w="43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≈ 160 000 $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43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États-Unis</w:t>
            </w:r>
          </w:p>
        </w:tc>
        <w:tc>
          <w:tcPr>
            <w:tcW w:type="dxa" w:w="43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≈ 112 000 $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43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Japon</w:t>
            </w:r>
          </w:p>
        </w:tc>
        <w:tc>
          <w:tcPr>
            <w:tcW w:type="dxa" w:w="43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≈ 79 000 $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43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Belgique</w:t>
            </w:r>
          </w:p>
        </w:tc>
        <w:tc>
          <w:tcPr>
            <w:tcW w:type="dxa" w:w="43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≈ 60 000 $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43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Italie</w:t>
            </w:r>
          </w:p>
        </w:tc>
        <w:tc>
          <w:tcPr>
            <w:tcW w:type="dxa" w:w="43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≈ 59 000 $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43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Royaume-Uni</w:t>
            </w:r>
          </w:p>
        </w:tc>
        <w:tc>
          <w:tcPr>
            <w:tcW w:type="dxa" w:w="43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≈ 59 000 $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43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Canada</w:t>
            </w:r>
          </w:p>
        </w:tc>
        <w:tc>
          <w:tcPr>
            <w:tcW w:type="dxa" w:w="43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≈ 59 000 $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</w:t>
            </w:r>
          </w:p>
        </w:tc>
        <w:tc>
          <w:tcPr>
            <w:tcW w:type="dxa" w:w="43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France</w:t>
            </w:r>
          </w:p>
        </w:tc>
        <w:tc>
          <w:tcPr>
            <w:tcW w:type="dxa" w:w="43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≈ 57 000 $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</w:t>
            </w:r>
          </w:p>
        </w:tc>
        <w:tc>
          <w:tcPr>
            <w:tcW w:type="dxa" w:w="43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Autriche</w:t>
            </w:r>
          </w:p>
        </w:tc>
        <w:tc>
          <w:tcPr>
            <w:tcW w:type="dxa" w:w="43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≈ 47 000 $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</w:t>
            </w:r>
          </w:p>
        </w:tc>
        <w:tc>
          <w:tcPr>
            <w:tcW w:type="dxa" w:w="43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Irlande</w:t>
            </w:r>
          </w:p>
        </w:tc>
        <w:tc>
          <w:tcPr>
            <w:tcW w:type="dxa" w:w="43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≈ 45 000 $</w:t>
            </w:r>
          </w:p>
        </w:tc>
      </w:tr>
    </w:tbl>
    <w:p>
      <w:pPr>
        <w:pBdr>
          <w:left w:val="single" w:color="B7791F" w:sz="18" w:space="6"/>
        </w:pBdr>
        <w:shd w:fill="FDF3E3" w:color="auto" w:val="clear"/>
        <w:spacing w:after="120" w:before="120"/>
        <w:ind w:left="120"/>
      </w:pPr>
      <w:r>
        <w:rPr>
          <w:b/>
          <w:bCs/>
          <w:color w:val="B7791F"/>
        </w:rPr>
        <w:t xml:space="preserve">Attention : </w:t>
      </w:r>
      <w:r>
        <w:t xml:space="preserve">les rangs 5 à 10 varient selon les sources et les années. Vérifiez sur le site du FMI (IMF DataMapper, « General government gross debt ») si votre chargé de TD demande des chiffres précis.</w:t>
      </w:r>
    </w:p>
    <w:p>
      <w:pPr>
        <w:pStyle w:val="Heading2"/>
        <w:spacing w:after="100" w:before="200"/>
      </w:pPr>
      <w:r>
        <w:t xml:space="preserve">Quels enseignements 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Le classement change complètement selon l’indicateur.</w:t>
      </w:r>
      <w:r>
        <w:t xml:space="preserve"> En valeur, ce sont les </w:t>
      </w:r>
      <w:r>
        <w:rPr>
          <w:b/>
          <w:bCs/>
        </w:rPr>
        <w:t xml:space="preserve">grandes économies</w:t>
      </w:r>
      <w:r>
        <w:t xml:space="preserve"> qui dominent : c’est surtout un effet de taille.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Le ratio dette/PIB est le plus pertinent</w:t>
      </w:r>
      <w:r>
        <w:t xml:space="preserve"> : il compare la dette à la </w:t>
      </w:r>
      <w:r>
        <w:rPr>
          <w:b/>
          <w:bCs/>
        </w:rPr>
        <w:t xml:space="preserve">capacité de remboursement</w:t>
      </w:r>
      <w:r>
        <w:t xml:space="preserve"> du pays, c’est-à-dire la richesse qu’il produit en un an.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Un ratio élevé ne signifie pas forcément une crise.</w:t>
      </w:r>
      <w:r>
        <w:t xml:space="preserve"> Le Japon est à 230 % sans crise, car sa dette est détenue en grande partie par des </w:t>
      </w:r>
      <w:r>
        <w:rPr>
          <w:b/>
          <w:bCs/>
        </w:rPr>
        <w:t xml:space="preserve">résidents</w:t>
      </w:r>
      <w:r>
        <w:t xml:space="preserve"> (lien avec la Q4). La dette de Singapour est compensée par d’importants </w:t>
      </w:r>
      <w:r>
        <w:rPr>
          <w:b/>
          <w:bCs/>
        </w:rPr>
        <w:t xml:space="preserve">actifs publics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La dette par habitant</w:t>
      </w:r>
      <w:r>
        <w:t xml:space="preserve"> donne une idée du « poids » par personne, mais elle ne tient pas compte du </w:t>
      </w:r>
      <w:r>
        <w:rPr>
          <w:b/>
          <w:bCs/>
        </w:rPr>
        <w:t xml:space="preserve">revenu</w:t>
      </w:r>
      <w:r>
        <w:t xml:space="preserve"> des habitants.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Il faut regarder autre chose que la dette</w:t>
      </w:r>
      <w:r>
        <w:t xml:space="preserve"> : qui détient la dette, le taux d’intérêt, la croissance, le patrimoine public.</w:t>
      </w:r>
    </w:p>
    <w:p>
      <w:pPr>
        <w:pBdr>
          <w:left w:val="single" w:color="3C7A3A" w:sz="18" w:space="6"/>
        </w:pBdr>
        <w:shd w:fill="EEF7EC" w:color="auto" w:val="clear"/>
        <w:spacing w:after="120" w:before="120"/>
        <w:ind w:left="120"/>
      </w:pPr>
      <w:r>
        <w:rPr>
          <w:b/>
          <w:bCs/>
          <w:color w:val="3C7A3A"/>
        </w:rPr>
        <w:t xml:space="preserve">À dire en TD : </w:t>
      </w:r>
      <w:r>
        <w:t xml:space="preserve">« Le ratio dette/PIB ne suffit pas : le Japon est à 230 % sans crise, alors que la Grèce a connu une crise en 2010 avec un ratio plus faible. Il faut regarder </w:t>
      </w:r>
      <w:r>
        <w:rPr>
          <w:b/>
          <w:bCs/>
        </w:rPr>
        <w:t xml:space="preserve">qui détient la dette</w:t>
      </w:r>
      <w:r>
        <w:t xml:space="preserve">. »</w:t>
      </w:r>
    </w:p>
    <w:p>
      <w:pPr>
        <w:pStyle w:val="Heading1"/>
        <w:spacing w:after="160" w:before="360"/>
      </w:pPr>
      <w:r>
        <w:t xml:space="preserve">Question 2 – Les arguments des deux économistes</w:t>
      </w:r>
    </w:p>
    <w:p>
      <w:pPr>
        <w:pStyle w:val="Heading2"/>
        <w:spacing w:after="100" w:before="200"/>
      </w:pPr>
      <w:r>
        <w:t xml:space="preserve">a) François Ecalle : pourquoi stabiliser la dette 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 risque de perte de confiance</w:t>
      </w:r>
      <w:r>
        <w:t xml:space="preserve"> : si la dette devient incontrôlée, les créanciers peuvent avoir peur et exiger des </w:t>
      </w:r>
      <w:r>
        <w:rPr>
          <w:b/>
          <w:bCs/>
        </w:rPr>
        <w:t xml:space="preserve">taux d’intérêt plus élevés</w:t>
      </w:r>
      <w:r>
        <w:t xml:space="preserve">. Cela peut déclencher un </w:t>
      </w:r>
      <w:r>
        <w:rPr>
          <w:b/>
          <w:bCs/>
        </w:rPr>
        <w:t xml:space="preserve">effet boule de neige</w:t>
      </w:r>
      <w:r>
        <w:t xml:space="preserve">, et ils pourraient même cesser de prêter.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 prêteur en dernier ressort a un prix</w:t>
      </w:r>
      <w:r>
        <w:t xml:space="preserve"> : le FMI impose des politiques d’</w:t>
      </w:r>
      <w:r>
        <w:rPr>
          <w:b/>
          <w:bCs/>
        </w:rPr>
        <w:t xml:space="preserve">austérité</w:t>
      </w:r>
      <w:r>
        <w:t xml:space="preserve"> très douloureuses. La BCE pourrait aussi exiger que la dette soit sous contrôle avant d’intervenir, ce qui entraîne une </w:t>
      </w:r>
      <w:r>
        <w:rPr>
          <w:b/>
          <w:bCs/>
        </w:rPr>
        <w:t xml:space="preserve">perte de souveraineté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 crédibilité ne se mesure pas</w:t>
      </w:r>
      <w:r>
        <w:t xml:space="preserve"> : comme un particulier face à son banquier, un État doit montrer que sa dette est </w:t>
      </w:r>
      <w:r>
        <w:rPr>
          <w:b/>
          <w:bCs/>
        </w:rPr>
        <w:t xml:space="preserve">sous contrôle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Plus la dette est élevée, plus le risque est grand</w:t>
      </w:r>
      <w:r>
        <w:t xml:space="preserve"> : si un jour r &gt; g, l’excédent primaire nécessaire sera énorme.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 France gère mal les cycles</w:t>
      </w:r>
      <w:r>
        <w:t xml:space="preserve"> : elle laisse filer le déficit en récession (ce qui est normal), mais ne le réduit pas quand la croissance revient. Elle est en </w:t>
      </w:r>
      <w:r>
        <w:rPr>
          <w:b/>
          <w:bCs/>
        </w:rPr>
        <w:t xml:space="preserve">déficit depuis 50 ans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Son image : « Quand on crie au loup et que le loup ne vient pas, cela ne veut pas dire qu’il n’est pas quelque part. 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Son objectif</w:t>
      </w:r>
      <w:r>
        <w:t xml:space="preserve"> : stabiliser la dette à son niveau actuel (environ 113 % du PIB), ce qui suppose un effort d’environ </w:t>
      </w:r>
      <w:r>
        <w:rPr>
          <w:b/>
          <w:bCs/>
        </w:rPr>
        <w:t xml:space="preserve">120 à 150 milliards d’euros</w:t>
      </w:r>
      <w:r>
        <w:t xml:space="preserve">, et donc de toucher aux </w:t>
      </w:r>
      <w:r>
        <w:rPr>
          <w:b/>
          <w:bCs/>
        </w:rPr>
        <w:t xml:space="preserve">dépenses sociales</w:t>
      </w:r>
      <w:r>
        <w:t xml:space="preserve"> (retraites, assurance maladie).</w:t>
      </w:r>
    </w:p>
    <w:p>
      <w:pPr>
        <w:pStyle w:val="Heading2"/>
        <w:spacing w:after="100" w:before="200"/>
      </w:pPr>
      <w:r>
        <w:t xml:space="preserve">b) François Geerolf : pourquoi la dette n’est-elle pas un problème majeur 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Pas de risque à court terme</w:t>
      </w:r>
      <w:r>
        <w:t xml:space="preserve">, malgré les mots « faillite » ou « Grèce 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 dette va se stabiliser naturellement</w:t>
      </w:r>
      <w:r>
        <w:t xml:space="preserve"> grâce à des taux d’intérêt réels bas (voir Q6).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Il faut relativiser le chiffre</w:t>
      </w:r>
      <w:r>
        <w:t xml:space="preserve"> : la dette représente environ </w:t>
      </w:r>
      <w:r>
        <w:rPr>
          <w:b/>
          <w:bCs/>
        </w:rPr>
        <w:t xml:space="preserve">1 an de PIB</w:t>
      </w:r>
      <w:r>
        <w:t xml:space="preserve">, alors que le </w:t>
      </w:r>
      <w:r>
        <w:rPr>
          <w:b/>
          <w:bCs/>
        </w:rPr>
        <w:t xml:space="preserve">patrimoine national</w:t>
      </w:r>
      <w:r>
        <w:t xml:space="preserve"> représente </w:t>
      </w:r>
      <w:r>
        <w:rPr>
          <w:b/>
          <w:bCs/>
        </w:rPr>
        <w:t xml:space="preserve">6,6 années de PIB</w:t>
      </w:r>
      <w:r>
        <w:t xml:space="preserve">. Les seuils « infranchissables » (60 %, 90 %, 100 %) ont été franchis sans drame.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 vraie question, c’est la dette extérieure</w:t>
      </w:r>
      <w:r>
        <w:t xml:space="preserve"> : celle de la France augmente de </w:t>
      </w:r>
      <w:r>
        <w:rPr>
          <w:b/>
          <w:bCs/>
        </w:rPr>
        <w:t xml:space="preserve">1 % du PIB par an</w:t>
      </w:r>
      <w:r>
        <w:t xml:space="preserve">, contre </w:t>
      </w:r>
      <w:r>
        <w:rPr>
          <w:b/>
          <w:bCs/>
        </w:rPr>
        <w:t xml:space="preserve">15 %</w:t>
      </w:r>
      <w:r>
        <w:t xml:space="preserve"> pour la Grèce à la fin des années 2000. L’</w:t>
      </w:r>
      <w:r>
        <w:rPr>
          <w:b/>
          <w:bCs/>
        </w:rPr>
        <w:t xml:space="preserve">épargne privée</w:t>
      </w:r>
      <w:r>
        <w:t xml:space="preserve"> française est très élevée.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 charge réelle de la dette est quasi nulle</w:t>
      </w:r>
      <w:r>
        <w:t xml:space="preserve"> : 50 Md€ d’intérêts sur 3 000 Md€, soit 1,7 %. Avec 2 % d’inflation, le coût réel est de </w:t>
      </w:r>
      <w:r>
        <w:rPr>
          <w:b/>
          <w:bCs/>
        </w:rPr>
        <w:t xml:space="preserve">−0,3 %</w:t>
      </w:r>
      <w:r>
        <w:t xml:space="preserve"> (voir Q5).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 BCE peut intervenir</w:t>
      </w:r>
      <w:r>
        <w:t xml:space="preserve"> si les marchés s’emballent, et les marchés ne sont pas sévères avec la France face aux États-Unis ou au Royaume-Uni.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L’austérité est contre-productive</w:t>
      </w:r>
      <w:r>
        <w:t xml:space="preserve"> : réduire les dépenses déprime la croissance, donc les recettes fiscales (exemple : les années 2010).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D’autres risques sont plus importants</w:t>
      </w:r>
      <w:r>
        <w:t xml:space="preserve"> : le climat et la géopolitique.</w:t>
      </w:r>
    </w:p>
    <w:p>
      <w:pPr>
        <w:pBdr>
          <w:left w:val="single" w:color="2E5C8A" w:sz="18" w:space="6"/>
        </w:pBdr>
        <w:shd w:fill="EAF1FB" w:color="auto" w:val="clear"/>
        <w:spacing w:after="120" w:before="120"/>
        <w:ind w:left="120"/>
      </w:pPr>
      <w:r>
        <w:rPr>
          <w:b/>
          <w:bCs/>
          <w:color w:val="2E5C8A"/>
        </w:rPr>
        <w:t xml:space="preserve">Notions de cours : </w:t>
      </w:r>
      <w:r>
        <w:t xml:space="preserve">soutenabilité de la dette, effet boule de neige, multiplicateur keynésien (l’austérité réduit la croissance), politique budgétaire contracyclique, stabilisateurs automatiques, déficit structurel et déficit conjoncturel.</w:t>
      </w:r>
    </w:p>
    <w:p>
      <w:pPr>
        <w:pBdr>
          <w:left w:val="single" w:color="3C7A3A" w:sz="18" w:space="6"/>
        </w:pBdr>
        <w:shd w:fill="EEF7EC" w:color="auto" w:val="clear"/>
        <w:spacing w:after="120" w:before="120"/>
        <w:ind w:left="120"/>
      </w:pPr>
      <w:r>
        <w:rPr>
          <w:b/>
          <w:bCs/>
          <w:color w:val="3C7A3A"/>
        </w:rPr>
        <w:t xml:space="preserve">À dire en TD : </w:t>
      </w:r>
      <w:r>
        <w:t xml:space="preserve">« Les deux économistes sont d’accord sur le </w:t>
      </w:r>
      <w:r>
        <w:rPr>
          <w:b/>
          <w:bCs/>
        </w:rPr>
        <w:t xml:space="preserve">court terme</w:t>
      </w:r>
      <w:r>
        <w:t xml:space="preserve"> : pas de danger immédiat. Ils divergent sur le </w:t>
      </w:r>
      <w:r>
        <w:rPr>
          <w:b/>
          <w:bCs/>
        </w:rPr>
        <w:t xml:space="preserve">moyen terme</w:t>
      </w:r>
      <w:r>
        <w:t xml:space="preserve"> : faut-il stabiliser la dette dès maintenant ou attendre qu’elle se stabilise naturellement ? »</w:t>
      </w:r>
    </w:p>
    <w:p>
      <w:pPr>
        <w:pStyle w:val="Heading1"/>
        <w:spacing w:after="160" w:before="360"/>
      </w:pPr>
      <w:r>
        <w:t xml:space="preserve">Question 3 – Le rôle de la BCE en cas de crise de la dette</w:t>
      </w:r>
    </w:p>
    <w:p>
      <w:pPr>
        <w:spacing w:after="120"/>
      </w:pPr>
      <w:r>
        <w:t xml:space="preserve">La BCE peut jouer le rôle de </w:t>
      </w:r>
      <w:r>
        <w:rPr>
          <w:b/>
          <w:bCs/>
        </w:rPr>
        <w:t xml:space="preserve">prêteur en dernier ressort</w:t>
      </w:r>
      <w:r>
        <w:t xml:space="preserve">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Elle peut </w:t>
      </w:r>
      <w:r>
        <w:rPr>
          <w:b/>
          <w:bCs/>
        </w:rPr>
        <w:t xml:space="preserve">racheter des titres de dette publique</w:t>
      </w:r>
      <w:r>
        <w:t xml:space="preserve"> sur les marchés. Cela fait </w:t>
      </w:r>
      <w:r>
        <w:rPr>
          <w:b/>
          <w:bCs/>
        </w:rPr>
        <w:t xml:space="preserve">monter leur prix</w:t>
      </w:r>
      <w:r>
        <w:t xml:space="preserve"> et </w:t>
      </w:r>
      <w:r>
        <w:rPr>
          <w:b/>
          <w:bCs/>
        </w:rPr>
        <w:t xml:space="preserve">baisser les taux d’intérêt</w:t>
      </w:r>
      <w:r>
        <w:t xml:space="preserve">, donc le coût de la dette.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simple fait d’</w:t>
      </w:r>
      <w:r>
        <w:rPr>
          <w:b/>
          <w:bCs/>
        </w:rPr>
        <w:t xml:space="preserve">annoncer</w:t>
      </w:r>
      <w:r>
        <w:t xml:space="preserve"> qu’elle interviendra peut </w:t>
      </w:r>
      <w:r>
        <w:rPr>
          <w:b/>
          <w:bCs/>
        </w:rPr>
        <w:t xml:space="preserve">calmer les marchés</w:t>
      </w:r>
      <w:r>
        <w:t xml:space="preserve">. Exemple : le « </w:t>
      </w:r>
      <w:r>
        <w:rPr>
          <w:b/>
          <w:bCs/>
        </w:rPr>
        <w:t xml:space="preserve">whatever it takes</w:t>
      </w:r>
      <w:r>
        <w:t xml:space="preserve"> » de Mario Draghi en 2012.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Elle dispose d’outils spécifiques : programmes de rachats (2015, pandémie en 2020) et, depuis 2022, un instrument pour limiter les écarts de taux entre pays (</w:t>
      </w:r>
      <w:r>
        <w:rPr>
          <w:b/>
          <w:bCs/>
        </w:rPr>
        <w:t xml:space="preserve">TPI</w:t>
      </w:r>
      <w:r>
        <w:t xml:space="preserve">).</w:t>
      </w:r>
    </w:p>
    <w:p>
      <w:pPr>
        <w:spacing w:after="120"/>
      </w:pPr>
      <w:r>
        <w:rPr>
          <w:b/>
          <w:bCs/>
        </w:rPr>
        <w:t xml:space="preserve">Mais son aide n’est pas automatique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Elle n’a </w:t>
      </w:r>
      <w:r>
        <w:rPr>
          <w:b/>
          <w:bCs/>
        </w:rPr>
        <w:t xml:space="preserve">pas le droit de financer directement les États</w:t>
      </w:r>
      <w:r>
        <w:t xml:space="preserve">. Elle ne peut acheter des titres que sur le </w:t>
      </w:r>
      <w:r>
        <w:rPr>
          <w:b/>
          <w:bCs/>
        </w:rPr>
        <w:t xml:space="preserve">marché secondaire</w:t>
      </w:r>
      <w:r>
        <w:t xml:space="preserve">, à d’autres investisseurs.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Elle pose des </w:t>
      </w:r>
      <w:r>
        <w:rPr>
          <w:b/>
          <w:bCs/>
        </w:rPr>
        <w:t xml:space="preserve">conditions</w:t>
      </w:r>
      <w:r>
        <w:t xml:space="preserve"> : respect des </w:t>
      </w:r>
      <w:r>
        <w:rPr>
          <w:b/>
          <w:bCs/>
        </w:rPr>
        <w:t xml:space="preserve">règles budgétaires</w:t>
      </w:r>
      <w:r>
        <w:t xml:space="preserve"> européennes. Selon le texte, elle pourrait laisser un pays « payer un peu » pour le discipliner.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Elle doit éviter l’</w:t>
      </w:r>
      <w:r>
        <w:rPr>
          <w:b/>
          <w:bCs/>
        </w:rPr>
        <w:t xml:space="preserve">aléa moral</w:t>
      </w:r>
      <w:r>
        <w:t xml:space="preserve"> : si les États sont sûrs d’être sauvés, ils sont moins incités à être prudents.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Elle doit d’abord respecter son mandat : la </w:t>
      </w:r>
      <w:r>
        <w:rPr>
          <w:b/>
          <w:bCs/>
        </w:rPr>
        <w:t xml:space="preserve">stabilité des prix</w:t>
      </w:r>
      <w:r>
        <w:t xml:space="preserve"> (inflation à 2 %).</w:t>
      </w:r>
    </w:p>
    <w:p>
      <w:pPr>
        <w:pBdr>
          <w:left w:val="single" w:color="2E5C8A" w:sz="18" w:space="6"/>
        </w:pBdr>
        <w:shd w:fill="EAF1FB" w:color="auto" w:val="clear"/>
        <w:spacing w:after="120" w:before="120"/>
        <w:ind w:left="120"/>
      </w:pPr>
      <w:r>
        <w:rPr>
          <w:b/>
          <w:bCs/>
          <w:color w:val="2E5C8A"/>
        </w:rPr>
        <w:t xml:space="preserve">Notions de cours : </w:t>
      </w:r>
      <w:r>
        <w:t xml:space="preserve">banque centrale, prêteur en dernier ressort, politique monétaire non conventionnelle (assouplissement quantitatif), indépendance de la banque centrale, aléa moral, marché primaire et marché secondaire.</w:t>
      </w:r>
    </w:p>
    <w:p>
      <w:pPr>
        <w:pBdr>
          <w:left w:val="single" w:color="3C7A3A" w:sz="18" w:space="6"/>
        </w:pBdr>
        <w:shd w:fill="EEF7EC" w:color="auto" w:val="clear"/>
        <w:spacing w:after="120" w:before="120"/>
        <w:ind w:left="120"/>
      </w:pPr>
      <w:r>
        <w:rPr>
          <w:b/>
          <w:bCs/>
          <w:color w:val="3C7A3A"/>
        </w:rPr>
        <w:t xml:space="preserve">À dire en TD : </w:t>
      </w:r>
      <w:r>
        <w:t xml:space="preserve">« La BCE est un </w:t>
      </w:r>
      <w:r>
        <w:rPr>
          <w:b/>
          <w:bCs/>
        </w:rPr>
        <w:t xml:space="preserve">filet de sécurité</w:t>
      </w:r>
      <w:r>
        <w:t xml:space="preserve">, mais un filet </w:t>
      </w:r>
      <w:r>
        <w:rPr>
          <w:b/>
          <w:bCs/>
        </w:rPr>
        <w:t xml:space="preserve">conditionnel</w:t>
      </w:r>
      <w:r>
        <w:t xml:space="preserve"> : elle n’aidera que si les fondamentaux du pays sont jugés bons. C’est l’argument d’Ecalle. »</w:t>
      </w:r>
    </w:p>
    <w:p>
      <w:pPr>
        <w:pStyle w:val="Heading1"/>
        <w:spacing w:after="160" w:before="360"/>
      </w:pPr>
      <w:r>
        <w:t xml:space="preserve">Question 4 – Dette publique et dette extérieure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19"/>
        <w:gridCol w:w="3919"/>
      </w:tblGrid>
      <w:tr>
        <w:trPr>
          <w:tblHeader/>
        </w:trPr>
        <w:tc>
          <w:tcPr>
            <w:tcW w:type="dxa" w:w="1800"/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919"/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Dette publique</w:t>
            </w:r>
          </w:p>
        </w:tc>
        <w:tc>
          <w:tcPr>
            <w:tcW w:type="dxa" w:w="3919"/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Dette extérieure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Qui doit ?</w:t>
            </w:r>
          </w:p>
        </w:tc>
        <w:tc>
          <w:tcPr>
            <w:tcW w:type="dxa" w:w="39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Les </w:t>
            </w:r>
            <w:r>
              <w:rPr>
                <w:b/>
                <w:bCs/>
              </w:rPr>
              <w:t xml:space="preserve">administrations publiques</w:t>
            </w:r>
            <w:r>
              <w:t xml:space="preserve"> uniquement.</w:t>
            </w:r>
          </w:p>
        </w:tc>
        <w:tc>
          <w:tcPr>
            <w:tcW w:type="dxa" w:w="39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Tous les agents</w:t>
            </w:r>
            <w:r>
              <w:t xml:space="preserve"> du pays : État, entreprises, ménages, banques.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À qui ?</w:t>
            </w:r>
          </w:p>
        </w:tc>
        <w:tc>
          <w:tcPr>
            <w:tcW w:type="dxa" w:w="39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À n’importe quel créancier, résident ou étranger.</w:t>
            </w:r>
          </w:p>
        </w:tc>
        <w:tc>
          <w:tcPr>
            <w:tcW w:type="dxa" w:w="39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Uniquement au </w:t>
            </w:r>
            <w:r>
              <w:rPr>
                <w:b/>
                <w:bCs/>
              </w:rPr>
              <w:t xml:space="preserve">reste du monde</w:t>
            </w:r>
            <w:r>
              <w:t xml:space="preserve"> (non-résidents).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Pourquoi cette distinction est-elle importante 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la dette publique est financée par l’</w:t>
      </w:r>
      <w:r>
        <w:rPr>
          <w:b/>
          <w:bCs/>
        </w:rPr>
        <w:t xml:space="preserve">épargne nationale</w:t>
      </w:r>
      <w:r>
        <w:t xml:space="preserve">, le pays « se doit de l’argent à lui-même ». Le risque de </w:t>
      </w:r>
      <w:r>
        <w:rPr>
          <w:b/>
          <w:bCs/>
        </w:rPr>
        <w:t xml:space="preserve">fuite brutale des créanciers</w:t>
      </w:r>
      <w:r>
        <w:t xml:space="preserve"> est bien plus faible. C’est le cas du </w:t>
      </w:r>
      <w:r>
        <w:rPr>
          <w:b/>
          <w:bCs/>
        </w:rPr>
        <w:t xml:space="preserve">Japon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un pays dépend de l’</w:t>
      </w:r>
      <w:r>
        <w:rPr>
          <w:b/>
          <w:bCs/>
        </w:rPr>
        <w:t xml:space="preserve">épargne étrangère</w:t>
      </w:r>
      <w:r>
        <w:t xml:space="preserve">, les créanciers étrangers peuvent retirer leurs capitaux brutalement, d’où un risque de crise.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Selon Geerolf, la crise de la zone euro (2010) était une crise de la dette extérieure.</w:t>
      </w:r>
      <w:r>
        <w:t xml:space="preserve"> La preuve : l’</w:t>
      </w:r>
      <w:r>
        <w:rPr>
          <w:b/>
          <w:bCs/>
        </w:rPr>
        <w:t xml:space="preserve">Espagne</w:t>
      </w:r>
      <w:r>
        <w:t xml:space="preserve"> et l’</w:t>
      </w:r>
      <w:r>
        <w:rPr>
          <w:b/>
          <w:bCs/>
        </w:rPr>
        <w:t xml:space="preserve">Irlande</w:t>
      </w:r>
      <w:r>
        <w:t xml:space="preserve"> avaient des finances publiques saines, mais un fort endettement extérieur (surtout privé). Elles ont pourtant été frappées.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France a une dette publique élevée, mais une </w:t>
      </w:r>
      <w:r>
        <w:rPr>
          <w:b/>
          <w:bCs/>
        </w:rPr>
        <w:t xml:space="preserve">épargne privée importante</w:t>
      </w:r>
      <w:r>
        <w:t xml:space="preserve"> et une dette extérieure qui augmente lentement (+1 % du PIB par an). Le risque est donc limité selon lui.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Nuance d’Ecalle : la dette extérieure n’est </w:t>
      </w:r>
      <w:r>
        <w:rPr>
          <w:b/>
          <w:bCs/>
        </w:rPr>
        <w:t xml:space="preserve">qu’un paramètre parmi d’autres</w:t>
      </w:r>
      <w:r>
        <w:t xml:space="preserve">. La </w:t>
      </w:r>
      <w:r>
        <w:rPr>
          <w:b/>
          <w:bCs/>
        </w:rPr>
        <w:t xml:space="preserve">crédibilité des gouvernants</w:t>
      </w:r>
      <w:r>
        <w:t xml:space="preserve"> compte aussi.</w:t>
      </w:r>
    </w:p>
    <w:p>
      <w:pPr>
        <w:pBdr>
          <w:left w:val="single" w:color="2E5C8A" w:sz="18" w:space="6"/>
        </w:pBdr>
        <w:shd w:fill="EAF1FB" w:color="auto" w:val="clear"/>
        <w:spacing w:after="120" w:before="120"/>
        <w:ind w:left="120"/>
      </w:pPr>
      <w:r>
        <w:rPr>
          <w:b/>
          <w:bCs/>
          <w:color w:val="2E5C8A"/>
        </w:rPr>
        <w:t xml:space="preserve">Notions de cours : </w:t>
      </w:r>
      <w:r>
        <w:t xml:space="preserve">balance courante, besoin et capacité de financement de la nation, identité épargne-investissement : (S − I) + (T − G) = X − M, épargne nationale.</w:t>
      </w:r>
    </w:p>
    <w:p>
      <w:pPr>
        <w:pBdr>
          <w:left w:val="single" w:color="3C7A3A" w:sz="18" w:space="6"/>
        </w:pBdr>
        <w:shd w:fill="EEF7EC" w:color="auto" w:val="clear"/>
        <w:spacing w:after="120" w:before="120"/>
        <w:ind w:left="120"/>
      </w:pPr>
      <w:r>
        <w:rPr>
          <w:b/>
          <w:bCs/>
          <w:color w:val="3C7A3A"/>
        </w:rPr>
        <w:t xml:space="preserve">À dire en TD : </w:t>
      </w:r>
      <w:r>
        <w:t xml:space="preserve">« Une dette publique élevée n’est pas dangereuse si elle est financée par l’épargne du pays. Le vrai signal d’alerte, c’est une </w:t>
      </w:r>
      <w:r>
        <w:rPr>
          <w:b/>
          <w:bCs/>
        </w:rPr>
        <w:t xml:space="preserve">dette extérieure</w:t>
      </w:r>
      <w:r>
        <w:t xml:space="preserve"> qui gonfle rapidement. »</w:t>
      </w:r>
    </w:p>
    <w:p>
      <w:pPr>
        <w:pStyle w:val="Heading1"/>
        <w:spacing w:after="160" w:before="360"/>
      </w:pPr>
      <w:r>
        <w:t xml:space="preserve">Question 5 – L’inflation et la charge réelle de la dette</w:t>
      </w:r>
    </w:p>
    <w:p>
      <w:pPr>
        <w:spacing w:after="120"/>
      </w:pPr>
      <w:r>
        <w:t xml:space="preserve">La dette est fixée en </w:t>
      </w:r>
      <w:r>
        <w:rPr>
          <w:b/>
          <w:bCs/>
        </w:rPr>
        <w:t xml:space="preserve">euros courants</w:t>
      </w:r>
      <w:r>
        <w:t xml:space="preserve"> (valeur nominale). L’inflation </w:t>
      </w:r>
      <w:r>
        <w:rPr>
          <w:b/>
          <w:bCs/>
        </w:rPr>
        <w:t xml:space="preserve">réduit sa valeur réelle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Le taux d’intérêt réel baisse</w:t>
      </w:r>
      <w:r>
        <w:t xml:space="preserve"> : taux réel ≈ taux nominal − inflation (</w:t>
      </w:r>
      <w:r>
        <w:rPr>
          <w:b/>
          <w:bCs/>
        </w:rPr>
        <w:t xml:space="preserve">relation de Fisher</w:t>
      </w:r>
      <w:r>
        <w:t xml:space="preserve">). Exemple du texte : 50 Md€ d’intérêts sur 3 000 Md€, soit un taux de 1,7 %. Avec 2 % d’inflation, le taux réel est de </w:t>
      </w:r>
      <w:r>
        <w:rPr>
          <w:b/>
          <w:bCs/>
        </w:rPr>
        <w:t xml:space="preserve">−0,3 %</w:t>
      </w:r>
      <w:r>
        <w:t xml:space="preserve"> : « s’endetter nous rapporte de l’argent ».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Le PIB nominal augmente</w:t>
      </w:r>
      <w:r>
        <w:t xml:space="preserve"> avec les prix. Le </w:t>
      </w:r>
      <w:r>
        <w:rPr>
          <w:b/>
          <w:bCs/>
        </w:rPr>
        <w:t xml:space="preserve">ratio dette/PIB baisse</w:t>
      </w:r>
      <w:r>
        <w:t xml:space="preserve"> donc mécaniquement.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La « taxe inflationniste »</w:t>
      </w:r>
      <w:r>
        <w:t xml:space="preserve"> : un impôt invisible qui transfère du pouvoir d’achat des </w:t>
      </w:r>
      <w:r>
        <w:rPr>
          <w:b/>
          <w:bCs/>
        </w:rPr>
        <w:t xml:space="preserve">créanciers</w:t>
      </w:r>
      <w:r>
        <w:t xml:space="preserve"> (détenteurs d’obligations, épargnants du Livret A) vers les </w:t>
      </w:r>
      <w:r>
        <w:rPr>
          <w:b/>
          <w:bCs/>
        </w:rPr>
        <w:t xml:space="preserve">débiteurs</w:t>
      </w:r>
      <w:r>
        <w:t xml:space="preserve"> (l’État). Exemple : un Livret A à 2,5 % avec 2 % d’inflation ne rapporte en réalité que 0,5 %.</w:t>
      </w:r>
    </w:p>
    <w:p>
      <w:pPr>
        <w:spacing w:after="120"/>
      </w:pPr>
      <w:r>
        <w:rPr>
          <w:b/>
          <w:bCs/>
        </w:rPr>
        <w:t xml:space="preserve">Les limites (arguments d’Ecalle et du texte)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</w:t>
      </w:r>
      <w:r>
        <w:rPr>
          <w:b/>
          <w:bCs/>
        </w:rPr>
        <w:t xml:space="preserve">BCE</w:t>
      </w:r>
      <w:r>
        <w:t xml:space="preserve"> a un objectif d’inflation de </w:t>
      </w:r>
      <w:r>
        <w:rPr>
          <w:b/>
          <w:bCs/>
        </w:rPr>
        <w:t xml:space="preserve">2 %</w:t>
      </w:r>
      <w:r>
        <w:t xml:space="preserve">. Si l’inflation monte, elle </w:t>
      </w:r>
      <w:r>
        <w:rPr>
          <w:b/>
          <w:bCs/>
        </w:rPr>
        <w:t xml:space="preserve">augmente ses taux</w:t>
      </w:r>
      <w:r>
        <w:t xml:space="preserve">, ce qui annule l’effet sur la dette.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L’inflation élevée crée d’autres problèmes : perte de pouvoir d’achat, incertitude.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C’est une </w:t>
      </w:r>
      <w:r>
        <w:rPr>
          <w:b/>
          <w:bCs/>
        </w:rPr>
        <w:t xml:space="preserve">spoliation des créanciers</w:t>
      </w:r>
      <w:r>
        <w:t xml:space="preserve">, une remise en cause du droit de propriété.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</w:t>
      </w:r>
      <w:r>
        <w:rPr>
          <w:b/>
          <w:bCs/>
        </w:rPr>
        <w:t xml:space="preserve">consensus européen</w:t>
      </w:r>
      <w:r>
        <w:t xml:space="preserve"> : l’Allemagne, marquée par l’</w:t>
      </w:r>
      <w:r>
        <w:rPr>
          <w:b/>
          <w:bCs/>
        </w:rPr>
        <w:t xml:space="preserve">hyperinflation de 1923</w:t>
      </w:r>
      <w:r>
        <w:t xml:space="preserve">, a exigé que la zone euro renonce à cette solution.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</w:t>
      </w:r>
      <w:r>
        <w:rPr>
          <w:b/>
          <w:bCs/>
        </w:rPr>
        <w:t xml:space="preserve">désinflation</w:t>
      </w:r>
      <w:r>
        <w:t xml:space="preserve"> qui suit rend plus difficile la réduction des déficits.</w:t>
      </w:r>
    </w:p>
    <w:p>
      <w:pPr>
        <w:pBdr>
          <w:left w:val="single" w:color="2E5C8A" w:sz="18" w:space="6"/>
        </w:pBdr>
        <w:shd w:fill="EAF1FB" w:color="auto" w:val="clear"/>
        <w:spacing w:after="120" w:before="120"/>
        <w:ind w:left="120"/>
      </w:pPr>
      <w:r>
        <w:rPr>
          <w:b/>
          <w:bCs/>
          <w:color w:val="2E5C8A"/>
        </w:rPr>
        <w:t xml:space="preserve">Notions de cours : </w:t>
      </w:r>
      <w:r>
        <w:t xml:space="preserve">valeur nominale et valeur réelle, taux d’intérêt réel, relation de Fisher, taxe inflationniste, mandat de la BCE, hyperinflation.</w:t>
      </w:r>
    </w:p>
    <w:p>
      <w:pPr>
        <w:pBdr>
          <w:left w:val="single" w:color="3C7A3A" w:sz="18" w:space="6"/>
        </w:pBdr>
        <w:shd w:fill="EEF7EC" w:color="auto" w:val="clear"/>
        <w:spacing w:after="120" w:before="120"/>
        <w:ind w:left="120"/>
      </w:pPr>
      <w:r>
        <w:rPr>
          <w:b/>
          <w:bCs/>
          <w:color w:val="3C7A3A"/>
        </w:rPr>
        <w:t xml:space="preserve">À dire en TD : </w:t>
      </w:r>
      <w:r>
        <w:t xml:space="preserve">« L’inflation allège la dette, mais c’est un </w:t>
      </w:r>
      <w:r>
        <w:rPr>
          <w:b/>
          <w:bCs/>
        </w:rPr>
        <w:t xml:space="preserve">impôt caché sur les épargnants</w:t>
      </w:r>
      <w:r>
        <w:t xml:space="preserve">, et la BCE l’empêche de monter trop haut. »</w:t>
      </w:r>
    </w:p>
    <w:p>
      <w:pPr>
        <w:pStyle w:val="Heading1"/>
        <w:spacing w:after="160" w:before="360"/>
      </w:pPr>
      <w:r>
        <w:t xml:space="preserve">Question 6 – La stabilisation de la dette</w:t>
      </w:r>
    </w:p>
    <w:p>
      <w:pPr>
        <w:pStyle w:val="Heading2"/>
        <w:spacing w:after="100" w:before="200"/>
      </w:pPr>
      <w:r>
        <w:t xml:space="preserve">a) Le lien entre dette, r, g et s</w:t>
      </w:r>
    </w:p>
    <w:p>
      <w:pPr>
        <w:spacing w:after="120"/>
      </w:pPr>
      <w:r>
        <w:t xml:space="preserve">Notons </w:t>
      </w:r>
      <w:r>
        <w:rPr>
          <w:b/>
          <w:bCs/>
        </w:rPr>
        <w:t xml:space="preserve">d</w:t>
      </w:r>
      <w:r>
        <w:t xml:space="preserve"> = dette / PIB, </w:t>
      </w:r>
      <w:r>
        <w:rPr>
          <w:b/>
          <w:bCs/>
        </w:rPr>
        <w:t xml:space="preserve">r</w:t>
      </w:r>
      <w:r>
        <w:t xml:space="preserve"> = taux d’intérêt, </w:t>
      </w:r>
      <w:r>
        <w:rPr>
          <w:b/>
          <w:bCs/>
        </w:rPr>
        <w:t xml:space="preserve">g</w:t>
      </w:r>
      <w:r>
        <w:t xml:space="preserve"> = taux de croissance du PIB et </w:t>
      </w:r>
      <w:r>
        <w:rPr>
          <w:b/>
          <w:bCs/>
        </w:rPr>
        <w:t xml:space="preserve">s</w:t>
      </w:r>
      <w:r>
        <w:t xml:space="preserve"> = solde primaire en % du PIB. L’évolution de la dette s’écrit :</w:t>
      </w:r>
    </w:p>
    <w:p>
      <w:pPr>
        <w:shd w:fill="F4F4F4" w:color="auto" w:val="clear"/>
        <w:spacing w:after="120" w:before="120"/>
        <w:jc w:val="center"/>
      </w:pPr>
      <w:r>
        <w:rPr>
          <w:b/>
          <w:bCs/>
          <w:sz w:val="26"/>
          <w:szCs w:val="26"/>
        </w:rPr>
        <w:t xml:space="preserve">Δd ≈ (r − g) × d − 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(r − g) × d</w:t>
      </w:r>
      <w:r>
        <w:t xml:space="preserve"> : c’est l’</w:t>
      </w:r>
      <w:r>
        <w:rPr>
          <w:b/>
          <w:bCs/>
        </w:rPr>
        <w:t xml:space="preserve">effet boule de neige</w:t>
      </w:r>
      <w:r>
        <w:t xml:space="preserve">. Si r &gt; g, la dette grossit toute seule, car les intérêts augmentent plus vite que la richesse.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− s</w:t>
      </w:r>
      <w:r>
        <w:t xml:space="preserve"> : un </w:t>
      </w:r>
      <w:r>
        <w:rPr>
          <w:b/>
          <w:bCs/>
        </w:rPr>
        <w:t xml:space="preserve">excédent primaire</w:t>
      </w:r>
      <w:r>
        <w:t xml:space="preserve"> fait baisser la dette, un </w:t>
      </w:r>
      <w:r>
        <w:rPr>
          <w:b/>
          <w:bCs/>
        </w:rPr>
        <w:t xml:space="preserve">déficit primaire</w:t>
      </w:r>
      <w:r>
        <w:t xml:space="preserve"> la fait monter.</w:t>
      </w:r>
    </w:p>
    <w:p>
      <w:pPr>
        <w:spacing w:after="120"/>
      </w:pPr>
      <w:r>
        <w:rPr>
          <w:b/>
          <w:bCs/>
        </w:rPr>
        <w:t xml:space="preserve">Pour stabiliser la dette</w:t>
      </w:r>
      <w:r>
        <w:t xml:space="preserve"> (Δd = 0), il faut :</w:t>
      </w:r>
    </w:p>
    <w:p>
      <w:pPr>
        <w:shd w:fill="F4F4F4" w:color="auto" w:val="clear"/>
        <w:spacing w:after="120" w:before="120"/>
        <w:jc w:val="center"/>
      </w:pPr>
      <w:r>
        <w:rPr>
          <w:b/>
          <w:bCs/>
          <w:sz w:val="26"/>
          <w:szCs w:val="26"/>
        </w:rPr>
        <w:t xml:space="preserve">s* = (r − g) × 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2"/>
      </w:tblGrid>
      <w:tr>
        <w:trPr>
          <w:tblHeader/>
        </w:trPr>
        <w:tc>
          <w:tcPr>
            <w:tcW w:type="dxa" w:w="3213"/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Situation</w:t>
            </w:r>
          </w:p>
        </w:tc>
        <w:tc>
          <w:tcPr>
            <w:tcW w:type="dxa" w:w="3213"/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Conséquence</w:t>
            </w:r>
          </w:p>
        </w:tc>
        <w:tc>
          <w:tcPr>
            <w:tcW w:type="dxa" w:w="3212"/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Exemple (d = 110 %)</w:t>
            </w:r>
          </w:p>
        </w:tc>
      </w:tr>
      <w:tr>
        <w:trPr>
          <w:tblHeader w:val="false"/>
        </w:trPr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 &gt; g</w:t>
            </w:r>
          </w:p>
        </w:tc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Il faut un </w:t>
            </w:r>
            <w:r>
              <w:rPr>
                <w:b/>
                <w:bCs/>
              </w:rPr>
              <w:t xml:space="preserve">excédent primaire</w:t>
            </w:r>
            <w:r>
              <w:t xml:space="preserve">, d’autant plus grand que la dette est élevée.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 r − g = 1 point, il faut un excédent de </w:t>
            </w:r>
            <w:r>
              <w:rPr>
                <w:b/>
                <w:bCs/>
              </w:rPr>
              <w:t xml:space="preserve">1,1 % du PIB</w:t>
            </w:r>
            <w:r>
              <w:t xml:space="preserve">.</w:t>
            </w:r>
          </w:p>
        </w:tc>
      </w:tr>
      <w:tr>
        <w:trPr>
          <w:tblHeader w:val="false"/>
        </w:trPr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 &lt; g</w:t>
            </w:r>
          </w:p>
        </w:tc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 dette se stabilise </w:t>
            </w:r>
            <w:r>
              <w:rPr>
                <w:b/>
                <w:bCs/>
              </w:rPr>
              <w:t xml:space="preserve">même avec un déficit primaire</w:t>
            </w:r>
            <w:r>
              <w:t xml:space="preserve">.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 g − r = 1 point, un déficit primaire de 1,1 % suffit à la stabiliser.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t xml:space="preserve">b) La « stabilisation naturelle » selon Geerolf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</w:t>
      </w:r>
      <w:r>
        <w:rPr>
          <w:b/>
          <w:bCs/>
        </w:rPr>
        <w:t xml:space="preserve">taux d’intérêt réels</w:t>
      </w:r>
      <w:r>
        <w:t xml:space="preserve"> reviennent à des niveaux bas, </w:t>
      </w:r>
      <w:r>
        <w:rPr>
          <w:b/>
          <w:bCs/>
        </w:rPr>
        <w:t xml:space="preserve">inférieurs au taux de croissance</w:t>
      </w:r>
      <w:r>
        <w:t xml:space="preserve"> (r &lt; 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Dans ce cas, l’effet boule de neige joue </w:t>
      </w:r>
      <w:r>
        <w:rPr>
          <w:b/>
          <w:bCs/>
        </w:rPr>
        <w:t xml:space="preserve">à l’envers</w:t>
      </w:r>
      <w:r>
        <w:t xml:space="preserve"> : la croissance « dilue » la dette.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Même avec un déficit primaire, la dette </w:t>
      </w:r>
      <w:r>
        <w:rPr>
          <w:b/>
          <w:bCs/>
        </w:rPr>
        <w:t xml:space="preserve">converge vers un niveau fini</w:t>
      </w:r>
      <w:r>
        <w:t xml:space="preserve"> : d* = déficit primaire ÷ (g − 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 niveau peut être élevé (150 % du PIB ou plus), mais ce n’est </w:t>
      </w:r>
      <w:r>
        <w:rPr>
          <w:b/>
          <w:bCs/>
        </w:rPr>
        <w:t xml:space="preserve">pas grave</w:t>
      </w:r>
      <w:r>
        <w:t xml:space="preserve"> selon lui. Inutile d’imposer un effort budgétaire douloureux.</w:t>
      </w:r>
    </w:p>
    <w:p>
      <w:pPr>
        <w:pStyle w:val="Heading2"/>
        <w:spacing w:after="100" w:before="200"/>
      </w:pPr>
      <w:r>
        <w:t xml:space="preserve">c) Pourquoi Ecalle juge ce raisonnement risqué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C’est un pari</w:t>
      </w:r>
      <w:r>
        <w:t xml:space="preserve"> que r &lt; g durera « jusqu’à la fin des temps ». Or les taux remontent depuis 2022.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 niveau d’arrivée peut être énorme</w:t>
      </w:r>
      <w:r>
        <w:t xml:space="preserve"> : avec un petit écart entre g et r, la dette pourrait converger vers </w:t>
      </w:r>
      <w:r>
        <w:rPr>
          <w:b/>
          <w:bCs/>
        </w:rPr>
        <w:t xml:space="preserve">500 % du PIB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 r redevient supérieur à g</w:t>
      </w:r>
      <w:r>
        <w:t xml:space="preserve">, l’excédent primaire nécessaire = (r − g) × d. Avec une dette de 500 %, il serait </w:t>
      </w:r>
      <w:r>
        <w:rPr>
          <w:b/>
          <w:bCs/>
        </w:rPr>
        <w:t xml:space="preserve">gigantesque</w:t>
      </w:r>
      <w:r>
        <w:t xml:space="preserve"> : 5 % du PIB pour un écart d’1 point.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 risque de prophétie autoréalisatrice</w:t>
      </w:r>
      <w:r>
        <w:t xml:space="preserve"> : si les marchés s’inquiètent, ils font monter les taux, r dépasse g, la dette s’emballe, et un </w:t>
      </w:r>
      <w:r>
        <w:rPr>
          <w:b/>
          <w:bCs/>
        </w:rPr>
        <w:t xml:space="preserve">cercle vicieux</w:t>
      </w:r>
      <w:r>
        <w:t xml:space="preserve"> s’enclenche (les « esprits animaux » de Keynes).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 BCE pourrait tarder</w:t>
      </w:r>
      <w:r>
        <w:t xml:space="preserve"> à intervenir si elle juge les « fondamentaux » mauvais.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 conclusion : plus le niveau de dette auquel on se stabilise est élevé, </w:t>
      </w:r>
      <w:r>
        <w:rPr>
          <w:b/>
          <w:bCs/>
        </w:rPr>
        <w:t xml:space="preserve">plus il est difficile de gérer une crise</w:t>
      </w:r>
      <w:r>
        <w:t xml:space="preserve">.</w:t>
      </w:r>
    </w:p>
    <w:p>
      <w:pPr>
        <w:pBdr>
          <w:left w:val="single" w:color="2E5C8A" w:sz="18" w:space="6"/>
        </w:pBdr>
        <w:shd w:fill="EAF1FB" w:color="auto" w:val="clear"/>
        <w:spacing w:after="120" w:before="120"/>
        <w:ind w:left="120"/>
      </w:pPr>
      <w:r>
        <w:rPr>
          <w:b/>
          <w:bCs/>
          <w:color w:val="2E5C8A"/>
        </w:rPr>
        <w:t xml:space="preserve">Notions de cours : </w:t>
      </w:r>
      <w:r>
        <w:t xml:space="preserve">contrainte budgétaire intertemporelle, soutenabilité, effet boule de neige, écart r − g, prophétie autoréalisatrice, esprits animaux (Keynes).</w:t>
      </w:r>
    </w:p>
    <w:p>
      <w:pPr>
        <w:pBdr>
          <w:left w:val="single" w:color="3C7A3A" w:sz="18" w:space="6"/>
        </w:pBdr>
        <w:shd w:fill="EEF7EC" w:color="auto" w:val="clear"/>
        <w:spacing w:after="120" w:before="120"/>
        <w:ind w:left="120"/>
      </w:pPr>
      <w:r>
        <w:rPr>
          <w:b/>
          <w:bCs/>
          <w:color w:val="3C7A3A"/>
        </w:rPr>
        <w:t xml:space="preserve">À dire en TD : </w:t>
      </w:r>
      <w:r>
        <w:t xml:space="preserve">« Tout le débat tient dans l’écart </w:t>
      </w:r>
      <w:r>
        <w:rPr>
          <w:b/>
          <w:bCs/>
        </w:rPr>
        <w:t xml:space="preserve">r − g</w:t>
      </w:r>
      <w:r>
        <w:t xml:space="preserve">. Si r &lt; g, Geerolf a raison. Mais si les taux remontent, plus la dette est élevée, plus l’ajustement sera violent : c’est l’argument d’Ecalle. »</w:t>
      </w:r>
    </w:p>
    <w:p>
      <w:pPr>
        <w:spacing w:after="120"/>
      </w:pPr>
    </w:p>
    <w:p>
      <w:pPr>
        <w:pStyle w:val="Heading2"/>
        <w:spacing w:after="100" w:before="200"/>
      </w:pPr>
      <w:r>
        <w:t xml:space="preserve">Pour conclure le TD</w:t>
      </w:r>
    </w:p>
    <w:p>
      <w:pPr>
        <w:spacing w:after="120"/>
      </w:pPr>
      <w:r>
        <w:t xml:space="preserve">Les deux économistes sont d’accord : </w:t>
      </w:r>
      <w:r>
        <w:rPr>
          <w:b/>
          <w:bCs/>
        </w:rPr>
        <w:t xml:space="preserve">pas de crise à court terme</w:t>
      </w:r>
      <w:r>
        <w:t xml:space="preserve">. Ils s’opposent sur le </w:t>
      </w:r>
      <w:r>
        <w:rPr>
          <w:b/>
          <w:bCs/>
        </w:rPr>
        <w:t xml:space="preserve">moyen terme</w:t>
      </w:r>
      <w:r>
        <w:t xml:space="preserve">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Ecalle</w:t>
      </w:r>
      <w:r>
        <w:t xml:space="preserve"> raisonne en termes de </w:t>
      </w:r>
      <w:r>
        <w:rPr>
          <w:b/>
          <w:bCs/>
        </w:rPr>
        <w:t xml:space="preserve">risque</w:t>
      </w:r>
      <w:r>
        <w:t xml:space="preserve"> : il faut se protéger d’un retournement (« consolider les murs de la cabane »).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Geerolf</w:t>
      </w:r>
      <w:r>
        <w:t xml:space="preserve"> raisonne en termes de </w:t>
      </w:r>
      <w:r>
        <w:rPr>
          <w:b/>
          <w:bCs/>
        </w:rPr>
        <w:t xml:space="preserve">coût</w:t>
      </w:r>
      <w:r>
        <w:t xml:space="preserve"> : l’austérité freine la croissance et serait inutile si r &lt; g.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  <w:lvl w:ilvl="1" w15:tentative="1">
      <w:start w:val="1"/>
      <w:numFmt w:val="bullet"/>
      <w:lvlText w:val="–"/>
      <w:lvlJc w:val="left"/>
      <w:pPr>
        <w:ind w:left="10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2E5C8A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444444"/>
      <w:sz w:val="24"/>
      <w:szCs w:val="24"/>
    </w:rPr>
  </w:style>
  <w:style w:type="paragraph" w:styleId="Title">
    <w:name w:val="Title"/>
    <w:basedOn w:val="Normal"/>
    <w:next w:val="Normal"/>
    <w:rPr>
      <w:b/>
      <w:bCs/>
      <w:color w:val="1F3B57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2026-10-16T09:16:03.691Z</dcterms:created>
  <dcterms:modified xsi:type="dcterms:W3CDTF">2026-10-16T09:16:03.699Z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