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TD 6 – La lutte contre le réchauffement climatique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Fiche de préparation – Macroéconomie</w:t>
      </w:r>
    </w:p>
    <w:p>
      <w:pPr>
        <w:spacing w:after="120"/>
      </w:pPr>
      <w:r>
        <w:t xml:space="preserve">Pour chaque question : la réponse simplifiée, les </w:t>
      </w:r>
      <w:r>
        <w:rPr>
          <w:b/>
          <w:bCs/>
        </w:rPr>
        <w:t xml:space="preserve">notions de cours</w:t>
      </w:r>
      <w:r>
        <w:t xml:space="preserve"> à relier et une </w:t>
      </w:r>
      <w:r>
        <w:rPr>
          <w:b/>
          <w:bCs/>
        </w:rPr>
        <w:t xml:space="preserve">phrase pour participer</w:t>
      </w:r>
      <w:r>
        <w:t xml:space="preserve"> en TD.</w:t>
      </w:r>
    </w:p>
    <w:p>
      <w:pPr>
        <w:pStyle w:val="Heading1"/>
        <w:spacing w:after="160" w:before="360"/>
      </w:pPr>
      <w:r>
        <w:t xml:space="preserve">Question 1 – Les trois instruments principaux</w:t>
      </w:r>
    </w:p>
    <w:p>
      <w:pPr>
        <w:spacing w:after="120"/>
      </w:pPr>
      <w:r>
        <w:t xml:space="preserve">Le problème de départ est une </w:t>
      </w:r>
      <w:r>
        <w:rPr>
          <w:b/>
          <w:bCs/>
        </w:rPr>
        <w:t xml:space="preserve">externalité négative</w:t>
      </w:r>
      <w:r>
        <w:t xml:space="preserve"> : celui qui pollue ne paie pas le coût qu’il fait subir aux autres. Le marché seul produit donc </w:t>
      </w:r>
      <w:r>
        <w:rPr>
          <w:b/>
          <w:bCs/>
        </w:rPr>
        <w:t xml:space="preserve">trop</w:t>
      </w:r>
      <w:r>
        <w:t xml:space="preserve"> de pollution. C’est une </w:t>
      </w:r>
      <w:r>
        <w:rPr>
          <w:b/>
          <w:bCs/>
        </w:rPr>
        <w:t xml:space="preserve">défaillance de marché</w:t>
      </w:r>
      <w:r>
        <w:t xml:space="preserve">, qui justifie l’intervention de l’État.</w:t>
      </w:r>
    </w:p>
    <w:p>
      <w:pPr>
        <w:spacing w:after="120"/>
      </w:pPr>
      <w:r>
        <w:t xml:space="preserve">Il dispose de trois instruments (doc. 1)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00"/>
        <w:gridCol w:w="2750"/>
        <w:gridCol w:w="2638"/>
      </w:tblGrid>
      <w:tr>
        <w:trPr>
          <w:tblHeader/>
        </w:trPr>
        <w:tc>
          <w:tcPr>
            <w:tcW w:type="dxa" w:w="1950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Instrument</w:t>
            </w:r>
          </w:p>
        </w:tc>
        <w:tc>
          <w:tcPr>
            <w:tcW w:type="dxa" w:w="2300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Principe</w:t>
            </w:r>
          </w:p>
        </w:tc>
        <w:tc>
          <w:tcPr>
            <w:tcW w:type="dxa" w:w="2750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Avantage</w:t>
            </w:r>
          </w:p>
        </w:tc>
        <w:tc>
          <w:tcPr>
            <w:tcW w:type="dxa" w:w="2638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Limite</w:t>
            </w:r>
          </w:p>
        </w:tc>
      </w:tr>
      <w:tr>
        <w:trPr>
          <w:tblHeader w:val="false"/>
        </w:trPr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1. La norme</w:t>
            </w:r>
            <w:r>
              <w:t xml:space="preserve"> (réglementation)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L’État fixe une limite d’émission ou interdit un produit.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Efficace écologiquement si elle est bien utilisée (ex. : protocole de Montréal sur la couche d’ozone).</w:t>
            </w:r>
          </w:p>
        </w:tc>
        <w:tc>
          <w:tcPr>
            <w:tcW w:type="dxa" w:w="2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Coûteuse : l’État connaît mal les coûts de chaque entreprise. Pas incitative : personne ne fait mieux que la norme. Difficile à calibrer (trop stricte ou trop laxiste).</w:t>
            </w:r>
          </w:p>
        </w:tc>
      </w:tr>
      <w:tr>
        <w:trPr>
          <w:tblHeader w:val="false"/>
        </w:trPr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2. La taxe</w:t>
            </w:r>
            <w:r>
              <w:t xml:space="preserve"> (Pigou, 1920)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 donne un </w:t>
            </w:r>
            <w:r>
              <w:rPr>
                <w:b/>
                <w:bCs/>
              </w:rPr>
              <w:t xml:space="preserve">prix</w:t>
            </w:r>
            <w:r>
              <w:t xml:space="preserve"> à la pollution.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Chaque pollueur réduit ses émissions jusqu’à ce que son </w:t>
            </w:r>
            <w:r>
              <w:rPr>
                <w:b/>
                <w:bCs/>
              </w:rPr>
              <w:t xml:space="preserve">coût marginal de dépollution = taxe</w:t>
            </w:r>
            <w:r>
              <w:t xml:space="preserve">. On dépollue au moindre coût.</w:t>
            </w:r>
          </w:p>
        </w:tc>
        <w:tc>
          <w:tcPr>
            <w:tcW w:type="dxa" w:w="2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L’État fixe le prix, mais </w:t>
            </w:r>
            <w:r>
              <w:rPr>
                <w:b/>
                <w:bCs/>
              </w:rPr>
              <w:t xml:space="preserve">ne sait pas exactement quelle quantité</w:t>
            </w:r>
            <w:r>
              <w:t xml:space="preserve"> de pollution il obtiendra.</w:t>
            </w:r>
          </w:p>
        </w:tc>
      </w:tr>
      <w:tr>
        <w:trPr>
          <w:tblHeader w:val="false"/>
        </w:trPr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3. Le marché de quotas</w:t>
            </w:r>
            <w:r>
              <w:t xml:space="preserve"> (Coase, 1960)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 fixe un </w:t>
            </w:r>
            <w:r>
              <w:rPr>
                <w:b/>
                <w:bCs/>
              </w:rPr>
              <w:t xml:space="preserve">plafond</w:t>
            </w:r>
            <w:r>
              <w:t xml:space="preserve"> total d’émissions et on distribue des droits à polluer </w:t>
            </w:r>
            <w:r>
              <w:rPr>
                <w:b/>
                <w:bCs/>
              </w:rPr>
              <w:t xml:space="preserve">échangeables</w:t>
            </w:r>
            <w:r>
              <w:t xml:space="preserve">.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 </w:t>
            </w:r>
            <w:r>
              <w:rPr>
                <w:b/>
                <w:bCs/>
              </w:rPr>
              <w:t xml:space="preserve">prix émerge du marché</w:t>
            </w:r>
            <w:r>
              <w:t xml:space="preserve">. Ceux qui dépolluent à bas coût réduisent leurs émissions et revendent leurs quotas. </w:t>
            </w:r>
            <w:r>
              <w:rPr>
                <w:b/>
                <w:bCs/>
              </w:rPr>
              <w:t xml:space="preserve">Efficacité environnementale</w:t>
            </w:r>
            <w:r>
              <w:t xml:space="preserve"> (quantité fixée) et </w:t>
            </w:r>
            <w:r>
              <w:rPr>
                <w:b/>
                <w:bCs/>
              </w:rPr>
              <w:t xml:space="preserve">économique</w:t>
            </w:r>
            <w:r>
              <w:t xml:space="preserve"> (moindre coût).</w:t>
            </w:r>
          </w:p>
        </w:tc>
        <w:tc>
          <w:tcPr>
            <w:tcW w:type="dxa" w:w="2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 prix peut être instable ou trop bas (voir Q4).</w:t>
            </w:r>
          </w:p>
        </w:tc>
      </w:tr>
    </w:tbl>
    <w:p>
      <w:pPr>
        <w:pBdr>
          <w:left w:val="single" w:color="2E5C8A" w:sz="18" w:space="6"/>
        </w:pBdr>
        <w:shd w:fill="EAF1FB" w:color="auto" w:val="clear"/>
        <w:spacing w:after="120" w:before="120"/>
        <w:ind w:left="120"/>
      </w:pPr>
      <w:r>
        <w:rPr>
          <w:b/>
          <w:bCs/>
          <w:color w:val="2E5C8A"/>
        </w:rPr>
        <w:t xml:space="preserve">Notions de cours : </w:t>
      </w:r>
      <w:r>
        <w:t xml:space="preserve">externalité négative, défaillance de marché, internaliser l’externalité, principe pollueur-payeur, coût marginal de dépollution, Pigou, Coase et les droits de propriété, bien commun (l’air, le climat).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« La taxe régule </w:t>
      </w:r>
      <w:r>
        <w:rPr>
          <w:b/>
          <w:bCs/>
        </w:rPr>
        <w:t xml:space="preserve">par les prix</w:t>
      </w:r>
      <w:r>
        <w:t xml:space="preserve">, le marché de quotas régule </w:t>
      </w:r>
      <w:r>
        <w:rPr>
          <w:b/>
          <w:bCs/>
        </w:rPr>
        <w:t xml:space="preserve">par les quantités</w:t>
      </w:r>
      <w:r>
        <w:t xml:space="preserve">. Mais dans les deux cas, on internalise l’externalité en donnant un prix au carbone. »</w:t>
      </w:r>
    </w:p>
    <w:p>
      <w:pPr>
        <w:pStyle w:val="Heading1"/>
        <w:spacing w:after="160" w:before="360"/>
      </w:pPr>
      <w:r>
        <w:t xml:space="preserve">Question 2 – À quel instrument rattacher le SEQE ?</w:t>
      </w:r>
    </w:p>
    <w:p>
      <w:pPr>
        <w:spacing w:after="120"/>
      </w:pPr>
      <w:r>
        <w:t xml:space="preserve">Le SEQE (système communautaire d’échange de quotas d’émission) est un </w:t>
      </w:r>
      <w:r>
        <w:rPr>
          <w:b/>
          <w:bCs/>
        </w:rPr>
        <w:t xml:space="preserve">marché de permis d’émission échangeables</w:t>
      </w:r>
      <w:r>
        <w:t xml:space="preserve"> : c’est le </w:t>
      </w:r>
      <w:r>
        <w:rPr>
          <w:b/>
          <w:bCs/>
        </w:rPr>
        <w:t xml:space="preserve">3ᵉ instrument</w:t>
      </w:r>
      <w:r>
        <w:t xml:space="preserve">, inspiré de </w:t>
      </w:r>
      <w:r>
        <w:rPr>
          <w:b/>
          <w:bCs/>
        </w:rPr>
        <w:t xml:space="preserve">Coase</w:t>
      </w:r>
      <w:r>
        <w:t xml:space="preserve">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Le SEQE combine en réalité deux logiques : un </w:t>
      </w:r>
      <w:r>
        <w:rPr>
          <w:b/>
          <w:bCs/>
        </w:rPr>
        <w:t xml:space="preserve">plafond</w:t>
      </w:r>
      <w:r>
        <w:t xml:space="preserve">, comme une norme, et un </w:t>
      </w:r>
      <w:r>
        <w:rPr>
          <w:b/>
          <w:bCs/>
        </w:rPr>
        <w:t xml:space="preserve">prix de marché</w:t>
      </w:r>
      <w:r>
        <w:t xml:space="preserve">, comme un instrument économique. Le doc. 1 le dit : « le marché de permis fixe, comme la norme, un plafond global ».</w:t>
      </w:r>
    </w:p>
    <w:p>
      <w:pPr>
        <w:pStyle w:val="Heading1"/>
        <w:spacing w:after="160" w:before="360"/>
      </w:pPr>
      <w:r>
        <w:t xml:space="preserve">Question 3 – Présenter le SEQE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Création</w:t>
      </w:r>
      <w:r>
        <w:t xml:space="preserve"> : en </w:t>
      </w:r>
      <w:r>
        <w:rPr>
          <w:b/>
          <w:bCs/>
        </w:rPr>
        <w:t xml:space="preserve">2005</w:t>
      </w:r>
      <w:r>
        <w:t xml:space="preserve">. C’est le grand marché carbone de l’UE.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Principe</w:t>
      </w:r>
      <w:r>
        <w:t xml:space="preserve">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L’UE fixe un </w:t>
      </w:r>
      <w:r>
        <w:rPr>
          <w:b/>
          <w:bCs/>
        </w:rPr>
        <w:t xml:space="preserve">plafond</w:t>
      </w:r>
      <w:r>
        <w:t xml:space="preserve"> d’émissions de CO₂ pour les secteurs couverts.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Elle distribue des </w:t>
      </w:r>
      <w:r>
        <w:rPr>
          <w:b/>
          <w:bCs/>
        </w:rPr>
        <w:t xml:space="preserve">quotas</w:t>
      </w:r>
      <w:r>
        <w:t xml:space="preserve"> (1 quota = le droit d’émettre 1 tonne de CO₂), </w:t>
      </w:r>
      <w:r>
        <w:rPr>
          <w:b/>
          <w:bCs/>
        </w:rPr>
        <w:t xml:space="preserve">gratuitement</w:t>
      </w:r>
      <w:r>
        <w:t xml:space="preserve"> ou </w:t>
      </w:r>
      <w:r>
        <w:rPr>
          <w:b/>
          <w:bCs/>
        </w:rPr>
        <w:t xml:space="preserve">aux enchères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Chaque année, une entreprise doit rendre autant de quotas qu’elle a émis de tonnes.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elle émet moins, elle </w:t>
      </w:r>
      <w:r>
        <w:rPr>
          <w:b/>
          <w:bCs/>
        </w:rPr>
        <w:t xml:space="preserve">revend</w:t>
      </w:r>
      <w:r>
        <w:t xml:space="preserve"> ses quotas en trop. Si elle émet plus, elle doit en </w:t>
      </w:r>
      <w:r>
        <w:rPr>
          <w:b/>
          <w:bCs/>
        </w:rPr>
        <w:t xml:space="preserve">acheter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 est concerné ?</w:t>
      </w:r>
      <w:r>
        <w:t xml:space="preserve"> La production d’électricité, la grosse industrie (acier, ciment…) et l’aviation intra-UE, soit </w:t>
      </w:r>
      <w:r>
        <w:rPr>
          <w:b/>
          <w:bCs/>
        </w:rPr>
        <w:t xml:space="preserve">environ 40 % des émissions de l’UE</w:t>
      </w:r>
      <w:r>
        <w:t xml:space="preserve"> seulement.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Les phases</w:t>
      </w:r>
      <w:r>
        <w:t xml:space="preserve"> : le plafond baisse de </w:t>
      </w:r>
      <w:r>
        <w:rPr>
          <w:b/>
          <w:bCs/>
        </w:rPr>
        <w:t xml:space="preserve">1,74 % par an</w:t>
      </w:r>
      <w:r>
        <w:t xml:space="preserve"> en phase 3 (2013-2020), puis de </w:t>
      </w:r>
      <w:r>
        <w:rPr>
          <w:b/>
          <w:bCs/>
        </w:rPr>
        <w:t xml:space="preserve">2,2 % par an</w:t>
      </w:r>
      <w:r>
        <w:t xml:space="preserve"> en phase 4 (2021-2030).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réserve de stabilité (MSR, 2019)</w:t>
      </w:r>
      <w:r>
        <w:t xml:space="preserve"> : elle </w:t>
      </w:r>
      <w:r>
        <w:rPr>
          <w:b/>
          <w:bCs/>
        </w:rPr>
        <w:t xml:space="preserve">retire des quotas</w:t>
      </w:r>
      <w:r>
        <w:t xml:space="preserve"> du marché quand il y en a trop et en remet quand il en manque, pour soutenir le prix.</w:t>
      </w:r>
    </w:p>
    <w:p>
      <w:pPr>
        <w:pBdr>
          <w:left w:val="single" w:color="2E5C8A" w:sz="18" w:space="6"/>
        </w:pBdr>
        <w:shd w:fill="EAF1FB" w:color="auto" w:val="clear"/>
        <w:spacing w:after="120" w:before="120"/>
        <w:ind w:left="120"/>
      </w:pPr>
      <w:r>
        <w:rPr>
          <w:b/>
          <w:bCs/>
          <w:color w:val="2E5C8A"/>
        </w:rPr>
        <w:t xml:space="preserve">Notions de cours : </w:t>
      </w:r>
      <w:r>
        <w:t xml:space="preserve">marché, offre et demande (l’offre de quotas est fixée par l’UE), formation du prix, enchères.</w:t>
      </w:r>
    </w:p>
    <w:p>
      <w:pPr>
        <w:pStyle w:val="Heading1"/>
        <w:spacing w:after="160" w:before="360"/>
      </w:pPr>
      <w:r>
        <w:t xml:space="preserve">Question 4 – Le SEQE a-t-il été efficace ?</w:t>
      </w:r>
    </w:p>
    <w:p>
      <w:pPr>
        <w:spacing w:after="120"/>
      </w:pPr>
      <w:r>
        <w:rPr>
          <w:b/>
          <w:bCs/>
        </w:rPr>
        <w:t xml:space="preserve">Réponse attendue : pendant longtemps, non. Il devient plus efficace depuis les réformes récentes.</w:t>
      </w:r>
    </w:p>
    <w:p>
      <w:pPr>
        <w:pStyle w:val="Heading2"/>
        <w:spacing w:after="100" w:before="200"/>
      </w:pPr>
      <w:r>
        <w:t xml:space="preserve">Les échecs (jusqu’à environ 2018)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Trop de quotas distribués</w:t>
      </w:r>
      <w:r>
        <w:t xml:space="preserve"> dès le départ, beaucoup </w:t>
      </w:r>
      <w:r>
        <w:rPr>
          <w:b/>
          <w:bCs/>
        </w:rPr>
        <w:t xml:space="preserve">gratuitement</w:t>
      </w:r>
      <w:r>
        <w:t xml:space="preserve">. En 2018, le surplus équivalait à </w:t>
      </w:r>
      <w:r>
        <w:rPr>
          <w:b/>
          <w:bCs/>
        </w:rPr>
        <w:t xml:space="preserve">un an d’émissions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crise de 2008</w:t>
      </w:r>
      <w:r>
        <w:t xml:space="preserve"> a fait chuter la production, donc la demande de quotas, alors que l’offre restait la même : </w:t>
      </w:r>
      <w:r>
        <w:rPr>
          <w:b/>
          <w:bCs/>
        </w:rPr>
        <w:t xml:space="preserve">le prix s’est effondré</w:t>
      </w:r>
      <w:r>
        <w:t xml:space="preserve">, sous 10 € la tonne entre 2012 et 2017 (graphique 3), alors que la cible était de </w:t>
      </w:r>
      <w:r>
        <w:rPr>
          <w:b/>
          <w:bCs/>
        </w:rPr>
        <w:t xml:space="preserve">30 €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Avec un prix aussi bas, </w:t>
      </w:r>
      <w:r>
        <w:rPr>
          <w:b/>
          <w:bCs/>
        </w:rPr>
        <w:t xml:space="preserve">aucune incitation</w:t>
      </w:r>
      <w:r>
        <w:t xml:space="preserve"> à investir dans les technologies propres.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Champ limité</w:t>
      </w:r>
      <w:r>
        <w:t xml:space="preserve"> : seulement 40 % des émissions couvertes.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Prix du carbone très inégaux</w:t>
      </w:r>
      <w:r>
        <w:t xml:space="preserve"> selon les pays : 0,08 € en Pologne contre 122 € en Suède.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L’UE a réduit ses émissions de </w:t>
      </w:r>
      <w:r>
        <w:rPr>
          <w:b/>
          <w:bCs/>
        </w:rPr>
        <w:t xml:space="preserve">24 % entre 1990 et 2019</w:t>
      </w:r>
      <w:r>
        <w:t xml:space="preserve">, mais selon la Cour des comptes européenne, le SEQE </w:t>
      </w:r>
      <w:r>
        <w:rPr>
          <w:b/>
          <w:bCs/>
        </w:rPr>
        <w:t xml:space="preserve">n’en est pas la cause principale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Fuites de carbone</w:t>
      </w:r>
      <w:r>
        <w:t xml:space="preserve"> d’environ </w:t>
      </w:r>
      <w:r>
        <w:rPr>
          <w:b/>
          <w:bCs/>
        </w:rPr>
        <w:t xml:space="preserve">20 %</w:t>
      </w:r>
      <w:r>
        <w:t xml:space="preserve"> en phase 3 : pour 10 tonnes évitées dans l’UE, 2 tonnes de plus sont émises ailleurs.</w:t>
      </w:r>
    </w:p>
    <w:p>
      <w:pPr>
        <w:pStyle w:val="Heading2"/>
        <w:spacing w:after="100" w:before="200"/>
      </w:pPr>
      <w:r>
        <w:t xml:space="preserve">Les progrès récents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MSR, la baisse plus rapide du plafond et la réduction des quotas gratuits ont fait </w:t>
      </w:r>
      <w:r>
        <w:rPr>
          <w:b/>
          <w:bCs/>
        </w:rPr>
        <w:t xml:space="preserve">remonter le prix</w:t>
      </w:r>
      <w:r>
        <w:t xml:space="preserve"> : environ </w:t>
      </w:r>
      <w:r>
        <w:rPr>
          <w:b/>
          <w:bCs/>
        </w:rPr>
        <w:t xml:space="preserve">44 € en 2021</w:t>
      </w:r>
      <w:r>
        <w:t xml:space="preserve">, avec une cible de 44 à 60 € en 2030.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« Le problème du SEQE, c’est un </w:t>
      </w:r>
      <w:r>
        <w:rPr>
          <w:b/>
          <w:bCs/>
        </w:rPr>
        <w:t xml:space="preserve">excès d’offre</w:t>
      </w:r>
      <w:r>
        <w:t xml:space="preserve"> de quotas. Un quota trop abondant ne vaut presque rien, donc il n’incite pas à dépolluer. »</w:t>
      </w:r>
    </w:p>
    <w:p>
      <w:pPr>
        <w:pStyle w:val="Heading1"/>
        <w:spacing w:after="160" w:before="360"/>
      </w:pPr>
      <w:r>
        <w:t xml:space="preserve">Question 5 – À quoi sert un MACF ?</w:t>
      </w:r>
    </w:p>
    <w:p>
      <w:pPr>
        <w:spacing w:after="120"/>
      </w:pPr>
      <w:r>
        <w:t xml:space="preserve">Le MACF (mécanisme d’ajustement carbone aux frontières) est une </w:t>
      </w:r>
      <w:r>
        <w:rPr>
          <w:b/>
          <w:bCs/>
        </w:rPr>
        <w:t xml:space="preserve">taxe carbone sur certaines importations</w:t>
      </w:r>
      <w:r>
        <w:t xml:space="preserve"> : l’importateur doit acheter des certificats correspondant au CO₂ contenu dans le produit importé. Il répond à trois problèmes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Les fuites de carbone</w:t>
      </w:r>
      <w:r>
        <w:t xml:space="preserve"> 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Fuites directes</w:t>
      </w:r>
      <w:r>
        <w:t xml:space="preserve"> : les entreprises </w:t>
      </w:r>
      <w:r>
        <w:rPr>
          <w:b/>
          <w:bCs/>
        </w:rPr>
        <w:t xml:space="preserve">délocalisent</w:t>
      </w:r>
      <w:r>
        <w:t xml:space="preserve"> vers des pays moins exigeants. La pollution n’est pas réduite, elle est </w:t>
      </w:r>
      <w:r>
        <w:rPr>
          <w:b/>
          <w:bCs/>
        </w:rPr>
        <w:t xml:space="preserve">déplacée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Fuites indirectes</w:t>
      </w:r>
      <w:r>
        <w:t xml:space="preserve"> : l’Europe consomme moins d’énergies fossiles, donc leur </w:t>
      </w:r>
      <w:r>
        <w:rPr>
          <w:b/>
          <w:bCs/>
        </w:rPr>
        <w:t xml:space="preserve">prix mondial baisse</w:t>
      </w:r>
      <w:r>
        <w:t xml:space="preserve">, donc les autres pays en consomment davantage.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L’empreinte carbone</w:t>
      </w:r>
      <w:r>
        <w:t xml:space="preserve"> : il faut compter les émissions </w:t>
      </w:r>
      <w:r>
        <w:rPr>
          <w:b/>
          <w:bCs/>
        </w:rPr>
        <w:t xml:space="preserve">importées</w:t>
      </w:r>
      <w:r>
        <w:t xml:space="preserve">, pas seulement celles produites sur le territoire.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En France, l’empreinte carbone a augmenté de </w:t>
      </w:r>
      <w:r>
        <w:rPr>
          <w:b/>
          <w:bCs/>
        </w:rPr>
        <w:t xml:space="preserve">20 %</w:t>
      </w:r>
      <w:r>
        <w:t xml:space="preserve"> entre 1995 et 2018, alors que les émissions intérieures ont baissé de 28 %.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Dans l’UE (1990-2016), les émissions ont baissé de 22 % selon l’approche </w:t>
      </w:r>
      <w:r>
        <w:rPr>
          <w:b/>
          <w:bCs/>
        </w:rPr>
        <w:t xml:space="preserve">territoire</w:t>
      </w:r>
      <w:r>
        <w:t xml:space="preserve">, mais de seulement </w:t>
      </w:r>
      <w:r>
        <w:rPr>
          <w:b/>
          <w:bCs/>
        </w:rPr>
        <w:t xml:space="preserve">17 %</w:t>
      </w:r>
      <w:r>
        <w:t xml:space="preserve"> selon l’approche </w:t>
      </w:r>
      <w:r>
        <w:rPr>
          <w:b/>
          <w:bCs/>
        </w:rPr>
        <w:t xml:space="preserve">empreinte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L’égalité de concurrence</w:t>
      </w:r>
      <w:r>
        <w:t xml:space="preserve"> : les producteurs européens paient le carbone, pas leurs concurrents étrangers. Le MACF rétablit l’équilibre et permet de </w:t>
      </w:r>
      <w:r>
        <w:rPr>
          <w:b/>
          <w:bCs/>
        </w:rPr>
        <w:t xml:space="preserve">supprimer les quotas gratuits</w:t>
      </w:r>
      <w:r>
        <w:t xml:space="preserve"> qui protégeaient jusqu’ici l’industrie européenne.</w:t>
      </w:r>
    </w:p>
    <w:p>
      <w:pPr>
        <w:pBdr>
          <w:left w:val="single" w:color="2E5C8A" w:sz="18" w:space="6"/>
        </w:pBdr>
        <w:shd w:fill="EAF1FB" w:color="auto" w:val="clear"/>
        <w:spacing w:after="120" w:before="120"/>
        <w:ind w:left="120"/>
      </w:pPr>
      <w:r>
        <w:rPr>
          <w:b/>
          <w:bCs/>
          <w:color w:val="2E5C8A"/>
        </w:rPr>
        <w:t xml:space="preserve">Notions de cours : </w:t>
      </w:r>
      <w:r>
        <w:t xml:space="preserve">passager clandestin (free rider), bien public mondial, compétitivité-prix, approche territoire contre approche empreinte, protectionnisme.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« Sans MACF, l’Europe risque de </w:t>
      </w:r>
      <w:r>
        <w:rPr>
          <w:b/>
          <w:bCs/>
        </w:rPr>
        <w:t xml:space="preserve">délocaliser sa pollution</w:t>
      </w:r>
      <w:r>
        <w:t xml:space="preserve"> au lieu de la réduire. »</w:t>
      </w:r>
    </w:p>
    <w:p>
      <w:pPr>
        <w:pStyle w:val="Heading1"/>
        <w:spacing w:after="160" w:before="360"/>
      </w:pPr>
      <w:r>
        <w:t xml:space="preserve">Question 6 – Le MACF limite-t-il les fuites de carbone ?</w:t>
      </w:r>
    </w:p>
    <w:p>
      <w:pPr>
        <w:spacing w:after="120"/>
      </w:pPr>
      <w:r>
        <w:rPr>
          <w:b/>
          <w:bCs/>
        </w:rPr>
        <w:t xml:space="preserve">Réponse : oui, d’après l’OCDE (doc. 3), avec quelques réserves.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319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Sans MACF</w:t>
            </w:r>
          </w:p>
        </w:tc>
        <w:tc>
          <w:tcPr>
            <w:tcW w:type="dxa" w:w="3319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Avec MACF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Fuites</w:t>
            </w:r>
          </w:p>
        </w:tc>
        <w:tc>
          <w:tcPr>
            <w:tcW w:type="dxa" w:w="33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Pour 1 tonne évitée dans l’UE, </w:t>
            </w:r>
            <w:r>
              <w:rPr>
                <w:b/>
                <w:bCs/>
              </w:rPr>
              <w:t xml:space="preserve">0,19 tonne</w:t>
            </w:r>
            <w:r>
              <w:t xml:space="preserve"> est émise à l’étranger.</w:t>
            </w:r>
          </w:p>
        </w:tc>
        <w:tc>
          <w:tcPr>
            <w:tcW w:type="dxa" w:w="33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Les fuites baissent et la tendance </w:t>
            </w:r>
            <w:r>
              <w:rPr>
                <w:b/>
                <w:bCs/>
              </w:rPr>
              <w:t xml:space="preserve">s’inverse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Baisse des émissions mondiales</w:t>
            </w:r>
          </w:p>
        </w:tc>
        <w:tc>
          <w:tcPr>
            <w:tcW w:type="dxa" w:w="33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−0,39 %</w:t>
            </w:r>
          </w:p>
        </w:tc>
        <w:tc>
          <w:tcPr>
            <w:tcW w:type="dxa" w:w="33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−0,54 %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Pourquoi ça marche ?</w:t>
      </w:r>
      <w:r>
        <w:t xml:space="preserve"> Les importateurs européens se tournent vers des </w:t>
      </w:r>
      <w:r>
        <w:rPr>
          <w:b/>
          <w:bCs/>
        </w:rPr>
        <w:t xml:space="preserve">fournisseurs moins polluants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Les nuances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MACF ne couvre que </w:t>
      </w:r>
      <w:r>
        <w:rPr>
          <w:b/>
          <w:bCs/>
        </w:rPr>
        <w:t xml:space="preserve">303 produits</w:t>
      </w:r>
      <w:r>
        <w:t xml:space="preserve"> (acier, ciment, engrais, aluminium, électricité, hydrogène), soit environ </w:t>
      </w:r>
      <w:r>
        <w:rPr>
          <w:b/>
          <w:bCs/>
        </w:rPr>
        <w:t xml:space="preserve">3 % des importations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L’élargir à </w:t>
      </w:r>
      <w:r>
        <w:rPr>
          <w:b/>
          <w:bCs/>
        </w:rPr>
        <w:t xml:space="preserve">1 400 produits</w:t>
      </w:r>
      <w:r>
        <w:t xml:space="preserve"> n’apporterait presque rien (</w:t>
      </w:r>
      <w:r>
        <w:rPr>
          <w:b/>
          <w:bCs/>
        </w:rPr>
        <w:t xml:space="preserve">−0,02 %</w:t>
      </w:r>
      <w:r>
        <w:t xml:space="preserve">) : le périmètre actuel vise déjà les bons secteurs.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effets restent </w:t>
      </w:r>
      <w:r>
        <w:rPr>
          <w:b/>
          <w:bCs/>
        </w:rPr>
        <w:t xml:space="preserve">modestes en valeur absolue</w:t>
      </w:r>
      <w:r>
        <w:t xml:space="preserve">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« Le MACF est efficace parce qu’il est </w:t>
      </w:r>
      <w:r>
        <w:rPr>
          <w:b/>
          <w:bCs/>
        </w:rPr>
        <w:t xml:space="preserve">ciblé</w:t>
      </w:r>
      <w:r>
        <w:t xml:space="preserve"> sur les secteurs les plus exposés aux fuites. »</w:t>
      </w:r>
    </w:p>
    <w:p>
      <w:pPr>
        <w:pStyle w:val="Heading1"/>
        <w:spacing w:after="160" w:before="360"/>
      </w:pPr>
      <w:r>
        <w:t xml:space="preserve">Question 7 – Effets sur les partenaires commerciaux et limites</w:t>
      </w:r>
    </w:p>
    <w:p>
      <w:pPr>
        <w:pStyle w:val="Heading2"/>
        <w:spacing w:after="100" w:before="200"/>
      </w:pPr>
      <w:r>
        <w:t xml:space="preserve">Les effets (doc.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Dans l’ensemble</w:t>
      </w:r>
      <w:r>
        <w:t xml:space="preserve"> : effet </w:t>
      </w:r>
      <w:r>
        <w:rPr>
          <w:b/>
          <w:bCs/>
        </w:rPr>
        <w:t xml:space="preserve">neutre ou légèrement positif</w:t>
      </w:r>
      <w:r>
        <w:t xml:space="preserve"> (entre 0 et +0,5 %).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Les pays à production propre gagnent</w:t>
      </w:r>
      <w:r>
        <w:t xml:space="preserve"> (Chili, Mexique, Turquie) : les acheteurs européens se tournent vers eux.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Les pays à production polluante perdent</w:t>
      </w:r>
      <w:r>
        <w:t xml:space="preserve"> (Afrique du Sud, Inde) : leurs exportations baissent d’environ </w:t>
      </w:r>
      <w:r>
        <w:rPr>
          <w:b/>
          <w:bCs/>
        </w:rPr>
        <w:t xml:space="preserve">0,20 %</w:t>
      </w:r>
      <w:r>
        <w:t xml:space="preserve">.</w:t>
      </w:r>
    </w:p>
    <w:p>
      <w:pPr>
        <w:pStyle w:val="Heading2"/>
        <w:spacing w:after="100" w:before="200"/>
      </w:pPr>
      <w:r>
        <w:t xml:space="preserve">Les limites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Mesurer le carbone importé</w:t>
      </w:r>
      <w:r>
        <w:t xml:space="preserve"> : il est difficile de calculer et de </w:t>
      </w:r>
      <w:r>
        <w:rPr>
          <w:b/>
          <w:bCs/>
        </w:rPr>
        <w:t xml:space="preserve">vérifier</w:t>
      </w:r>
      <w:r>
        <w:t xml:space="preserve"> les émissions contenues dans un produit importé.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Le contournement</w:t>
      </w:r>
      <w:r>
        <w:t xml:space="preserve"> (la « créativité ») : un pays peut envoyer vers l’UE ses produits les plus propres et garder les plus polluants pour lui-même ou d’autres marchés. Les émissions mondiales ne baissent pas vraiment.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Un champ étroit</w:t>
      </w:r>
      <w:r>
        <w:t xml:space="preserve"> : seulement 3 % des importations sont concernées.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Une accusation de protectionnisme</w:t>
      </w:r>
      <w:r>
        <w:t xml:space="preserve"> (hors documents) : certains pays en développement, comme l’Inde, y voient une barrière commerciale déguisée, ce qui pose la question de la compatibilité avec les règles de l’</w:t>
      </w:r>
      <w:r>
        <w:rPr>
          <w:b/>
          <w:bCs/>
        </w:rPr>
        <w:t xml:space="preserve">OMC</w:t>
      </w:r>
      <w:r>
        <w:t xml:space="preserve">.</w:t>
      </w:r>
    </w:p>
    <w:p>
      <w:pPr>
        <w:pStyle w:val="Heading2"/>
        <w:spacing w:after="100" w:before="200"/>
      </w:pPr>
      <w:r>
        <w:t xml:space="preserve">Un effet positif à long terme</w:t>
      </w:r>
    </w:p>
    <w:p>
      <w:pPr>
        <w:spacing w:after="120"/>
      </w:pPr>
      <w:r>
        <w:t xml:space="preserve">Le MACF </w:t>
      </w:r>
      <w:r>
        <w:rPr>
          <w:b/>
          <w:bCs/>
        </w:rPr>
        <w:t xml:space="preserve">pousse les autres pays à créer leur propre prix du carbone</w:t>
      </w:r>
      <w:r>
        <w:t xml:space="preserve"> : ils préfèrent percevoir eux-mêmes ces recettes plutôt que de les laisser à l’UE. Le Royaume-Uni, le Canada et l’Australie étudient déjà des mécanismes similaires.</w:t>
      </w:r>
    </w:p>
    <w:p>
      <w:pPr>
        <w:pBdr>
          <w:left w:val="single" w:color="2E5C8A" w:sz="18" w:space="6"/>
        </w:pBdr>
        <w:shd w:fill="EAF1FB" w:color="auto" w:val="clear"/>
        <w:spacing w:after="120" w:before="120"/>
        <w:ind w:left="120"/>
      </w:pPr>
      <w:r>
        <w:rPr>
          <w:b/>
          <w:bCs/>
          <w:color w:val="2E5C8A"/>
        </w:rPr>
        <w:t xml:space="preserve">Notions de cours : </w:t>
      </w:r>
      <w:r>
        <w:t xml:space="preserve">avantage comparatif, spécialisation, OMC et libre-échange, coopération internationale (le climat est un bien public mondial).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« Le MACF a aussi un </w:t>
      </w:r>
      <w:r>
        <w:rPr>
          <w:b/>
          <w:bCs/>
        </w:rPr>
        <w:t xml:space="preserve">effet d’entraînement</w:t>
      </w:r>
      <w:r>
        <w:t xml:space="preserve"> : il incite les pays partenaires à se doter eux-mêmes d’un prix du carbone. »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Remarque</w:t>
      </w:r>
      <w:r>
        <w:t xml:space="preserve"> : dans le document 2, la partie 1.3 est barrée sur le polycopié. Elle n’est sans doute pas attendue.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444444"/>
      <w:sz w:val="24"/>
      <w:szCs w:val="24"/>
    </w:rPr>
  </w:style>
  <w:style w:type="paragraph" w:styleId="Title">
    <w:name w:val="Title"/>
    <w:basedOn w:val="Normal"/>
    <w:next w:val="Normal"/>
    <w:rPr>
      <w:b/>
      <w:bCs/>
      <w:color w:val="1F3B57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2026-10-16T08:02:30.243Z</dcterms:created>
  <dcterms:modified xsi:type="dcterms:W3CDTF">2026-10-16T08:02:30.243Z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