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D720E4" w14:textId="77777777" w:rsidR="00073238" w:rsidRDefault="00073238">
      <w:pPr>
        <w:pStyle w:val="Titre"/>
      </w:pPr>
      <w:r>
        <w:t>Macroéconomie</w:t>
      </w:r>
    </w:p>
    <w:tbl>
      <w:tblPr>
        <w:tblW w:w="9072" w:type="dxa"/>
        <w:tblBorders>
          <w:top w:val="single" w:sz="12" w:space="0" w:color="C55A11"/>
          <w:left w:val="single" w:sz="12" w:space="0" w:color="C55A11"/>
          <w:bottom w:val="single" w:sz="12" w:space="0" w:color="C55A11"/>
          <w:right w:val="single" w:sz="12" w:space="0" w:color="C55A11"/>
        </w:tblBorders>
        <w:tblLayout w:type="fixed"/>
        <w:tblCellMar>
          <w:top w:w="120" w:type="dxa"/>
          <w:left w:w="180" w:type="dxa"/>
          <w:bottom w:w="80" w:type="dxa"/>
          <w:right w:w="180" w:type="dxa"/>
        </w:tblCellMar>
        <w:tblLook w:val="04A0" w:firstRow="1" w:lastRow="0" w:firstColumn="1" w:lastColumn="0" w:noHBand="0" w:noVBand="1"/>
      </w:tblPr>
      <w:tblGrid>
        <w:gridCol w:w="9072"/>
      </w:tblGrid>
      <w:tr w:rsidR="00F270FB" w14:paraId="6DE454FF" w14:textId="77777777">
        <w:tc>
          <w:tcPr>
            <w:tcW w:w="9072" w:type="dxa"/>
            <w:shd w:val="clear" w:color="auto" w:fill="FBE4D5"/>
          </w:tcPr>
          <w:p w14:paraId="6F15790E" w14:textId="77777777" w:rsidR="00F270FB" w:rsidRDefault="00000000">
            <w:pPr>
              <w:spacing w:before="40" w:after="40"/>
            </w:pPr>
            <w:r>
              <w:rPr>
                <w:b/>
                <w:color w:val="833C0B"/>
                <w:sz w:val="26"/>
                <w:szCs w:val="26"/>
              </w:rPr>
              <w:t>📌 Infos examen – Semi (annoncées en CM le 16/10)</w:t>
            </w:r>
          </w:p>
          <w:p w14:paraId="25D21110" w14:textId="77777777" w:rsidR="00F270FB" w:rsidRDefault="00000000">
            <w:pPr>
              <w:spacing w:before="40" w:after="40"/>
            </w:pPr>
            <w:r>
              <w:rPr>
                <w:b/>
              </w:rPr>
              <w:t>Format :</w:t>
            </w:r>
            <w:r>
              <w:t xml:space="preserve"> 25 questions en 25 minutes (l'an dernier : 20 questions en 20 minutes). Même type de questions, même difficulté, même esprit que l'an dernier.</w:t>
            </w:r>
          </w:p>
          <w:p w14:paraId="06E559C6" w14:textId="77777777" w:rsidR="00F270FB" w:rsidRDefault="00000000">
            <w:pPr>
              <w:spacing w:before="40" w:after="40"/>
            </w:pPr>
            <w:r>
              <w:rPr>
                <w:b/>
              </w:rPr>
              <w:t>CM à réviser (CM 1 à 6) :</w:t>
            </w:r>
          </w:p>
          <w:p w14:paraId="27B1B4EF" w14:textId="77777777" w:rsidR="00F270FB" w:rsidRDefault="00000000">
            <w:pPr>
              <w:numPr>
                <w:ilvl w:val="0"/>
                <w:numId w:val="24"/>
              </w:numPr>
              <w:spacing w:before="40" w:after="40"/>
            </w:pPr>
            <w:r>
              <w:t xml:space="preserve">Introduction générale, chapitre 1 et chapitre 2 : </w:t>
            </w:r>
            <w:r>
              <w:rPr>
                <w:b/>
              </w:rPr>
              <w:t>en entier</w:t>
            </w:r>
            <w:r>
              <w:t>.</w:t>
            </w:r>
          </w:p>
          <w:p w14:paraId="6776EA8C" w14:textId="77777777" w:rsidR="00F270FB" w:rsidRDefault="00000000">
            <w:pPr>
              <w:numPr>
                <w:ilvl w:val="0"/>
                <w:numId w:val="24"/>
              </w:numPr>
              <w:spacing w:before="40" w:after="40"/>
            </w:pPr>
            <w:r>
              <w:t xml:space="preserve">Chapitre 3 : seulement les </w:t>
            </w:r>
            <w:r>
              <w:rPr>
                <w:b/>
              </w:rPr>
              <w:t>diapos 1 à 9</w:t>
            </w:r>
            <w:r>
              <w:t>, c'est-à-dire le I 1°) L'intégration monétaire européenne et le I 2°) Fonctionnement du SEBC (a) organisation et clés de répartition, b) instances de décision).</w:t>
            </w:r>
          </w:p>
          <w:p w14:paraId="5810DFC3" w14:textId="77777777" w:rsidR="00F270FB" w:rsidRDefault="00000000">
            <w:pPr>
              <w:numPr>
                <w:ilvl w:val="0"/>
                <w:numId w:val="24"/>
              </w:numPr>
              <w:spacing w:before="40" w:after="40"/>
            </w:pPr>
            <w:r>
              <w:t xml:space="preserve">À partir du I 3°) (indépendance des banques centrales) : </w:t>
            </w:r>
            <w:r>
              <w:rPr>
                <w:b/>
              </w:rPr>
              <w:t>pas pour le semi</w:t>
            </w:r>
            <w:r>
              <w:t>, ce sera pour le final.</w:t>
            </w:r>
          </w:p>
          <w:p w14:paraId="1A65330E" w14:textId="77777777" w:rsidR="00F270FB" w:rsidRDefault="00000000">
            <w:pPr>
              <w:spacing w:before="40" w:after="40"/>
            </w:pPr>
            <w:r>
              <w:rPr>
                <w:b/>
              </w:rPr>
              <w:t>TD à réviser (TD 1 à 4) :</w:t>
            </w:r>
          </w:p>
          <w:p w14:paraId="37645330" w14:textId="77777777" w:rsidR="00F270FB" w:rsidRDefault="00000000">
            <w:pPr>
              <w:numPr>
                <w:ilvl w:val="0"/>
                <w:numId w:val="24"/>
              </w:numPr>
              <w:spacing w:before="40" w:after="40"/>
            </w:pPr>
            <w:r>
              <w:t>TD 1 : les politiques économiques face aux enjeux actuels</w:t>
            </w:r>
          </w:p>
          <w:p w14:paraId="1ED82DA2" w14:textId="77777777" w:rsidR="00F270FB" w:rsidRDefault="00000000">
            <w:pPr>
              <w:numPr>
                <w:ilvl w:val="0"/>
                <w:numId w:val="24"/>
              </w:numPr>
              <w:spacing w:before="40" w:after="40"/>
            </w:pPr>
            <w:r>
              <w:t>TD 2 : exercices sur les effets multiplicateurs</w:t>
            </w:r>
          </w:p>
          <w:p w14:paraId="665B677B" w14:textId="77777777" w:rsidR="00F270FB" w:rsidRDefault="00000000">
            <w:pPr>
              <w:numPr>
                <w:ilvl w:val="0"/>
                <w:numId w:val="24"/>
              </w:numPr>
              <w:spacing w:before="40" w:after="40"/>
            </w:pPr>
            <w:r>
              <w:t>TD 3 : l'émission de dette publique</w:t>
            </w:r>
          </w:p>
          <w:p w14:paraId="5B9DCC66" w14:textId="77777777" w:rsidR="00F270FB" w:rsidRDefault="00000000">
            <w:pPr>
              <w:numPr>
                <w:ilvl w:val="0"/>
                <w:numId w:val="24"/>
              </w:numPr>
              <w:spacing w:before="40" w:after="40"/>
            </w:pPr>
            <w:r>
              <w:t>TD 4 : la mesure de la dette publique et sa soutenabilité</w:t>
            </w:r>
          </w:p>
          <w:p w14:paraId="4FB7426A" w14:textId="77777777" w:rsidR="00F270FB" w:rsidRDefault="00000000">
            <w:pPr>
              <w:numPr>
                <w:ilvl w:val="0"/>
                <w:numId w:val="24"/>
              </w:numPr>
              <w:spacing w:before="40" w:after="40"/>
            </w:pPr>
            <w:r>
              <w:t xml:space="preserve">Le TD 5 n'est </w:t>
            </w:r>
            <w:r>
              <w:rPr>
                <w:b/>
              </w:rPr>
              <w:t>pas</w:t>
            </w:r>
            <w:r>
              <w:t xml:space="preserve"> au programme du semi.</w:t>
            </w:r>
          </w:p>
          <w:p w14:paraId="447BC2C9" w14:textId="77777777" w:rsidR="00F270FB" w:rsidRDefault="00000000">
            <w:pPr>
              <w:spacing w:before="40" w:after="40"/>
            </w:pPr>
            <w:r>
              <w:rPr>
                <w:b/>
              </w:rPr>
              <w:t>Sur Moodle, onglet « Pour réviser » :</w:t>
            </w:r>
            <w:r>
              <w:t xml:space="preserve"> le semi de l'an dernier (une ou deux questions peuvent porter sur des TD qui ont changé depuis, c'est normal) et un fichier de liens pour refaire chez soi les questions Wooclap des CM et TD 1 à 6.</w:t>
            </w:r>
          </w:p>
          <w:p w14:paraId="5AEC7089" w14:textId="77777777" w:rsidR="00F270FB" w:rsidRDefault="00000000">
            <w:pPr>
              <w:spacing w:before="40" w:after="40"/>
            </w:pPr>
            <w:r>
              <w:rPr>
                <w:b/>
              </w:rPr>
              <w:t>Tutorat :</w:t>
            </w:r>
            <w:r>
              <w:t xml:space="preserve"> une séance facultative sera proposée (sondage Wooclap pour la date). Venir avec ses questions ; s'il y en a peu, on refera ensemble le semi de l'an dernier.</w:t>
            </w:r>
          </w:p>
          <w:p w14:paraId="3BA6179A" w14:textId="77777777" w:rsidR="00F270FB" w:rsidRDefault="00000000">
            <w:pPr>
              <w:spacing w:before="40" w:after="40"/>
            </w:pPr>
            <w:r>
              <w:rPr>
                <w:b/>
              </w:rPr>
              <w:t>Rappel (question posée en cours) :</w:t>
            </w:r>
            <w:r>
              <w:t xml:space="preserve"> solde public = recettes publiques − dépenses publiques, sur une année. Quand il est négatif, on parle de déficit public.</w:t>
            </w:r>
          </w:p>
        </w:tc>
      </w:tr>
    </w:tbl>
    <w:p w14:paraId="6B9DA39C" w14:textId="77777777" w:rsidR="00F270FB" w:rsidRDefault="00000000">
      <w:r>
        <w:br w:type="page"/>
      </w:r>
    </w:p>
    <w:p w14:paraId="199A83F2" w14:textId="77777777" w:rsidR="00F270FB" w:rsidRDefault="00000000">
      <w:r>
        <w:rPr>
          <w:b/>
          <w:color w:val="1F3864"/>
          <w:sz w:val="32"/>
          <w:szCs w:val="32"/>
        </w:rPr>
        <w:lastRenderedPageBreak/>
        <w:t>Sommaire</w:t>
      </w:r>
    </w:p>
    <w:p w14:paraId="5C56BBCB" w14:textId="105B389D" w:rsidR="004956C7" w:rsidRDefault="00000000">
      <w:pPr>
        <w:pStyle w:val="TM1"/>
        <w:tabs>
          <w:tab w:val="right" w:leader="dot" w:pos="9062"/>
        </w:tabs>
        <w:rPr>
          <w:rFonts w:eastAsiaTheme="minorEastAsia"/>
          <w:b w:val="0"/>
          <w:noProof/>
          <w:color w:val="auto"/>
          <w:lang w:eastAsia="fr-FR"/>
        </w:rPr>
      </w:pPr>
      <w:r>
        <w:fldChar w:fldCharType="begin"/>
        <w:instrText xml:space="preserve"> TOC \o "1-3" \h \z \u </w:instrText>
        <w:fldChar w:fldCharType="separate"/>
      </w:r>
      <w:hyperlink w:anchor="_Toc243123123" w:history="1">
        <w:r>
          <w:rPr>
            <w:rStyle w:val="Lienhypertexte"/>
            <w:noProof/>
          </w:rPr>
          <w:t>Introduction générale</w:t>
        </w:r>
        <w:r>
          <w:rPr>
            <w:noProof/>
            <w:webHidden/>
          </w:rPr>
          <w:tab/>
          <w:fldChar w:fldCharType="begin"/>
          <w:instrText xml:space="preserve"> PAGEREF _Toc243123123 \h </w:instrText>
          <w:fldChar w:fldCharType="separate"/>
          <w:t>4</w:t>
          <w:fldChar w:fldCharType="end"/>
        </w:r>
      </w:hyperlink>
    </w:p>
    <w:p w14:paraId="066F368A" w14:textId="52775F42" w:rsidR="004956C7" w:rsidRDefault="004956C7">
      <w:pPr>
        <w:pStyle w:val="TM1"/>
        <w:tabs>
          <w:tab w:val="right" w:leader="dot" w:pos="9062"/>
        </w:tabs>
        <w:rPr>
          <w:rFonts w:eastAsiaTheme="minorEastAsia"/>
          <w:b w:val="0"/>
          <w:noProof/>
          <w:color w:val="auto"/>
          <w:lang w:eastAsia="fr-FR"/>
        </w:rPr>
      </w:pPr>
      <w:hyperlink w:anchor="_Toc243123124" w:history="1">
        <w:r>
          <w:rPr>
            <w:rStyle w:val="Lienhypertexte"/>
            <w:noProof/>
          </w:rPr>
          <w:t>Chapitre 1 : Fonctionnement et limites de la politique budgétaire</w:t>
        </w:r>
        <w:r>
          <w:rPr>
            <w:noProof/>
            <w:webHidden/>
          </w:rPr>
          <w:tab/>
          <w:fldChar w:fldCharType="begin"/>
          <w:instrText xml:space="preserve"> PAGEREF _Toc243123124 \h </w:instrText>
          <w:fldChar w:fldCharType="separate"/>
          <w:t>6</w:t>
          <w:fldChar w:fldCharType="end"/>
        </w:r>
      </w:hyperlink>
    </w:p>
    <w:p w14:paraId="738C03CD" w14:textId="14BB1F34" w:rsidR="004956C7" w:rsidRDefault="004956C7">
      <w:pPr>
        <w:pStyle w:val="TM2"/>
        <w:tabs>
          <w:tab w:val="right" w:leader="dot" w:pos="9062"/>
        </w:tabs>
        <w:rPr>
          <w:rFonts w:eastAsiaTheme="minorEastAsia"/>
          <w:noProof/>
          <w:lang w:eastAsia="fr-FR"/>
        </w:rPr>
      </w:pPr>
      <w:hyperlink w:anchor="_Toc243123125" w:history="1">
        <w:r>
          <w:rPr>
            <w:rStyle w:val="Lienhypertexte"/>
            <w:noProof/>
          </w:rPr>
          <w:t>I – Fonctionnement de la politique budgétaire : la théorie keynésienne</w:t>
        </w:r>
        <w:r>
          <w:rPr>
            <w:noProof/>
            <w:webHidden/>
          </w:rPr>
          <w:tab/>
          <w:fldChar w:fldCharType="begin"/>
          <w:instrText xml:space="preserve"> PAGEREF _Toc243123125 \h </w:instrText>
          <w:fldChar w:fldCharType="separate"/>
          <w:t>6</w:t>
          <w:fldChar w:fldCharType="end"/>
        </w:r>
      </w:hyperlink>
    </w:p>
    <w:p w14:paraId="5D7ACE1A" w14:textId="0BFD6E94" w:rsidR="004956C7" w:rsidRDefault="004956C7">
      <w:pPr>
        <w:pStyle w:val="TM3"/>
        <w:tabs>
          <w:tab w:val="right" w:leader="dot" w:pos="9062"/>
        </w:tabs>
        <w:rPr>
          <w:rFonts w:eastAsiaTheme="minorEastAsia"/>
          <w:noProof/>
          <w:color w:val="auto"/>
          <w:sz w:val="24"/>
          <w:szCs w:val="24"/>
          <w:lang w:eastAsia="fr-FR"/>
        </w:rPr>
      </w:pPr>
      <w:hyperlink w:anchor="_Toc243123126" w:history="1">
        <w:r>
          <w:rPr>
            <w:rStyle w:val="Lienhypertexte"/>
            <w:noProof/>
          </w:rPr>
          <w:t>1°) La nécessité de l’intervention de l’État</w:t>
        </w:r>
        <w:r>
          <w:rPr>
            <w:noProof/>
            <w:webHidden/>
          </w:rPr>
          <w:tab/>
          <w:fldChar w:fldCharType="begin"/>
          <w:instrText xml:space="preserve"> PAGEREF _Toc243123126 \h </w:instrText>
          <w:fldChar w:fldCharType="separate"/>
          <w:t>6</w:t>
          <w:fldChar w:fldCharType="end"/>
        </w:r>
      </w:hyperlink>
    </w:p>
    <w:p w14:paraId="4B41943C" w14:textId="3D4A5550" w:rsidR="004956C7" w:rsidRDefault="004956C7">
      <w:pPr>
        <w:pStyle w:val="TM3"/>
        <w:tabs>
          <w:tab w:val="right" w:leader="dot" w:pos="9062"/>
        </w:tabs>
        <w:rPr>
          <w:rFonts w:eastAsiaTheme="minorEastAsia"/>
          <w:noProof/>
          <w:color w:val="auto"/>
          <w:sz w:val="24"/>
          <w:szCs w:val="24"/>
          <w:lang w:eastAsia="fr-FR"/>
        </w:rPr>
      </w:pPr>
      <w:hyperlink w:anchor="_Toc243123127" w:history="1">
        <w:r>
          <w:rPr>
            <w:rStyle w:val="Lienhypertexte"/>
            <w:noProof/>
          </w:rPr>
          <w:t>2°) Les outils de la politique budgétaire</w:t>
        </w:r>
        <w:r>
          <w:rPr>
            <w:noProof/>
            <w:webHidden/>
          </w:rPr>
          <w:tab/>
          <w:fldChar w:fldCharType="begin"/>
          <w:instrText xml:space="preserve"> PAGEREF _Toc243123127 \h </w:instrText>
          <w:fldChar w:fldCharType="separate"/>
          <w:t>7</w:t>
          <w:fldChar w:fldCharType="end"/>
        </w:r>
      </w:hyperlink>
    </w:p>
    <w:p w14:paraId="2DE0A501" w14:textId="0D30F4F0" w:rsidR="004956C7" w:rsidRDefault="004956C7">
      <w:pPr>
        <w:pStyle w:val="TM3"/>
        <w:tabs>
          <w:tab w:val="right" w:leader="dot" w:pos="9062"/>
        </w:tabs>
        <w:rPr>
          <w:rFonts w:eastAsiaTheme="minorEastAsia"/>
          <w:noProof/>
          <w:color w:val="auto"/>
          <w:sz w:val="24"/>
          <w:szCs w:val="24"/>
          <w:lang w:eastAsia="fr-FR"/>
        </w:rPr>
      </w:pPr>
      <w:hyperlink w:anchor="_Toc243123128" w:history="1">
        <w:r>
          <w:rPr>
            <w:rStyle w:val="Lienhypertexte"/>
            <w:noProof/>
          </w:rPr>
          <w:t>3°) L’effet multiplicateur</w:t>
        </w:r>
        <w:r>
          <w:rPr>
            <w:noProof/>
            <w:webHidden/>
          </w:rPr>
          <w:tab/>
          <w:fldChar w:fldCharType="begin"/>
          <w:instrText xml:space="preserve"> PAGEREF _Toc243123128 \h </w:instrText>
          <w:fldChar w:fldCharType="separate"/>
          <w:t>8</w:t>
          <w:fldChar w:fldCharType="end"/>
        </w:r>
      </w:hyperlink>
    </w:p>
    <w:p w14:paraId="1E26DDB9" w14:textId="43FC3AE4" w:rsidR="004956C7" w:rsidRDefault="004956C7">
      <w:pPr>
        <w:pStyle w:val="TM2"/>
        <w:tabs>
          <w:tab w:val="right" w:leader="dot" w:pos="9062"/>
        </w:tabs>
        <w:rPr>
          <w:rFonts w:eastAsiaTheme="minorEastAsia"/>
          <w:noProof/>
          <w:lang w:eastAsia="fr-FR"/>
        </w:rPr>
      </w:pPr>
      <w:hyperlink w:anchor="_Toc243123129" w:history="1">
        <w:r>
          <w:rPr>
            <w:rStyle w:val="Lienhypertexte"/>
            <w:noProof/>
          </w:rPr>
          <w:t>II – Les politiques keynésiennes de 1945 aux années 1970</w:t>
        </w:r>
        <w:r>
          <w:rPr>
            <w:noProof/>
            <w:webHidden/>
          </w:rPr>
          <w:tab/>
          <w:fldChar w:fldCharType="begin"/>
          <w:instrText xml:space="preserve"> PAGEREF _Toc243123129 \h </w:instrText>
          <w:fldChar w:fldCharType="separate"/>
          <w:t>10</w:t>
          <w:fldChar w:fldCharType="end"/>
        </w:r>
      </w:hyperlink>
    </w:p>
    <w:p w14:paraId="5414CB30" w14:textId="538BF158" w:rsidR="004956C7" w:rsidRDefault="004956C7">
      <w:pPr>
        <w:pStyle w:val="TM3"/>
        <w:tabs>
          <w:tab w:val="right" w:leader="dot" w:pos="9062"/>
        </w:tabs>
        <w:rPr>
          <w:rFonts w:eastAsiaTheme="minorEastAsia"/>
          <w:noProof/>
          <w:color w:val="auto"/>
          <w:sz w:val="24"/>
          <w:szCs w:val="24"/>
          <w:lang w:eastAsia="fr-FR"/>
        </w:rPr>
      </w:pPr>
      <w:hyperlink w:anchor="_Toc243123130" w:history="1">
        <w:r>
          <w:rPr>
            <w:rStyle w:val="Lienhypertexte"/>
            <w:noProof/>
          </w:rPr>
          <w:t>1°) La courbe de Phillips</w:t>
        </w:r>
        <w:r>
          <w:rPr>
            <w:noProof/>
            <w:webHidden/>
          </w:rPr>
          <w:tab/>
          <w:fldChar w:fldCharType="begin"/>
          <w:instrText xml:space="preserve"> PAGEREF _Toc243123130 \h </w:instrText>
          <w:fldChar w:fldCharType="separate"/>
          <w:t>10</w:t>
          <w:fldChar w:fldCharType="end"/>
        </w:r>
      </w:hyperlink>
    </w:p>
    <w:p w14:paraId="3CC3C721" w14:textId="0B5C8283" w:rsidR="004956C7" w:rsidRDefault="004956C7">
      <w:pPr>
        <w:pStyle w:val="TM3"/>
        <w:tabs>
          <w:tab w:val="right" w:leader="dot" w:pos="9062"/>
        </w:tabs>
        <w:rPr>
          <w:rFonts w:eastAsiaTheme="minorEastAsia"/>
          <w:noProof/>
          <w:color w:val="auto"/>
          <w:sz w:val="24"/>
          <w:szCs w:val="24"/>
          <w:lang w:eastAsia="fr-FR"/>
        </w:rPr>
      </w:pPr>
      <w:hyperlink w:anchor="_Toc243123131" w:history="1">
        <w:r>
          <w:rPr>
            <w:rStyle w:val="Lienhypertexte"/>
            <w:noProof/>
          </w:rPr>
          <w:t>2°) Les politiques de stop-and-go</w:t>
        </w:r>
        <w:r>
          <w:rPr>
            <w:noProof/>
            <w:webHidden/>
          </w:rPr>
          <w:tab/>
          <w:fldChar w:fldCharType="begin"/>
          <w:instrText xml:space="preserve"> PAGEREF _Toc243123131 \h </w:instrText>
          <w:fldChar w:fldCharType="separate"/>
          <w:t>10</w:t>
          <w:fldChar w:fldCharType="end"/>
        </w:r>
      </w:hyperlink>
    </w:p>
    <w:p w14:paraId="3DBB1CE6" w14:textId="7681626F" w:rsidR="004956C7" w:rsidRDefault="004956C7">
      <w:pPr>
        <w:pStyle w:val="TM3"/>
        <w:tabs>
          <w:tab w:val="right" w:leader="dot" w:pos="9062"/>
        </w:tabs>
        <w:rPr>
          <w:rFonts w:eastAsiaTheme="minorEastAsia"/>
          <w:noProof/>
          <w:color w:val="auto"/>
          <w:sz w:val="24"/>
          <w:szCs w:val="24"/>
          <w:lang w:eastAsia="fr-FR"/>
        </w:rPr>
      </w:pPr>
      <w:hyperlink w:anchor="_Toc243123132" w:history="1">
        <w:r>
          <w:rPr>
            <w:rStyle w:val="Lienhypertexte"/>
            <w:noProof/>
          </w:rPr>
          <w:t>3°) Les succès et limites du modèle keynésien</w:t>
        </w:r>
        <w:r>
          <w:rPr>
            <w:noProof/>
            <w:webHidden/>
          </w:rPr>
          <w:tab/>
          <w:fldChar w:fldCharType="begin"/>
          <w:instrText xml:space="preserve"> PAGEREF _Toc243123132 \h </w:instrText>
          <w:fldChar w:fldCharType="separate"/>
          <w:t>11</w:t>
          <w:fldChar w:fldCharType="end"/>
        </w:r>
      </w:hyperlink>
    </w:p>
    <w:p w14:paraId="4E506A36" w14:textId="0790B36F" w:rsidR="004956C7" w:rsidRDefault="004956C7">
      <w:pPr>
        <w:pStyle w:val="TM2"/>
        <w:tabs>
          <w:tab w:val="right" w:leader="dot" w:pos="9062"/>
        </w:tabs>
        <w:rPr>
          <w:rFonts w:eastAsiaTheme="minorEastAsia"/>
          <w:noProof/>
          <w:lang w:eastAsia="fr-FR"/>
        </w:rPr>
      </w:pPr>
      <w:hyperlink w:anchor="_Toc243123133" w:history="1">
        <w:r>
          <w:rPr>
            <w:rStyle w:val="Lienhypertexte"/>
            <w:noProof/>
          </w:rPr>
          <w:t>III – Les effets limités de la politique budgétaire</w:t>
        </w:r>
        <w:r>
          <w:rPr>
            <w:noProof/>
            <w:webHidden/>
          </w:rPr>
          <w:tab/>
          <w:fldChar w:fldCharType="begin"/>
          <w:instrText xml:space="preserve"> PAGEREF _Toc243123133 \h </w:instrText>
          <w:fldChar w:fldCharType="separate"/>
          <w:t>11</w:t>
          <w:fldChar w:fldCharType="end"/>
        </w:r>
      </w:hyperlink>
    </w:p>
    <w:p w14:paraId="7E077E78" w14:textId="22ECC25C" w:rsidR="004956C7" w:rsidRDefault="004956C7">
      <w:pPr>
        <w:pStyle w:val="TM3"/>
        <w:tabs>
          <w:tab w:val="right" w:leader="dot" w:pos="9062"/>
        </w:tabs>
        <w:rPr>
          <w:rFonts w:eastAsiaTheme="minorEastAsia"/>
          <w:noProof/>
          <w:color w:val="auto"/>
          <w:sz w:val="24"/>
          <w:szCs w:val="24"/>
          <w:lang w:eastAsia="fr-FR"/>
        </w:rPr>
      </w:pPr>
      <w:hyperlink w:anchor="_Toc243123134" w:history="1">
        <w:r>
          <w:rPr>
            <w:rStyle w:val="Lienhypertexte"/>
            <w:noProof/>
          </w:rPr>
          <w:t>1°) Friedman et le monétarisme</w:t>
        </w:r>
        <w:r>
          <w:rPr>
            <w:noProof/>
            <w:webHidden/>
          </w:rPr>
          <w:tab/>
          <w:fldChar w:fldCharType="begin"/>
          <w:instrText xml:space="preserve"> PAGEREF _Toc243123134 \h </w:instrText>
          <w:fldChar w:fldCharType="separate"/>
          <w:t>11</w:t>
          <w:fldChar w:fldCharType="end"/>
        </w:r>
      </w:hyperlink>
    </w:p>
    <w:p w14:paraId="008BAE2B" w14:textId="5A8222A0" w:rsidR="004956C7" w:rsidRDefault="004956C7">
      <w:pPr>
        <w:pStyle w:val="TM3"/>
        <w:tabs>
          <w:tab w:val="right" w:leader="dot" w:pos="9062"/>
        </w:tabs>
        <w:rPr>
          <w:rFonts w:eastAsiaTheme="minorEastAsia"/>
          <w:noProof/>
          <w:color w:val="auto"/>
          <w:sz w:val="24"/>
          <w:szCs w:val="24"/>
          <w:lang w:eastAsia="fr-FR"/>
        </w:rPr>
      </w:pPr>
      <w:hyperlink w:anchor="_Toc243123135" w:history="1">
        <w:r>
          <w:rPr>
            <w:rStyle w:val="Lienhypertexte"/>
            <w:noProof/>
          </w:rPr>
          <w:t>2°) Les critiques de la nouvelle économie classique</w:t>
        </w:r>
        <w:r>
          <w:rPr>
            <w:noProof/>
            <w:webHidden/>
          </w:rPr>
          <w:tab/>
          <w:fldChar w:fldCharType="begin"/>
          <w:instrText xml:space="preserve"> PAGEREF _Toc243123135 \h </w:instrText>
          <w:fldChar w:fldCharType="separate"/>
          <w:t>12</w:t>
          <w:fldChar w:fldCharType="end"/>
        </w:r>
      </w:hyperlink>
    </w:p>
    <w:p w14:paraId="09A562BE" w14:textId="738F4758" w:rsidR="004956C7" w:rsidRDefault="004956C7">
      <w:pPr>
        <w:pStyle w:val="TM3"/>
        <w:tabs>
          <w:tab w:val="right" w:leader="dot" w:pos="9062"/>
        </w:tabs>
        <w:rPr>
          <w:rFonts w:eastAsiaTheme="minorEastAsia"/>
          <w:noProof/>
          <w:color w:val="auto"/>
          <w:sz w:val="24"/>
          <w:szCs w:val="24"/>
          <w:lang w:eastAsia="fr-FR"/>
        </w:rPr>
      </w:pPr>
      <w:hyperlink w:anchor="_Toc243123136" w:history="1">
        <w:r>
          <w:rPr>
            <w:rStyle w:val="Lienhypertexte"/>
            <w:noProof/>
          </w:rPr>
          <w:t>3°) Les difficultés pratiques de la politique budgétaire</w:t>
        </w:r>
        <w:r>
          <w:rPr>
            <w:noProof/>
            <w:webHidden/>
          </w:rPr>
          <w:tab/>
          <w:fldChar w:fldCharType="begin"/>
          <w:instrText xml:space="preserve"> PAGEREF _Toc243123136 \h </w:instrText>
          <w:fldChar w:fldCharType="separate"/>
          <w:t>13</w:t>
          <w:fldChar w:fldCharType="end"/>
        </w:r>
      </w:hyperlink>
    </w:p>
    <w:p w14:paraId="28C9D291" w14:textId="5005B6BC" w:rsidR="004956C7" w:rsidRDefault="004956C7">
      <w:pPr>
        <w:pStyle w:val="TM2"/>
        <w:tabs>
          <w:tab w:val="right" w:leader="dot" w:pos="9062"/>
        </w:tabs>
        <w:rPr>
          <w:rFonts w:eastAsiaTheme="minorEastAsia"/>
          <w:noProof/>
          <w:lang w:eastAsia="fr-FR"/>
        </w:rPr>
      </w:pPr>
      <w:hyperlink w:anchor="_Toc243123137" w:history="1">
        <w:r>
          <w:rPr>
            <w:rStyle w:val="Lienhypertexte"/>
            <w:noProof/>
          </w:rPr>
          <w:t>Conclusion</w:t>
        </w:r>
        <w:r>
          <w:rPr>
            <w:noProof/>
            <w:webHidden/>
          </w:rPr>
          <w:tab/>
          <w:fldChar w:fldCharType="begin"/>
          <w:instrText xml:space="preserve"> PAGEREF _Toc243123137 \h </w:instrText>
          <w:fldChar w:fldCharType="separate"/>
          <w:t>13</w:t>
          <w:fldChar w:fldCharType="end"/>
        </w:r>
      </w:hyperlink>
    </w:p>
    <w:p w14:paraId="619FC4DA" w14:textId="663E3E4E" w:rsidR="004956C7" w:rsidRDefault="004956C7">
      <w:pPr>
        <w:pStyle w:val="TM1"/>
        <w:tabs>
          <w:tab w:val="right" w:leader="dot" w:pos="9062"/>
        </w:tabs>
        <w:rPr>
          <w:rFonts w:eastAsiaTheme="minorEastAsia"/>
          <w:b w:val="0"/>
          <w:noProof/>
          <w:color w:val="auto"/>
          <w:lang w:eastAsia="fr-FR"/>
        </w:rPr>
      </w:pPr>
      <w:hyperlink w:anchor="_Toc243123138" w:history="1">
        <w:r>
          <w:rPr>
            <w:rStyle w:val="Lienhypertexte"/>
            <w:noProof/>
          </w:rPr>
          <w:t>Chapitre 2 : Les politiques budgétaires de 1980 à aujourd’hui</w:t>
        </w:r>
        <w:r>
          <w:rPr>
            <w:noProof/>
            <w:webHidden/>
          </w:rPr>
          <w:tab/>
          <w:fldChar w:fldCharType="begin"/>
          <w:instrText xml:space="preserve"> PAGEREF _Toc243123138 \h </w:instrText>
          <w:fldChar w:fldCharType="separate"/>
          <w:t>14</w:t>
          <w:fldChar w:fldCharType="end"/>
        </w:r>
      </w:hyperlink>
    </w:p>
    <w:p w14:paraId="494FBBEB" w14:textId="198501D1" w:rsidR="004956C7" w:rsidRDefault="004956C7">
      <w:pPr>
        <w:pStyle w:val="TM2"/>
        <w:tabs>
          <w:tab w:val="right" w:leader="dot" w:pos="9062"/>
        </w:tabs>
        <w:rPr>
          <w:rFonts w:eastAsiaTheme="minorEastAsia"/>
          <w:noProof/>
          <w:lang w:eastAsia="fr-FR"/>
        </w:rPr>
      </w:pPr>
      <w:hyperlink w:anchor="_Toc243123139" w:history="1">
        <w:r>
          <w:rPr>
            <w:rStyle w:val="Lienhypertexte"/>
            <w:noProof/>
          </w:rPr>
          <w:t>I – Le tournant néoclassique des années 1980</w:t>
        </w:r>
        <w:r>
          <w:rPr>
            <w:noProof/>
            <w:webHidden/>
          </w:rPr>
          <w:tab/>
          <w:fldChar w:fldCharType="begin"/>
          <w:instrText xml:space="preserve"> PAGEREF _Toc243123139 \h </w:instrText>
          <w:fldChar w:fldCharType="separate"/>
          <w:t>14</w:t>
          <w:fldChar w:fldCharType="end"/>
        </w:r>
      </w:hyperlink>
    </w:p>
    <w:p w14:paraId="12E90B01" w14:textId="7EDA45E0" w:rsidR="004956C7" w:rsidRDefault="004956C7">
      <w:pPr>
        <w:pStyle w:val="TM3"/>
        <w:tabs>
          <w:tab w:val="right" w:leader="dot" w:pos="9062"/>
        </w:tabs>
        <w:rPr>
          <w:rFonts w:eastAsiaTheme="minorEastAsia"/>
          <w:noProof/>
          <w:color w:val="auto"/>
          <w:sz w:val="24"/>
          <w:szCs w:val="24"/>
          <w:lang w:eastAsia="fr-FR"/>
        </w:rPr>
      </w:pPr>
      <w:hyperlink w:anchor="_Toc243123140" w:history="1">
        <w:r>
          <w:rPr>
            <w:rStyle w:val="Lienhypertexte"/>
            <w:noProof/>
          </w:rPr>
          <w:t>1°) Les fondements théoriques</w:t>
        </w:r>
        <w:r>
          <w:rPr>
            <w:noProof/>
            <w:webHidden/>
          </w:rPr>
          <w:tab/>
          <w:fldChar w:fldCharType="begin"/>
          <w:instrText xml:space="preserve"> PAGEREF _Toc243123140 \h </w:instrText>
          <w:fldChar w:fldCharType="separate"/>
          <w:t>14</w:t>
          <w:fldChar w:fldCharType="end"/>
        </w:r>
      </w:hyperlink>
    </w:p>
    <w:p w14:paraId="1157D6AB" w14:textId="200700F1" w:rsidR="004956C7" w:rsidRDefault="004956C7">
      <w:pPr>
        <w:pStyle w:val="TM3"/>
        <w:tabs>
          <w:tab w:val="right" w:leader="dot" w:pos="9062"/>
        </w:tabs>
        <w:rPr>
          <w:rFonts w:eastAsiaTheme="minorEastAsia"/>
          <w:noProof/>
          <w:color w:val="auto"/>
          <w:sz w:val="24"/>
          <w:szCs w:val="24"/>
          <w:lang w:eastAsia="fr-FR"/>
        </w:rPr>
      </w:pPr>
      <w:hyperlink w:anchor="_Toc243123141" w:history="1">
        <w:r>
          <w:rPr>
            <w:rStyle w:val="Lienhypertexte"/>
            <w:noProof/>
          </w:rPr>
          <w:t>2°) La mise en œuvre des politiques néoclassiques</w:t>
        </w:r>
        <w:r>
          <w:rPr>
            <w:noProof/>
            <w:webHidden/>
          </w:rPr>
          <w:tab/>
          <w:fldChar w:fldCharType="begin"/>
          <w:instrText xml:space="preserve"> PAGEREF _Toc243123141 \h </w:instrText>
          <w:fldChar w:fldCharType="separate"/>
          <w:t>15</w:t>
          <w:fldChar w:fldCharType="end"/>
        </w:r>
      </w:hyperlink>
    </w:p>
    <w:p w14:paraId="71D32586" w14:textId="0FACF8E9" w:rsidR="004956C7" w:rsidRDefault="004956C7">
      <w:pPr>
        <w:pStyle w:val="TM2"/>
        <w:tabs>
          <w:tab w:val="right" w:leader="dot" w:pos="9062"/>
        </w:tabs>
        <w:rPr>
          <w:rFonts w:eastAsiaTheme="minorEastAsia"/>
          <w:noProof/>
          <w:lang w:eastAsia="fr-FR"/>
        </w:rPr>
      </w:pPr>
      <w:hyperlink w:anchor="_Toc243123142" w:history="1">
        <w:r>
          <w:rPr>
            <w:rStyle w:val="Lienhypertexte"/>
            <w:noProof/>
          </w:rPr>
          <w:t>II – Le retour de la politique budgétaire après la crise financière de 2008</w:t>
        </w:r>
        <w:r>
          <w:rPr>
            <w:noProof/>
            <w:webHidden/>
          </w:rPr>
          <w:tab/>
          <w:fldChar w:fldCharType="begin"/>
          <w:instrText xml:space="preserve"> PAGEREF _Toc243123142 \h </w:instrText>
          <w:fldChar w:fldCharType="separate"/>
          <w:t>16</w:t>
          <w:fldChar w:fldCharType="end"/>
        </w:r>
      </w:hyperlink>
    </w:p>
    <w:p w14:paraId="4C5389DA" w14:textId="17E0A79E" w:rsidR="004956C7" w:rsidRDefault="004956C7">
      <w:pPr>
        <w:pStyle w:val="TM3"/>
        <w:tabs>
          <w:tab w:val="right" w:leader="dot" w:pos="9062"/>
        </w:tabs>
        <w:rPr>
          <w:rFonts w:eastAsiaTheme="minorEastAsia"/>
          <w:noProof/>
          <w:color w:val="auto"/>
          <w:sz w:val="24"/>
          <w:szCs w:val="24"/>
          <w:lang w:eastAsia="fr-FR"/>
        </w:rPr>
      </w:pPr>
      <w:hyperlink w:anchor="_Toc243123143" w:history="1">
        <w:r>
          <w:rPr>
            <w:rStyle w:val="Lienhypertexte"/>
            <w:noProof/>
          </w:rPr>
          <w:t>1°) La crise des subprimes</w:t>
        </w:r>
        <w:r>
          <w:rPr>
            <w:noProof/>
            <w:webHidden/>
          </w:rPr>
          <w:tab/>
          <w:fldChar w:fldCharType="begin"/>
          <w:instrText xml:space="preserve"> PAGEREF _Toc243123143 \h </w:instrText>
          <w:fldChar w:fldCharType="separate"/>
          <w:t>16</w:t>
          <w:fldChar w:fldCharType="end"/>
        </w:r>
      </w:hyperlink>
    </w:p>
    <w:p w14:paraId="3BDC59EB" w14:textId="10E626F7" w:rsidR="004956C7" w:rsidRDefault="004956C7">
      <w:pPr>
        <w:pStyle w:val="TM3"/>
        <w:tabs>
          <w:tab w:val="right" w:leader="dot" w:pos="9062"/>
        </w:tabs>
        <w:rPr>
          <w:rFonts w:eastAsiaTheme="minorEastAsia"/>
          <w:noProof/>
          <w:color w:val="auto"/>
          <w:sz w:val="24"/>
          <w:szCs w:val="24"/>
          <w:lang w:eastAsia="fr-FR"/>
        </w:rPr>
      </w:pPr>
      <w:hyperlink w:anchor="_Toc243123144" w:history="1">
        <w:r>
          <w:rPr>
            <w:rStyle w:val="Lienhypertexte"/>
            <w:noProof/>
          </w:rPr>
          <w:t>2°) Le retour des politiques budgétaires de relance</w:t>
        </w:r>
        <w:r>
          <w:rPr>
            <w:noProof/>
            <w:webHidden/>
          </w:rPr>
          <w:tab/>
          <w:fldChar w:fldCharType="begin"/>
          <w:instrText xml:space="preserve"> PAGEREF _Toc243123144 \h </w:instrText>
          <w:fldChar w:fldCharType="separate"/>
          <w:t>17</w:t>
          <w:fldChar w:fldCharType="end"/>
        </w:r>
      </w:hyperlink>
    </w:p>
    <w:p w14:paraId="0F727187" w14:textId="66778F45" w:rsidR="004956C7" w:rsidRDefault="004956C7">
      <w:pPr>
        <w:pStyle w:val="TM3"/>
        <w:tabs>
          <w:tab w:val="right" w:leader="dot" w:pos="9062"/>
        </w:tabs>
        <w:rPr>
          <w:rFonts w:eastAsiaTheme="minorEastAsia"/>
          <w:noProof/>
          <w:color w:val="auto"/>
          <w:sz w:val="24"/>
          <w:szCs w:val="24"/>
          <w:lang w:eastAsia="fr-FR"/>
        </w:rPr>
      </w:pPr>
      <w:hyperlink w:anchor="_Toc243123145" w:history="1">
        <w:r>
          <w:rPr>
            <w:rStyle w:val="Lienhypertexte"/>
            <w:noProof/>
          </w:rPr>
          <w:t>3°) La crise de la dette dans la zone euro</w:t>
        </w:r>
        <w:r>
          <w:rPr>
            <w:noProof/>
            <w:webHidden/>
          </w:rPr>
          <w:tab/>
          <w:fldChar w:fldCharType="begin"/>
          <w:instrText xml:space="preserve"> PAGEREF _Toc243123145 \h </w:instrText>
          <w:fldChar w:fldCharType="separate"/>
          <w:t>18</w:t>
          <w:fldChar w:fldCharType="end"/>
        </w:r>
      </w:hyperlink>
    </w:p>
    <w:p w14:paraId="347A03C3" w14:textId="4DE084EF" w:rsidR="004956C7" w:rsidRDefault="004956C7">
      <w:pPr>
        <w:pStyle w:val="TM3"/>
        <w:tabs>
          <w:tab w:val="right" w:leader="dot" w:pos="9062"/>
        </w:tabs>
        <w:rPr>
          <w:rFonts w:eastAsiaTheme="minorEastAsia"/>
          <w:noProof/>
          <w:color w:val="auto"/>
          <w:sz w:val="24"/>
          <w:szCs w:val="24"/>
          <w:lang w:eastAsia="fr-FR"/>
        </w:rPr>
      </w:pPr>
      <w:hyperlink w:anchor="_Toc243123146" w:history="1">
        <w:r>
          <w:rPr>
            <w:rStyle w:val="Lienhypertexte"/>
            <w:noProof/>
          </w:rPr>
          <w:t>4°) Les résultats de l’austérité dans la zone euro</w:t>
        </w:r>
        <w:r>
          <w:rPr>
            <w:noProof/>
            <w:webHidden/>
          </w:rPr>
          <w:tab/>
          <w:fldChar w:fldCharType="begin"/>
          <w:instrText xml:space="preserve"> PAGEREF _Toc243123146 \h </w:instrText>
          <w:fldChar w:fldCharType="separate"/>
          <w:t>19</w:t>
          <w:fldChar w:fldCharType="end"/>
        </w:r>
      </w:hyperlink>
    </w:p>
    <w:p w14:paraId="47EF20C3" w14:textId="19AE9BB5" w:rsidR="004956C7" w:rsidRDefault="004956C7">
      <w:pPr>
        <w:pStyle w:val="TM2"/>
        <w:tabs>
          <w:tab w:val="right" w:leader="dot" w:pos="9062"/>
        </w:tabs>
        <w:rPr>
          <w:rFonts w:eastAsiaTheme="minorEastAsia"/>
          <w:noProof/>
          <w:lang w:eastAsia="fr-FR"/>
        </w:rPr>
      </w:pPr>
      <w:hyperlink w:anchor="_Toc243123147" w:history="1">
        <w:r>
          <w:rPr>
            <w:rStyle w:val="Lienhypertexte"/>
            <w:noProof/>
          </w:rPr>
          <w:t>III – La politique budgétaire face à la crise due au Covid-19</w:t>
        </w:r>
        <w:r>
          <w:rPr>
            <w:noProof/>
            <w:webHidden/>
          </w:rPr>
          <w:tab/>
          <w:fldChar w:fldCharType="begin"/>
          <w:instrText xml:space="preserve"> PAGEREF _Toc243123147 \h </w:instrText>
          <w:fldChar w:fldCharType="separate"/>
          <w:t>20</w:t>
          <w:fldChar w:fldCharType="end"/>
        </w:r>
      </w:hyperlink>
    </w:p>
    <w:p w14:paraId="3BC8B946" w14:textId="190FC6FD" w:rsidR="004956C7" w:rsidRDefault="004956C7">
      <w:pPr>
        <w:pStyle w:val="TM3"/>
        <w:tabs>
          <w:tab w:val="right" w:leader="dot" w:pos="9062"/>
        </w:tabs>
        <w:rPr>
          <w:rFonts w:eastAsiaTheme="minorEastAsia"/>
          <w:noProof/>
          <w:color w:val="auto"/>
          <w:sz w:val="24"/>
          <w:szCs w:val="24"/>
          <w:lang w:eastAsia="fr-FR"/>
        </w:rPr>
      </w:pPr>
      <w:hyperlink w:anchor="_Toc243123148" w:history="1">
        <w:r>
          <w:rPr>
            <w:rStyle w:val="Lienhypertexte"/>
            <w:noProof/>
          </w:rPr>
          <w:t>1°) Les mesures de l’union européenne : un plan de relance sans précédent</w:t>
        </w:r>
        <w:r>
          <w:rPr>
            <w:noProof/>
            <w:webHidden/>
          </w:rPr>
          <w:tab/>
          <w:fldChar w:fldCharType="begin"/>
          <w:instrText xml:space="preserve"> PAGEREF _Toc243123148 \h </w:instrText>
          <w:fldChar w:fldCharType="separate"/>
          <w:t>21</w:t>
          <w:fldChar w:fldCharType="end"/>
        </w:r>
      </w:hyperlink>
    </w:p>
    <w:p w14:paraId="1E788381" w14:textId="0D9398AC" w:rsidR="004956C7" w:rsidRDefault="004956C7">
      <w:pPr>
        <w:pStyle w:val="TM3"/>
        <w:tabs>
          <w:tab w:val="right" w:leader="dot" w:pos="9062"/>
        </w:tabs>
        <w:rPr>
          <w:rFonts w:eastAsiaTheme="minorEastAsia"/>
          <w:noProof/>
          <w:color w:val="auto"/>
          <w:sz w:val="24"/>
          <w:szCs w:val="24"/>
          <w:lang w:eastAsia="fr-FR"/>
        </w:rPr>
      </w:pPr>
      <w:hyperlink w:anchor="_Toc243123149" w:history="1">
        <w:r>
          <w:rPr>
            <w:rStyle w:val="Lienhypertexte"/>
            <w:noProof/>
          </w:rPr>
          <w:t>2°) Les mesures de la France =&gt; 80 mds € à l’état</w:t>
        </w:r>
        <w:r>
          <w:rPr>
            <w:noProof/>
            <w:webHidden/>
          </w:rPr>
          <w:tab/>
          <w:fldChar w:fldCharType="begin"/>
          <w:instrText xml:space="preserve"> PAGEREF _Toc243123149 \h </w:instrText>
          <w:fldChar w:fldCharType="separate"/>
          <w:t>22</w:t>
          <w:fldChar w:fldCharType="end"/>
        </w:r>
      </w:hyperlink>
    </w:p>
    <w:p w14:paraId="1059B3DF" w14:textId="3875226F" w:rsidR="004956C7" w:rsidRDefault="004956C7">
      <w:pPr>
        <w:pStyle w:val="TM3"/>
        <w:tabs>
          <w:tab w:val="right" w:leader="dot" w:pos="9062"/>
        </w:tabs>
        <w:rPr>
          <w:rFonts w:eastAsiaTheme="minorEastAsia"/>
          <w:noProof/>
          <w:color w:val="auto"/>
          <w:sz w:val="24"/>
          <w:szCs w:val="24"/>
          <w:lang w:eastAsia="fr-FR"/>
        </w:rPr>
      </w:pPr>
      <w:hyperlink w:anchor="_Toc243123150" w:history="1">
        <w:r>
          <w:rPr>
            <w:rStyle w:val="Lienhypertexte"/>
            <w:noProof/>
          </w:rPr>
          <w:t>3°) Les plans de relance aux USA</w:t>
        </w:r>
        <w:r>
          <w:rPr>
            <w:noProof/>
            <w:webHidden/>
          </w:rPr>
          <w:tab/>
          <w:fldChar w:fldCharType="begin"/>
          <w:instrText xml:space="preserve"> PAGEREF _Toc243123150 \h </w:instrText>
          <w:fldChar w:fldCharType="separate"/>
          <w:t>23</w:t>
          <w:fldChar w:fldCharType="end"/>
        </w:r>
      </w:hyperlink>
    </w:p>
    <w:p w14:paraId="5C563AD7" w14:textId="7FA4ED8D" w:rsidR="004956C7" w:rsidRDefault="004956C7">
      <w:pPr>
        <w:pStyle w:val="TM2"/>
        <w:tabs>
          <w:tab w:val="right" w:leader="dot" w:pos="9062"/>
        </w:tabs>
        <w:rPr>
          <w:rFonts w:eastAsiaTheme="minorEastAsia"/>
          <w:noProof/>
          <w:lang w:eastAsia="fr-FR"/>
        </w:rPr>
      </w:pPr>
      <w:hyperlink w:anchor="_Toc243123151" w:history="1">
        <w:r>
          <w:rPr>
            <w:rStyle w:val="Lienhypertexte"/>
            <w:noProof/>
          </w:rPr>
          <w:t>IV – Les débats actuels sur la dette publique</w:t>
        </w:r>
        <w:r>
          <w:rPr>
            <w:noProof/>
            <w:webHidden/>
          </w:rPr>
          <w:tab/>
          <w:fldChar w:fldCharType="begin"/>
          <w:instrText xml:space="preserve"> PAGEREF _Toc243123151 \h </w:instrText>
          <w:fldChar w:fldCharType="separate"/>
          <w:t>24</w:t>
          <w:fldChar w:fldCharType="end"/>
        </w:r>
      </w:hyperlink>
    </w:p>
    <w:p w14:paraId="731C3939" w14:textId="52C128AF" w:rsidR="004956C7" w:rsidRDefault="004956C7">
      <w:pPr>
        <w:pStyle w:val="TM3"/>
        <w:tabs>
          <w:tab w:val="right" w:leader="dot" w:pos="9062"/>
        </w:tabs>
        <w:rPr>
          <w:rFonts w:eastAsiaTheme="minorEastAsia"/>
          <w:noProof/>
          <w:color w:val="auto"/>
          <w:sz w:val="24"/>
          <w:szCs w:val="24"/>
          <w:lang w:eastAsia="fr-FR"/>
        </w:rPr>
      </w:pPr>
      <w:hyperlink w:anchor="_Toc243123152" w:history="1">
        <w:r>
          <w:rPr>
            <w:rStyle w:val="Lienhypertexte"/>
            <w:noProof/>
          </w:rPr>
          <w:t>1°) La soutenabilité de la dette : enjeux et critères</w:t>
        </w:r>
        <w:r>
          <w:rPr>
            <w:noProof/>
            <w:webHidden/>
          </w:rPr>
          <w:tab/>
          <w:fldChar w:fldCharType="begin"/>
          <w:instrText xml:space="preserve"> PAGEREF _Toc243123152 \h </w:instrText>
          <w:fldChar w:fldCharType="separate"/>
          <w:t>24</w:t>
          <w:fldChar w:fldCharType="end"/>
        </w:r>
      </w:hyperlink>
    </w:p>
    <w:p w14:paraId="1CCC27DC" w14:textId="35059881" w:rsidR="004956C7" w:rsidRDefault="004956C7">
      <w:pPr>
        <w:pStyle w:val="TM3"/>
        <w:tabs>
          <w:tab w:val="right" w:leader="dot" w:pos="9062"/>
        </w:tabs>
        <w:rPr>
          <w:rFonts w:eastAsiaTheme="minorEastAsia"/>
          <w:noProof/>
          <w:color w:val="auto"/>
          <w:sz w:val="24"/>
          <w:szCs w:val="24"/>
          <w:lang w:eastAsia="fr-FR"/>
        </w:rPr>
      </w:pPr>
      <w:hyperlink w:anchor="_Toc243123153" w:history="1">
        <w:r>
          <w:rPr>
            <w:rStyle w:val="Lienhypertexte"/>
            <w:noProof/>
          </w:rPr>
          <w:t>2°) Les orientations possibles : rigueur ou relance</w:t>
        </w:r>
        <w:r>
          <w:rPr>
            <w:noProof/>
            <w:webHidden/>
          </w:rPr>
          <w:tab/>
          <w:fldChar w:fldCharType="begin"/>
          <w:instrText xml:space="preserve"> PAGEREF _Toc243123153 \h </w:instrText>
          <w:fldChar w:fldCharType="separate"/>
          <w:t>25</w:t>
          <w:fldChar w:fldCharType="end"/>
        </w:r>
      </w:hyperlink>
    </w:p>
    <w:p w14:paraId="5F21E8D4" w14:textId="64A27795" w:rsidR="004956C7" w:rsidRDefault="004956C7">
      <w:pPr>
        <w:pStyle w:val="TM1"/>
        <w:tabs>
          <w:tab w:val="right" w:leader="dot" w:pos="9062"/>
        </w:tabs>
        <w:rPr>
          <w:rFonts w:eastAsiaTheme="minorEastAsia"/>
          <w:b w:val="0"/>
          <w:noProof/>
          <w:color w:val="auto"/>
          <w:lang w:eastAsia="fr-FR"/>
        </w:rPr>
      </w:pPr>
      <w:hyperlink w:anchor="_Toc243123154" w:history="1">
        <w:r>
          <w:rPr>
            <w:rStyle w:val="Lienhypertexte"/>
            <w:noProof/>
          </w:rPr>
          <w:t>Chapitre 3 : Le rôle et l’organisation d’une banque centrale : l’exemple de la BCE</w:t>
        </w:r>
        <w:r>
          <w:rPr>
            <w:noProof/>
            <w:webHidden/>
          </w:rPr>
          <w:tab/>
          <w:fldChar w:fldCharType="begin"/>
          <w:instrText xml:space="preserve"> PAGEREF _Toc243123154 \h </w:instrText>
          <w:fldChar w:fldCharType="separate"/>
          <w:t>27</w:t>
          <w:fldChar w:fldCharType="end"/>
        </w:r>
      </w:hyperlink>
    </w:p>
    <w:p w14:paraId="32EDF8EA" w14:textId="7005ED43" w:rsidR="004956C7" w:rsidRDefault="004956C7">
      <w:pPr>
        <w:pStyle w:val="TM2"/>
        <w:tabs>
          <w:tab w:val="right" w:leader="dot" w:pos="9062"/>
        </w:tabs>
        <w:rPr>
          <w:rFonts w:eastAsiaTheme="minorEastAsia"/>
          <w:noProof/>
          <w:lang w:eastAsia="fr-FR"/>
        </w:rPr>
      </w:pPr>
      <w:hyperlink w:anchor="_Toc243123155" w:history="1">
        <w:r>
          <w:rPr>
            <w:rStyle w:val="Lienhypertexte"/>
            <w:noProof/>
          </w:rPr>
          <w:t>I – Le cadre institutionnel de la politique monétaire</w:t>
        </w:r>
        <w:r>
          <w:rPr>
            <w:noProof/>
            <w:webHidden/>
          </w:rPr>
          <w:tab/>
          <w:fldChar w:fldCharType="begin"/>
          <w:instrText xml:space="preserve"> PAGEREF _Toc243123155 \h </w:instrText>
          <w:fldChar w:fldCharType="separate"/>
          <w:t>27</w:t>
          <w:fldChar w:fldCharType="end"/>
        </w:r>
      </w:hyperlink>
    </w:p>
    <w:p w14:paraId="6E72F20F" w14:textId="01918BCE" w:rsidR="004956C7" w:rsidRDefault="004956C7">
      <w:pPr>
        <w:pStyle w:val="TM3"/>
        <w:tabs>
          <w:tab w:val="right" w:leader="dot" w:pos="9062"/>
        </w:tabs>
        <w:rPr>
          <w:rFonts w:eastAsiaTheme="minorEastAsia"/>
          <w:noProof/>
          <w:color w:val="auto"/>
          <w:sz w:val="24"/>
          <w:szCs w:val="24"/>
          <w:lang w:eastAsia="fr-FR"/>
        </w:rPr>
      </w:pPr>
      <w:hyperlink w:anchor="_Toc243123156" w:history="1">
        <w:r>
          <w:rPr>
            <w:rStyle w:val="Lienhypertexte"/>
            <w:noProof/>
          </w:rPr>
          <w:t>1°) L’intégration monétaire européenne</w:t>
        </w:r>
        <w:r>
          <w:rPr>
            <w:noProof/>
            <w:webHidden/>
          </w:rPr>
          <w:tab/>
          <w:fldChar w:fldCharType="begin"/>
          <w:instrText xml:space="preserve"> PAGEREF _Toc243123156 \h </w:instrText>
          <w:fldChar w:fldCharType="separate"/>
          <w:t>27</w:t>
          <w:fldChar w:fldCharType="end"/>
        </w:r>
      </w:hyperlink>
    </w:p>
    <w:p w14:paraId="4ABD2D79" w14:textId="54952636" w:rsidR="004956C7" w:rsidRDefault="004956C7">
      <w:pPr>
        <w:pStyle w:val="TM3"/>
        <w:tabs>
          <w:tab w:val="right" w:leader="dot" w:pos="9062"/>
        </w:tabs>
        <w:rPr>
          <w:rFonts w:eastAsiaTheme="minorEastAsia"/>
          <w:noProof/>
          <w:color w:val="auto"/>
          <w:sz w:val="24"/>
          <w:szCs w:val="24"/>
          <w:lang w:eastAsia="fr-FR"/>
        </w:rPr>
      </w:pPr>
      <w:hyperlink w:anchor="_Toc243123157" w:history="1">
        <w:r>
          <w:rPr>
            <w:rStyle w:val="Lienhypertexte"/>
            <w:noProof/>
          </w:rPr>
          <w:t>2°) Fonctionnement du SEBC et de la zone euro</w:t>
        </w:r>
        <w:r>
          <w:rPr>
            <w:noProof/>
            <w:webHidden/>
          </w:rPr>
          <w:tab/>
          <w:fldChar w:fldCharType="begin"/>
          <w:instrText xml:space="preserve"> PAGEREF _Toc243123157 \h </w:instrText>
          <w:fldChar w:fldCharType="separate"/>
          <w:t>28</w:t>
          <w:fldChar w:fldCharType="end"/>
        </w:r>
      </w:hyperlink>
    </w:p>
    <w:p w14:paraId="568656BE" w14:textId="6D977DF3" w:rsidR="004956C7" w:rsidRDefault="004956C7">
      <w:pPr>
        <w:pStyle w:val="TM3"/>
        <w:tabs>
          <w:tab w:val="right" w:leader="dot" w:pos="9062"/>
        </w:tabs>
        <w:rPr>
          <w:rFonts w:eastAsiaTheme="minorEastAsia"/>
          <w:noProof/>
          <w:color w:val="auto"/>
          <w:sz w:val="24"/>
          <w:szCs w:val="24"/>
          <w:lang w:eastAsia="fr-FR"/>
        </w:rPr>
      </w:pPr>
      <w:hyperlink w:anchor="_Toc243123158" w:history="1">
        <w:r>
          <w:rPr>
            <w:rStyle w:val="Lienhypertexte"/>
            <w:noProof/>
          </w:rPr>
          <w:t>3°) La question de l'indépendance des banques centrales</w:t>
        </w:r>
        <w:r>
          <w:rPr>
            <w:noProof/>
            <w:webHidden/>
          </w:rPr>
          <w:tab/>
          <w:fldChar w:fldCharType="begin"/>
          <w:instrText xml:space="preserve"> PAGEREF _Toc243123158 \h </w:instrText>
          <w:fldChar w:fldCharType="separate"/>
          <w:t>30</w:t>
          <w:fldChar w:fldCharType="end"/>
        </w:r>
      </w:hyperlink>
    </w:p>
    <w:p w14:paraId="7ABAA46A" w14:textId="75EC7FBE" w:rsidR="004956C7" w:rsidRDefault="004956C7">
      <w:pPr>
        <w:pStyle w:val="TM2"/>
        <w:tabs>
          <w:tab w:val="right" w:leader="dot" w:pos="9062"/>
        </w:tabs>
        <w:rPr>
          <w:rFonts w:eastAsiaTheme="minorEastAsia"/>
          <w:noProof/>
          <w:lang w:eastAsia="fr-FR"/>
        </w:rPr>
      </w:pPr>
      <w:hyperlink w:anchor="_Toc243123159" w:history="1">
        <w:r>
          <w:rPr>
            <w:rStyle w:val="Lienhypertexte"/>
            <w:noProof/>
          </w:rPr>
          <w:t>II – Objectifs de la politique monétaire</w:t>
        </w:r>
        <w:r>
          <w:rPr>
            <w:noProof/>
            <w:webHidden/>
          </w:rPr>
          <w:tab/>
          <w:fldChar w:fldCharType="begin"/>
          <w:instrText xml:space="preserve"> PAGEREF _Toc243123159 \h </w:instrText>
          <w:fldChar w:fldCharType="separate"/>
          <w:t>35</w:t>
          <w:fldChar w:fldCharType="end"/>
        </w:r>
      </w:hyperlink>
    </w:p>
    <w:p w14:paraId="65427E33" w14:textId="0EE8F8C7" w:rsidR="004956C7" w:rsidRDefault="004956C7">
      <w:pPr>
        <w:pStyle w:val="TM3"/>
        <w:tabs>
          <w:tab w:val="right" w:leader="dot" w:pos="9062"/>
        </w:tabs>
        <w:rPr>
          <w:rFonts w:eastAsiaTheme="minorEastAsia"/>
          <w:noProof/>
          <w:color w:val="auto"/>
          <w:sz w:val="24"/>
          <w:szCs w:val="24"/>
          <w:lang w:eastAsia="fr-FR"/>
        </w:rPr>
      </w:pPr>
      <w:hyperlink w:anchor="_Toc243123160" w:history="1">
        <w:r>
          <w:rPr>
            <w:rStyle w:val="Lienhypertexte"/>
            <w:noProof/>
          </w:rPr>
          <w:t>1°) Les objectifs des banques centrales</w:t>
        </w:r>
        <w:r>
          <w:rPr>
            <w:noProof/>
            <w:webHidden/>
          </w:rPr>
          <w:tab/>
          <w:fldChar w:fldCharType="begin"/>
          <w:instrText xml:space="preserve"> PAGEREF _Toc243123160 \h </w:instrText>
          <w:fldChar w:fldCharType="separate"/>
          <w:t>35</w:t>
          <w:fldChar w:fldCharType="end"/>
        </w:r>
      </w:hyperlink>
    </w:p>
    <w:p w14:paraId="42F068EE" w14:textId="04CAC6D6" w:rsidR="004956C7" w:rsidRDefault="004956C7">
      <w:pPr>
        <w:pStyle w:val="TM3"/>
        <w:tabs>
          <w:tab w:val="right" w:leader="dot" w:pos="9062"/>
        </w:tabs>
        <w:rPr>
          <w:rFonts w:eastAsiaTheme="minorEastAsia"/>
          <w:noProof/>
          <w:color w:val="auto"/>
          <w:sz w:val="24"/>
          <w:szCs w:val="24"/>
          <w:lang w:eastAsia="fr-FR"/>
        </w:rPr>
      </w:pPr>
      <w:hyperlink w:anchor="_Toc243123161" w:history="1">
        <w:r>
          <w:rPr>
            <w:rStyle w:val="Lienhypertexte"/>
            <w:noProof/>
          </w:rPr>
          <w:t>2°) Les deux piliers de la BCE pour anticiper le niveau d'inflation</w:t>
        </w:r>
        <w:r>
          <w:rPr>
            <w:noProof/>
            <w:webHidden/>
          </w:rPr>
          <w:tab/>
          <w:fldChar w:fldCharType="begin"/>
          <w:instrText xml:space="preserve"> PAGEREF _Toc243123161 \h </w:instrText>
          <w:fldChar w:fldCharType="separate"/>
          <w:t>38</w:t>
          <w:fldChar w:fldCharType="end"/>
        </w:r>
      </w:hyperlink>
    </w:p>
    <w:p w14:paraId="7DE6EAAB" w14:textId="77777777" w:rsidR="00F270FB" w:rsidRDefault="00000000">
      <w:pPr>
        <w:pStyle w:val="TM1"/>
        <w:tabs>
          <w:tab w:val="right" w:leader="dot" w:pos="9062"/>
        </w:tabs>
        <w:rPr>
          <w:rFonts w:eastAsiaTheme="minorEastAsia"/>
          <w:noProof/>
          <w:lang w:eastAsia="fr-FR"/>
        </w:rPr>
      </w:pPr>
      <w:hyperlink w:anchor="_Toc2431232100" w:history="1">
        <w:r>
          <w:rPr>
            <w:rStyle w:val="Lienhypertexte"/>
            <w:noProof/>
          </w:rPr>
          <w:t xml:space="preserve">Chapitre 4 : Les instruments de la politique monétaire : politique monétaire traditionnelle et politiques non conventionnelles</w:t>
        </w:r>
        <w:r>
          <w:rPr>
            <w:noProof/>
            <w:webHidden/>
          </w:rPr>
          <w:tab/>
          <w:fldChar w:fldCharType="begin"/>
          <w:instrText xml:space="preserve"> PAGEREF _Toc2431232100 \h </w:instrText>
          <w:fldChar w:fldCharType="separate"/>
          <w:t>42</w:t>
          <w:fldChar w:fldCharType="end"/>
        </w:r>
      </w:hyperlink>
    </w:p>
    <w:p w14:paraId="33D9B136" w14:textId="77777777" w:rsidR="00F270FB" w:rsidRDefault="00000000">
      <w:pPr>
        <w:pStyle w:val="TM2"/>
        <w:tabs>
          <w:tab w:val="right" w:leader="dot" w:pos="9062"/>
        </w:tabs>
        <w:rPr>
          <w:rFonts w:eastAsiaTheme="minorEastAsia"/>
          <w:noProof/>
          <w:lang w:eastAsia="fr-FR"/>
        </w:rPr>
      </w:pPr>
      <w:hyperlink w:anchor="_Toc2431232101" w:history="1">
        <w:r>
          <w:rPr>
            <w:rStyle w:val="Lienhypertexte"/>
            <w:noProof/>
          </w:rPr>
          <w:t xml:space="preserve">Introduction</w:t>
        </w:r>
        <w:r>
          <w:rPr>
            <w:noProof/>
            <w:webHidden/>
          </w:rPr>
          <w:tab/>
          <w:fldChar w:fldCharType="begin"/>
          <w:instrText xml:space="preserve"> PAGEREF _Toc2431232101 \h </w:instrText>
          <w:fldChar w:fldCharType="separate"/>
          <w:t>42</w:t>
          <w:fldChar w:fldCharType="end"/>
        </w:r>
      </w:hyperlink>
    </w:p>
    <w:p w14:paraId="605DBFDB" w14:textId="77777777" w:rsidR="00F270FB" w:rsidRDefault="00000000">
      <w:pPr>
        <w:pStyle w:val="TM2"/>
        <w:tabs>
          <w:tab w:val="right" w:leader="dot" w:pos="9062"/>
        </w:tabs>
        <w:rPr>
          <w:rFonts w:eastAsiaTheme="minorEastAsia"/>
          <w:noProof/>
          <w:lang w:eastAsia="fr-FR"/>
        </w:rPr>
      </w:pPr>
      <w:hyperlink w:anchor="_Toc2431232102" w:history="1">
        <w:r>
          <w:rPr>
            <w:rStyle w:val="Lienhypertexte"/>
            <w:noProof/>
          </w:rPr>
          <w:t xml:space="preserve">I – Quelques notions théoriques</w:t>
        </w:r>
        <w:r>
          <w:rPr>
            <w:noProof/>
            <w:webHidden/>
          </w:rPr>
          <w:tab/>
          <w:fldChar w:fldCharType="begin"/>
          <w:instrText xml:space="preserve"> PAGEREF _Toc2431232102 \h </w:instrText>
          <w:fldChar w:fldCharType="separate"/>
          <w:t>42</w:t>
          <w:fldChar w:fldCharType="end"/>
        </w:r>
      </w:hyperlink>
    </w:p>
    <w:p w14:paraId="658C8DF0" w14:textId="77777777" w:rsidR="00F270FB" w:rsidRDefault="00000000">
      <w:pPr>
        <w:pStyle w:val="TM3"/>
        <w:tabs>
          <w:tab w:val="right" w:leader="dot" w:pos="9062"/>
        </w:tabs>
        <w:rPr>
          <w:rFonts w:eastAsiaTheme="minorEastAsia"/>
          <w:noProof/>
          <w:color w:val="auto"/>
          <w:sz w:val="24"/>
          <w:szCs w:val="24"/>
          <w:lang w:eastAsia="fr-FR"/>
        </w:rPr>
      </w:pPr>
      <w:hyperlink w:anchor="_Toc2431232103" w:history="1">
        <w:r>
          <w:rPr>
            <w:rStyle w:val="Lienhypertexte"/>
            <w:noProof/>
          </w:rPr>
          <w:t xml:space="preserve">1°) La théorie quantitative de la monnaie</w:t>
        </w:r>
        <w:r>
          <w:rPr>
            <w:noProof/>
            <w:webHidden/>
          </w:rPr>
          <w:tab/>
          <w:fldChar w:fldCharType="begin"/>
          <w:instrText xml:space="preserve"> PAGEREF _Toc2431232103 \h </w:instrText>
          <w:fldChar w:fldCharType="separate"/>
          <w:t>42</w:t>
          <w:fldChar w:fldCharType="end"/>
        </w:r>
      </w:hyperlink>
    </w:p>
    <w:p w14:paraId="287B20C7" w14:textId="77777777" w:rsidR="00F270FB" w:rsidRDefault="00000000">
      <w:pPr>
        <w:pStyle w:val="TM3"/>
        <w:tabs>
          <w:tab w:val="right" w:leader="dot" w:pos="9062"/>
        </w:tabs>
        <w:rPr>
          <w:rFonts w:eastAsiaTheme="minorEastAsia"/>
          <w:noProof/>
          <w:color w:val="auto"/>
          <w:sz w:val="24"/>
          <w:szCs w:val="24"/>
          <w:lang w:eastAsia="fr-FR"/>
        </w:rPr>
      </w:pPr>
      <w:hyperlink w:anchor="_Toc2431232104" w:history="1">
        <w:r>
          <w:rPr>
            <w:rStyle w:val="Lienhypertexte"/>
            <w:noProof/>
          </w:rPr>
          <w:t xml:space="preserve">2°) Le multiplicateur de crédit</w:t>
        </w:r>
        <w:r>
          <w:rPr>
            <w:noProof/>
            <w:webHidden/>
          </w:rPr>
          <w:tab/>
          <w:fldChar w:fldCharType="begin"/>
          <w:instrText xml:space="preserve"> PAGEREF _Toc2431232104 \h </w:instrText>
          <w:fldChar w:fldCharType="separate"/>
          <w:t>43</w:t>
          <w:fldChar w:fldCharType="end"/>
        </w:r>
      </w:hyperlink>
    </w:p>
    <w:p w14:paraId="15B39DEC" w14:textId="77777777" w:rsidR="00F270FB" w:rsidRDefault="00000000">
      <w:pPr>
        <w:pStyle w:val="TM3"/>
        <w:tabs>
          <w:tab w:val="right" w:leader="dot" w:pos="9062"/>
        </w:tabs>
        <w:rPr>
          <w:rFonts w:eastAsiaTheme="minorEastAsia"/>
          <w:noProof/>
          <w:color w:val="auto"/>
          <w:sz w:val="24"/>
          <w:szCs w:val="24"/>
          <w:lang w:eastAsia="fr-FR"/>
        </w:rPr>
      </w:pPr>
      <w:hyperlink w:anchor="_Toc2431232105" w:history="1">
        <w:r>
          <w:rPr>
            <w:rStyle w:val="Lienhypertexte"/>
            <w:noProof/>
          </w:rPr>
          <w:t xml:space="preserve">3°) Le diviseur de crédit</w:t>
        </w:r>
        <w:r>
          <w:rPr>
            <w:noProof/>
            <w:webHidden/>
          </w:rPr>
          <w:tab/>
          <w:fldChar w:fldCharType="begin"/>
          <w:instrText xml:space="preserve"> PAGEREF _Toc2431232105 \h </w:instrText>
          <w:fldChar w:fldCharType="separate"/>
          <w:t>44</w:t>
          <w:fldChar w:fldCharType="end"/>
        </w:r>
      </w:hyperlink>
    </w:p>
    <w:p w14:paraId="4288CC9E" w14:textId="77777777" w:rsidR="00F270FB" w:rsidRDefault="00000000">
      <w:pPr>
        <w:pStyle w:val="TM2"/>
        <w:tabs>
          <w:tab w:val="right" w:leader="dot" w:pos="9062"/>
        </w:tabs>
        <w:rPr>
          <w:rFonts w:eastAsiaTheme="minorEastAsia"/>
          <w:noProof/>
          <w:lang w:eastAsia="fr-FR"/>
        </w:rPr>
      </w:pPr>
      <w:hyperlink w:anchor="_Toc2431232106" w:history="1">
        <w:r>
          <w:rPr>
            <w:rStyle w:val="Lienhypertexte"/>
            <w:noProof/>
          </w:rPr>
          <w:t xml:space="preserve">II – Les instruments traditionnels de la politique monétaire</w:t>
        </w:r>
        <w:r>
          <w:rPr>
            <w:noProof/>
            <w:webHidden/>
          </w:rPr>
          <w:tab/>
          <w:fldChar w:fldCharType="begin"/>
          <w:instrText xml:space="preserve"> PAGEREF _Toc2431232106 \h </w:instrText>
          <w:fldChar w:fldCharType="separate"/>
          <w:t>45</w:t>
          <w:fldChar w:fldCharType="end"/>
        </w:r>
      </w:hyperlink>
    </w:p>
    <w:p w14:paraId="5F4D46D0" w14:textId="77777777" w:rsidR="00F270FB" w:rsidRDefault="00000000">
      <w:pPr>
        <w:pStyle w:val="TM3"/>
        <w:tabs>
          <w:tab w:val="right" w:leader="dot" w:pos="9062"/>
        </w:tabs>
        <w:rPr>
          <w:rFonts w:eastAsiaTheme="minorEastAsia"/>
          <w:noProof/>
          <w:color w:val="auto"/>
          <w:sz w:val="24"/>
          <w:szCs w:val="24"/>
          <w:lang w:eastAsia="fr-FR"/>
        </w:rPr>
      </w:pPr>
      <w:hyperlink w:anchor="_Toc2431232107" w:history="1">
        <w:r>
          <w:rPr>
            <w:rStyle w:val="Lienhypertexte"/>
            <w:noProof/>
          </w:rPr>
          <w:t xml:space="preserve">1°) Les taux d'intérêt directeurs</w:t>
        </w:r>
        <w:r>
          <w:rPr>
            <w:noProof/>
            <w:webHidden/>
          </w:rPr>
          <w:tab/>
          <w:fldChar w:fldCharType="begin"/>
          <w:instrText xml:space="preserve"> PAGEREF _Toc2431232107 \h </w:instrText>
          <w:fldChar w:fldCharType="separate"/>
          <w:t>46</w:t>
          <w:fldChar w:fldCharType="end"/>
        </w:r>
      </w:hyperlink>
    </w:p>
    <w:p w14:paraId="2056456C" w14:textId="77777777" w:rsidR="00F270FB" w:rsidRDefault="00000000">
      <w:pPr>
        <w:pStyle w:val="TM3"/>
        <w:tabs>
          <w:tab w:val="right" w:leader="dot" w:pos="9062"/>
        </w:tabs>
        <w:rPr>
          <w:rFonts w:eastAsiaTheme="minorEastAsia"/>
          <w:noProof/>
          <w:color w:val="auto"/>
          <w:sz w:val="24"/>
          <w:szCs w:val="24"/>
          <w:lang w:eastAsia="fr-FR"/>
        </w:rPr>
      </w:pPr>
      <w:hyperlink w:anchor="_Toc2431232108" w:history="1">
        <w:r>
          <w:rPr>
            <w:rStyle w:val="Lienhypertexte"/>
            <w:noProof/>
          </w:rPr>
          <w:t xml:space="preserve">2°) Les réserves obligatoires</w:t>
        </w:r>
        <w:r>
          <w:rPr>
            <w:noProof/>
            <w:webHidden/>
          </w:rPr>
          <w:tab/>
          <w:fldChar w:fldCharType="begin"/>
          <w:instrText xml:space="preserve"> PAGEREF _Toc2431232108 \h </w:instrText>
          <w:fldChar w:fldCharType="separate"/>
          <w:t>47</w:t>
          <w:fldChar w:fldCharType="end"/>
        </w:r>
      </w:hyperlink>
    </w:p>
    <w:p w14:paraId="72272AA0" w14:textId="77777777" w:rsidR="00F270FB" w:rsidRDefault="00000000">
      <w:pPr>
        <w:pStyle w:val="TM3"/>
        <w:tabs>
          <w:tab w:val="right" w:leader="dot" w:pos="9062"/>
        </w:tabs>
        <w:rPr>
          <w:rFonts w:eastAsiaTheme="minorEastAsia"/>
          <w:noProof/>
          <w:color w:val="auto"/>
          <w:sz w:val="24"/>
          <w:szCs w:val="24"/>
          <w:lang w:eastAsia="fr-FR"/>
        </w:rPr>
      </w:pPr>
      <w:hyperlink w:anchor="_Toc2431232109" w:history="1">
        <w:r>
          <w:rPr>
            <w:rStyle w:val="Lienhypertexte"/>
            <w:noProof/>
          </w:rPr>
          <w:t xml:space="preserve">3°) Les canaux de transmission de la politique monétaire</w:t>
        </w:r>
        <w:r>
          <w:rPr>
            <w:noProof/>
            <w:webHidden/>
          </w:rPr>
          <w:tab/>
          <w:fldChar w:fldCharType="begin"/>
          <w:instrText xml:space="preserve"> PAGEREF _Toc2431232109 \h </w:instrText>
          <w:fldChar w:fldCharType="separate"/>
          <w:t>48</w:t>
          <w:fldChar w:fldCharType="end"/>
        </w:r>
      </w:hyperlink>
    </w:p>
    <w:p w14:paraId="327D0F9B" w14:textId="77777777" w:rsidR="00F270FB" w:rsidRDefault="00000000">
      <w:pPr>
        <w:pStyle w:val="TM3"/>
        <w:tabs>
          <w:tab w:val="right" w:leader="dot" w:pos="9062"/>
        </w:tabs>
        <w:rPr>
          <w:rFonts w:eastAsiaTheme="minorEastAsia"/>
          <w:noProof/>
          <w:color w:val="auto"/>
          <w:sz w:val="24"/>
          <w:szCs w:val="24"/>
          <w:lang w:eastAsia="fr-FR"/>
        </w:rPr>
      </w:pPr>
      <w:hyperlink w:anchor="_Toc2431232110" w:history="1">
        <w:r>
          <w:rPr>
            <w:rStyle w:val="Lienhypertexte"/>
            <w:noProof/>
          </w:rPr>
          <w:t xml:space="preserve">4°) Les règles de politique monétaire</w:t>
        </w:r>
        <w:r>
          <w:rPr>
            <w:noProof/>
            <w:webHidden/>
          </w:rPr>
          <w:tab/>
          <w:fldChar w:fldCharType="begin"/>
          <w:instrText xml:space="preserve"> PAGEREF _Toc2431232110 \h </w:instrText>
          <w:fldChar w:fldCharType="separate"/>
          <w:t>51</w:t>
          <w:fldChar w:fldCharType="end"/>
        </w:r>
      </w:hyperlink>
    </w:p>
    <w:p w14:paraId="65667AAE" w14:textId="77777777" w:rsidR="00F270FB" w:rsidRDefault="00000000">
      <w:pPr>
        <w:pStyle w:val="TM2"/>
        <w:tabs>
          <w:tab w:val="right" w:leader="dot" w:pos="9062"/>
        </w:tabs>
        <w:rPr>
          <w:rFonts w:eastAsiaTheme="minorEastAsia"/>
          <w:noProof/>
          <w:lang w:eastAsia="fr-FR"/>
        </w:rPr>
      </w:pPr>
      <w:hyperlink w:anchor="_Toc2431232111" w:history="1">
        <w:r>
          <w:rPr>
            <w:rStyle w:val="Lienhypertexte"/>
            <w:noProof/>
          </w:rPr>
          <w:t xml:space="preserve">III – Les années 2010 : des politiques traditionnelles aux politiques non conventionnelles</w:t>
        </w:r>
        <w:r>
          <w:rPr>
            <w:noProof/>
            <w:webHidden/>
          </w:rPr>
          <w:tab/>
          <w:fldChar w:fldCharType="begin"/>
          <w:instrText xml:space="preserve"> PAGEREF _Toc2431232111 \h </w:instrText>
          <w:fldChar w:fldCharType="separate"/>
          <w:t>53</w:t>
          <w:fldChar w:fldCharType="end"/>
        </w:r>
      </w:hyperlink>
    </w:p>
    <w:p w14:paraId="7D9BA9AF" w14:textId="77777777" w:rsidR="00F270FB" w:rsidRDefault="00000000">
      <w:pPr>
        <w:pStyle w:val="TM3"/>
        <w:tabs>
          <w:tab w:val="right" w:leader="dot" w:pos="9062"/>
        </w:tabs>
        <w:rPr>
          <w:rFonts w:eastAsiaTheme="minorEastAsia"/>
          <w:noProof/>
          <w:color w:val="auto"/>
          <w:sz w:val="24"/>
          <w:szCs w:val="24"/>
          <w:lang w:eastAsia="fr-FR"/>
        </w:rPr>
      </w:pPr>
      <w:hyperlink w:anchor="_Toc2431232112" w:history="1">
        <w:r>
          <w:rPr>
            <w:rStyle w:val="Lienhypertexte"/>
            <w:noProof/>
          </w:rPr>
          <w:t xml:space="preserve">1°) La crise de 2008 : une forte baisse des taux d'intérêt directeurs</w:t>
        </w:r>
        <w:r>
          <w:rPr>
            <w:noProof/>
            <w:webHidden/>
          </w:rPr>
          <w:tab/>
          <w:fldChar w:fldCharType="begin"/>
          <w:instrText xml:space="preserve"> PAGEREF _Toc2431232112 \h </w:instrText>
          <w:fldChar w:fldCharType="separate"/>
          <w:t>53</w:t>
          <w:fldChar w:fldCharType="end"/>
        </w:r>
      </w:hyperlink>
    </w:p>
    <w:p w14:paraId="17BDE91A" w14:textId="77777777" w:rsidR="00F270FB" w:rsidRDefault="00000000">
      <w:pPr>
        <w:pStyle w:val="TM3"/>
        <w:tabs>
          <w:tab w:val="right" w:leader="dot" w:pos="9062"/>
        </w:tabs>
        <w:rPr>
          <w:rFonts w:eastAsiaTheme="minorEastAsia"/>
          <w:noProof/>
          <w:color w:val="auto"/>
          <w:sz w:val="24"/>
          <w:szCs w:val="24"/>
          <w:lang w:eastAsia="fr-FR"/>
        </w:rPr>
      </w:pPr>
      <w:hyperlink w:anchor="_Toc2431232113" w:history="1">
        <w:r>
          <w:rPr>
            <w:rStyle w:val="Lienhypertexte"/>
            <w:noProof/>
          </w:rPr>
          <w:t xml:space="preserve">2°) Les années 2010 : les politiques monétaires non conventionnelles</w:t>
        </w:r>
        <w:r>
          <w:rPr>
            <w:noProof/>
            <w:webHidden/>
          </w:rPr>
          <w:tab/>
          <w:fldChar w:fldCharType="begin"/>
          <w:instrText xml:space="preserve"> PAGEREF _Toc2431232113 \h </w:instrText>
          <w:fldChar w:fldCharType="separate"/>
          <w:t>54</w:t>
          <w:fldChar w:fldCharType="end"/>
        </w:r>
      </w:hyperlink>
    </w:p>
    <w:p w14:paraId="7F5EC74D" w14:textId="77777777" w:rsidR="00F270FB" w:rsidRDefault="00000000">
      <w:pPr>
        <w:pStyle w:val="TM3"/>
        <w:tabs>
          <w:tab w:val="right" w:leader="dot" w:pos="9062"/>
        </w:tabs>
        <w:rPr>
          <w:rFonts w:eastAsiaTheme="minorEastAsia"/>
          <w:noProof/>
          <w:color w:val="auto"/>
          <w:sz w:val="24"/>
          <w:szCs w:val="24"/>
          <w:lang w:eastAsia="fr-FR"/>
        </w:rPr>
      </w:pPr>
      <w:hyperlink w:anchor="_Toc2431232114" w:history="1">
        <w:r>
          <w:rPr>
            <w:rStyle w:val="Lienhypertexte"/>
            <w:noProof/>
          </w:rPr>
          <w:t xml:space="preserve">3°) Exemple de la Banque centrale européenne : le programme d'achat de titres étendu</w:t>
        </w:r>
        <w:r>
          <w:rPr>
            <w:noProof/>
            <w:webHidden/>
          </w:rPr>
          <w:tab/>
          <w:fldChar w:fldCharType="begin"/>
          <w:instrText xml:space="preserve"> PAGEREF _Toc2431232114 \h </w:instrText>
          <w:fldChar w:fldCharType="separate"/>
          <w:t>55</w:t>
          <w:fldChar w:fldCharType="end"/>
        </w:r>
      </w:hyperlink>
    </w:p>
    <w:p w14:paraId="2568F5AE" w14:textId="77777777" w:rsidR="00F270FB" w:rsidRDefault="00000000">
      <w:pPr>
        <w:pStyle w:val="TM2"/>
        <w:tabs>
          <w:tab w:val="right" w:leader="dot" w:pos="9062"/>
        </w:tabs>
        <w:rPr>
          <w:rFonts w:eastAsiaTheme="minorEastAsia"/>
          <w:noProof/>
          <w:lang w:eastAsia="fr-FR"/>
        </w:rPr>
      </w:pPr>
      <w:hyperlink w:anchor="_Toc2431232115" w:history="1">
        <w:r>
          <w:rPr>
            <w:rStyle w:val="Lienhypertexte"/>
            <w:noProof/>
          </w:rPr>
          <w:t xml:space="preserve">IV – La reprise de l'inflation en 2021 : une hausse des taux d'intérêt directeurs</w:t>
        </w:r>
        <w:r>
          <w:rPr>
            <w:noProof/>
            <w:webHidden/>
          </w:rPr>
          <w:tab/>
          <w:fldChar w:fldCharType="begin"/>
          <w:instrText xml:space="preserve"> PAGEREF _Toc2431232115 \h </w:instrText>
          <w:fldChar w:fldCharType="separate"/>
          <w:t>56</w:t>
          <w:fldChar w:fldCharType="end"/>
        </w:r>
      </w:hyperlink>
    </w:p>
    <w:p w14:paraId="680B8EF0" w14:textId="77777777" w:rsidR="00F270FB" w:rsidRDefault="00000000">
      <w:pPr>
        <w:pStyle w:val="TM3"/>
        <w:tabs>
          <w:tab w:val="right" w:leader="dot" w:pos="9062"/>
        </w:tabs>
        <w:rPr>
          <w:rFonts w:eastAsiaTheme="minorEastAsia"/>
          <w:noProof/>
          <w:color w:val="auto"/>
          <w:sz w:val="24"/>
          <w:szCs w:val="24"/>
          <w:lang w:eastAsia="fr-FR"/>
        </w:rPr>
      </w:pPr>
      <w:hyperlink w:anchor="_Toc2431232116" w:history="1">
        <w:r>
          <w:rPr>
            <w:rStyle w:val="Lienhypertexte"/>
            <w:noProof/>
          </w:rPr>
          <w:t xml:space="preserve">1°) Les origines de la reprise de l'inflation</w:t>
        </w:r>
        <w:r>
          <w:rPr>
            <w:noProof/>
            <w:webHidden/>
          </w:rPr>
          <w:tab/>
          <w:fldChar w:fldCharType="begin"/>
          <w:instrText xml:space="preserve"> PAGEREF _Toc2431232116 \h </w:instrText>
          <w:fldChar w:fldCharType="separate"/>
          <w:t>56</w:t>
          <w:fldChar w:fldCharType="end"/>
        </w:r>
      </w:hyperlink>
    </w:p>
    <w:p w14:paraId="614DE622" w14:textId="77777777" w:rsidR="00F270FB" w:rsidRDefault="00000000">
      <w:pPr>
        <w:pStyle w:val="TM3"/>
        <w:tabs>
          <w:tab w:val="right" w:leader="dot" w:pos="9062"/>
        </w:tabs>
        <w:rPr>
          <w:rFonts w:eastAsiaTheme="minorEastAsia"/>
          <w:noProof/>
          <w:color w:val="auto"/>
          <w:sz w:val="24"/>
          <w:szCs w:val="24"/>
          <w:lang w:eastAsia="fr-FR"/>
        </w:rPr>
      </w:pPr>
      <w:hyperlink w:anchor="_Toc2431232117" w:history="1">
        <w:r>
          <w:rPr>
            <w:rStyle w:val="Lienhypertexte"/>
            <w:noProof/>
          </w:rPr>
          <w:t xml:space="preserve">2°) Un retour aux instruments traditionnels de politique monétaire</w:t>
        </w:r>
        <w:r>
          <w:rPr>
            <w:noProof/>
            <w:webHidden/>
          </w:rPr>
          <w:tab/>
          <w:fldChar w:fldCharType="begin"/>
          <w:instrText xml:space="preserve"> PAGEREF _Toc2431232117 \h </w:instrText>
          <w:fldChar w:fldCharType="separate"/>
          <w:t>59</w:t>
          <w:fldChar w:fldCharType="end"/>
        </w:r>
      </w:hyperlink>
    </w:p>
    <w:p w14:paraId="4B773C3B" w14:textId="77777777" w:rsidR="00F270FB" w:rsidRDefault="00000000">
      <w:pPr>
        <w:pStyle w:val="TM2"/>
        <w:tabs>
          <w:tab w:val="right" w:leader="dot" w:pos="9062"/>
        </w:tabs>
        <w:rPr>
          <w:rFonts w:eastAsiaTheme="minorEastAsia"/>
          <w:noProof/>
          <w:lang w:eastAsia="fr-FR"/>
        </w:rPr>
      </w:pPr>
      <w:hyperlink w:anchor="_Toc2431232118" w:history="1">
        <w:r>
          <w:rPr>
            <w:rStyle w:val="Lienhypertexte"/>
            <w:noProof/>
          </w:rPr>
          <w:t xml:space="preserve">Conclusion</w:t>
        </w:r>
        <w:r>
          <w:rPr>
            <w:noProof/>
            <w:webHidden/>
          </w:rPr>
          <w:tab/>
          <w:fldChar w:fldCharType="begin"/>
          <w:instrText xml:space="preserve"> PAGEREF _Toc2431232118 \h </w:instrText>
          <w:fldChar w:fldCharType="separate"/>
          <w:t>61</w:t>
          <w:fldChar w:fldCharType="end"/>
        </w:r>
      </w:hyperlink>
    </w:p>
    <w:p w14:paraId="79A401FD" w14:textId="1BF65CB6" w:rsidR="00F270FB" w:rsidRDefault="00000000">
      <w:pPr>
        <w:pStyle w:val="TM3"/>
        <w:tabs>
          <w:tab w:val="right" w:leader="dot" w:pos="9062"/>
        </w:tabs>
      </w:pPr>
      <w:r>
        <w:fldChar w:fldCharType="end"/>
      </w:r>
    </w:p>
    <w:p w14:paraId="23ED47A4" w14:textId="77777777" w:rsidR="00F270FB" w:rsidRDefault="00000000">
      <w:r>
        <w:br w:type="page"/>
      </w:r>
    </w:p>
    <w:p w14:paraId="60E2144D" w14:textId="77777777" w:rsidR="00073238" w:rsidRDefault="00073238" w:rsidP="00420F25">
      <w:pPr>
        <w:pStyle w:val="Titre1"/>
      </w:pPr>
      <w:bookmarkStart w:id="0" w:name="_Toc243123123"/>
      <w:r>
        <w:lastRenderedPageBreak/>
        <w:t>Introduction générale</w:t>
      </w:r>
      <w:bookmarkEnd w:id="0"/>
    </w:p>
    <w:p w14:paraId="5C31B0E0" w14:textId="77777777" w:rsidR="00073238" w:rsidRDefault="00073238">
      <w:r>
        <w:t xml:space="preserve">Dans toutes les économies modernes, les </w:t>
      </w:r>
      <w:r>
        <w:rPr>
          <w:b/>
          <w:color w:val="2E74B5"/>
          <w:u w:val="single"/>
        </w:rPr>
        <w:t>pouvoirs publics</w:t>
      </w:r>
      <w:r>
        <w:t xml:space="preserve"> interviennent dans l’économie pour l’influencer. On voit cela surtout </w:t>
      </w:r>
      <w:r>
        <w:rPr>
          <w:b/>
          <w:color w:val="2E74B5"/>
          <w:u w:val="single"/>
        </w:rPr>
        <w:t>en crise</w:t>
      </w:r>
      <w:r>
        <w:t xml:space="preserve"> mais présent tout le temps. Ces interventions, c’est la « </w:t>
      </w:r>
      <w:r>
        <w:rPr>
          <w:b/>
          <w:color w:val="2E74B5"/>
          <w:u w:val="single"/>
        </w:rPr>
        <w:t>politique économique</w:t>
      </w:r>
      <w:r>
        <w:t xml:space="preserve"> ». Ces objectifs se résument dans le </w:t>
      </w:r>
      <w:r>
        <w:rPr>
          <w:b/>
          <w:color w:val="2E74B5"/>
          <w:u w:val="single"/>
        </w:rPr>
        <w:t>carré magique de Kaldor</w:t>
      </w:r>
      <w:r>
        <w:t xml:space="preserve">. </w:t>
      </w:r>
    </w:p>
    <w:p w14:paraId="795B7895" w14:textId="77777777" w:rsidR="00073238" w:rsidRDefault="00073238" w:rsidP="00420F25">
      <w:pPr>
        <w:jc w:val="center"/>
      </w:pPr>
      <w:r>
        <w:rPr>
          <w:noProof/>
        </w:rPr>
        <w:drawing>
          <wp:inline distT="0" distB="0" distL="0" distR="0" wp14:anchorId="01999CF3" wp14:editId="1BD9D759">
            <wp:extent cx="3558746" cy="3813529"/>
            <wp:effectExtent l="0" t="0" r="0" b="0"/>
            <wp:docPr id="1144429748" name="Image 1" descr="Le graphique de Nicholas KALDO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29748" name="Image 1" descr="Le graphique de Nicholas KALDOR&#10;"/>
                    <pic:cNvPicPr/>
                  </pic:nvPicPr>
                  <pic:blipFill>
                    <a:blip r:embed="rId8">
                      <a:extLst>
                        <a:ext uri="{BEBA8EAE-BF5A-486C-A8C5-ECC9F3942E4B}">
                          <a14:imgProps xmlns:a14="http://schemas.microsoft.com/office/drawing/2010/main">
                            <a14:imgLayer r:embed="rId9">
                              <a14:imgEffect>
                                <a14:artisticCement/>
                              </a14:imgEffect>
                            </a14:imgLayer>
                          </a14:imgProps>
                        </a:ext>
                      </a:extLst>
                    </a:blip>
                    <a:stretch>
                      <a:fillRect/>
                    </a:stretch>
                  </pic:blipFill>
                  <pic:spPr>
                    <a:xfrm>
                      <a:off x="0" y="0"/>
                      <a:ext cx="3576070" cy="3832094"/>
                    </a:xfrm>
                    <a:prstGeom prst="rect">
                      <a:avLst/>
                    </a:prstGeom>
                  </pic:spPr>
                </pic:pic>
              </a:graphicData>
            </a:graphic>
          </wp:inline>
        </w:drawing>
      </w:r>
    </w:p>
    <w:p w14:paraId="452DEBF5" w14:textId="77777777" w:rsidR="00420F25" w:rsidRDefault="00420F25"/>
    <w:p w14:paraId="0DC1EB33" w14:textId="77777777" w:rsidR="00713377" w:rsidRDefault="00073238">
      <w:r>
        <w:t xml:space="preserve">Nicolas Kaldor explique que les États ont </w:t>
      </w:r>
      <w:r>
        <w:rPr>
          <w:b/>
          <w:bCs/>
          <w:u w:val="single"/>
        </w:rPr>
        <w:t>4 grands objectifs</w:t>
      </w:r>
      <w:r>
        <w:t xml:space="preserve"> : </w:t>
      </w:r>
    </w:p>
    <w:p w14:paraId="6368CB28" w14:textId="77777777" w:rsidR="00713377" w:rsidRDefault="00713377" w:rsidP="00713377">
      <w:pPr>
        <w:pStyle w:val="Paragraphedeliste"/>
        <w:numPr>
          <w:ilvl w:val="0"/>
          <w:numId w:val="1"/>
        </w:numPr>
      </w:pPr>
      <w:r>
        <w:t xml:space="preserve">La croissance économique (le plus élevé possible), </w:t>
      </w:r>
    </w:p>
    <w:p w14:paraId="4646B03F" w14:textId="77777777" w:rsidR="00713377" w:rsidRDefault="00713377" w:rsidP="00713377">
      <w:pPr>
        <w:pStyle w:val="Paragraphedeliste"/>
        <w:numPr>
          <w:ilvl w:val="0"/>
          <w:numId w:val="1"/>
        </w:numPr>
      </w:pPr>
      <w:r>
        <w:t xml:space="preserve">L’emploi, </w:t>
      </w:r>
    </w:p>
    <w:p w14:paraId="20E43E40" w14:textId="77777777" w:rsidR="00073238" w:rsidRDefault="00713377" w:rsidP="00713377">
      <w:pPr>
        <w:pStyle w:val="Paragraphedeliste"/>
        <w:numPr>
          <w:ilvl w:val="0"/>
          <w:numId w:val="1"/>
        </w:numPr>
      </w:pPr>
      <w:r>
        <w:t>La stabilité des prix : inflation de 2%/an</w:t>
      </w:r>
    </w:p>
    <w:p w14:paraId="6F34DD29" w14:textId="77777777" w:rsidR="00713377" w:rsidRDefault="00713377" w:rsidP="00713377">
      <w:pPr>
        <w:pStyle w:val="Paragraphedeliste"/>
        <w:numPr>
          <w:ilvl w:val="0"/>
          <w:numId w:val="1"/>
        </w:numPr>
      </w:pPr>
      <w:r>
        <w:t>Équilibre du commerce extérieur : chercher l’excédent commercial ou chercher l’équilibre</w:t>
      </w:r>
    </w:p>
    <w:p w14:paraId="5A156BC6" w14:textId="77777777" w:rsidR="00713377" w:rsidRDefault="00713377" w:rsidP="00713377"/>
    <w:p w14:paraId="02D46AC4" w14:textId="77777777" w:rsidR="00713377" w:rsidRDefault="00713377" w:rsidP="00713377"/>
    <w:p w14:paraId="2A10A0E5" w14:textId="77777777" w:rsidR="00713377" w:rsidRDefault="00713377" w:rsidP="00713377"/>
    <w:p w14:paraId="5AF933CE" w14:textId="77777777" w:rsidR="00713377" w:rsidRDefault="00713377" w:rsidP="00713377"/>
    <w:p w14:paraId="254542AD" w14:textId="77777777" w:rsidR="00713377" w:rsidRDefault="00713377" w:rsidP="00713377"/>
    <w:p w14:paraId="6D1B9C58" w14:textId="77777777" w:rsidR="00713377" w:rsidRDefault="00713377" w:rsidP="00713377"/>
    <w:p w14:paraId="5749D055" w14:textId="77777777" w:rsidR="00713377" w:rsidRDefault="00713377" w:rsidP="00713377">
      <w:r>
        <w:t xml:space="preserve">Ce carré magique a un avantage </w:t>
      </w:r>
      <w:r>
        <w:rPr>
          <w:u w:val="single"/>
        </w:rPr>
        <w:t>permet de comparer les périodes et les pays entre eux</w:t>
      </w:r>
      <w:r>
        <w:t xml:space="preserve">. </w:t>
      </w:r>
    </w:p>
    <w:p w14:paraId="45CA2A2A" w14:textId="77777777" w:rsidR="00713377" w:rsidRDefault="00713377" w:rsidP="00420F25">
      <w:pPr>
        <w:jc w:val="center"/>
      </w:pPr>
      <w:r>
        <w:rPr>
          <w:noProof/>
        </w:rPr>
        <w:drawing>
          <wp:inline distT="0" distB="0" distL="0" distR="0" wp14:anchorId="5363354B" wp14:editId="28667E2B">
            <wp:extent cx="4909752" cy="2247056"/>
            <wp:effectExtent l="0" t="0" r="5715" b="1270"/>
            <wp:docPr id="5299669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66936" name=""/>
                    <pic:cNvPicPr/>
                  </pic:nvPicPr>
                  <pic:blipFill>
                    <a:blip r:embed="rId10">
                      <a:extLst>
                        <a:ext uri="{BEBA8EAE-BF5A-486C-A8C5-ECC9F3942E4B}">
                          <a14:imgProps xmlns:a14="http://schemas.microsoft.com/office/drawing/2010/main">
                            <a14:imgLayer r:embed="rId11">
                              <a14:imgEffect>
                                <a14:artisticCement/>
                              </a14:imgEffect>
                            </a14:imgLayer>
                          </a14:imgProps>
                        </a:ext>
                      </a:extLst>
                    </a:blip>
                    <a:stretch>
                      <a:fillRect/>
                    </a:stretch>
                  </pic:blipFill>
                  <pic:spPr>
                    <a:xfrm>
                      <a:off x="0" y="0"/>
                      <a:ext cx="4928817" cy="2255782"/>
                    </a:xfrm>
                    <a:prstGeom prst="rect">
                      <a:avLst/>
                    </a:prstGeom>
                  </pic:spPr>
                </pic:pic>
              </a:graphicData>
            </a:graphic>
          </wp:inline>
        </w:drawing>
      </w:r>
    </w:p>
    <w:p w14:paraId="77C06C90" w14:textId="77777777" w:rsidR="00713377" w:rsidRDefault="00713377" w:rsidP="00713377"/>
    <w:p w14:paraId="2C11D251" w14:textId="77777777" w:rsidR="00713377" w:rsidRDefault="00713377" w:rsidP="00713377">
      <w:r>
        <w:t xml:space="preserve">Ce ne sont pas les seuls objectifs car depuis les années 90 de nouveaux sont apparus : </w:t>
      </w:r>
    </w:p>
    <w:p w14:paraId="42BE2699" w14:textId="77777777" w:rsidR="00713377" w:rsidRPr="00824CB6" w:rsidRDefault="00713377" w:rsidP="00713377">
      <w:pPr>
        <w:pStyle w:val="Paragraphedeliste"/>
        <w:numPr>
          <w:ilvl w:val="0"/>
          <w:numId w:val="2"/>
        </w:numPr>
        <w:rPr>
          <w:b/>
          <w:bCs/>
          <w:color w:val="0F9ED5" w:themeColor="accent4"/>
          <w:highlight w:val="yellow"/>
        </w:rPr>
      </w:pPr>
      <w:r>
        <w:rPr>
          <w:b/>
          <w:bCs/>
          <w:color w:val="0F9ED5" w:themeColor="accent4"/>
          <w:highlight w:val="yellow"/>
        </w:rPr>
        <w:t xml:space="preserve">Réductions des inégalités </w:t>
      </w:r>
    </w:p>
    <w:p w14:paraId="13DB85C4" w14:textId="77777777" w:rsidR="00713377" w:rsidRPr="00420F25" w:rsidRDefault="00713377" w:rsidP="00713377">
      <w:pPr>
        <w:pStyle w:val="Paragraphedeliste"/>
        <w:numPr>
          <w:ilvl w:val="0"/>
          <w:numId w:val="2"/>
        </w:numPr>
        <w:rPr>
          <w:b/>
          <w:bCs/>
          <w:color w:val="0F9ED5" w:themeColor="accent4"/>
        </w:rPr>
      </w:pPr>
      <w:r>
        <w:rPr>
          <w:b/>
          <w:bCs/>
          <w:color w:val="0F9ED5" w:themeColor="accent4"/>
        </w:rPr>
        <w:t>Soutenabilité des finances publiques</w:t>
      </w:r>
    </w:p>
    <w:p w14:paraId="67A75CEF" w14:textId="77777777" w:rsidR="00713377" w:rsidRPr="00824CB6" w:rsidRDefault="00713377" w:rsidP="00713377">
      <w:pPr>
        <w:pStyle w:val="Paragraphedeliste"/>
        <w:numPr>
          <w:ilvl w:val="0"/>
          <w:numId w:val="2"/>
        </w:numPr>
        <w:rPr>
          <w:b/>
          <w:bCs/>
          <w:color w:val="0F9ED5" w:themeColor="accent4"/>
          <w:highlight w:val="yellow"/>
        </w:rPr>
      </w:pPr>
      <w:r>
        <w:rPr>
          <w:b/>
          <w:bCs/>
          <w:color w:val="0F9ED5" w:themeColor="accent4"/>
          <w:highlight w:val="yellow"/>
        </w:rPr>
        <w:t xml:space="preserve">Transition écologique </w:t>
      </w:r>
    </w:p>
    <w:p w14:paraId="1AA52786" w14:textId="77777777" w:rsidR="00713377" w:rsidRDefault="00713377" w:rsidP="00713377">
      <w:r>
        <w:t xml:space="preserve">Ces 4 objectifs </w:t>
      </w:r>
      <w:r>
        <w:rPr>
          <w:color w:val="EE0000"/>
        </w:rPr>
        <w:t>ne sont pas tjrs compatibles entre eux </w:t>
      </w:r>
      <w:r>
        <w:t xml:space="preserve">; si on mène une politique pour réduire le chômage, il y a un risque que cela augmente l’inflation. Et inversement. </w:t>
      </w:r>
    </w:p>
    <w:p w14:paraId="4CEA0C55" w14:textId="77777777" w:rsidR="00713377" w:rsidRDefault="00205323" w:rsidP="00713377">
      <w:r>
        <w:rPr>
          <w:b/>
          <w:bCs/>
          <w:u w:val="single"/>
        </w:rPr>
        <w:t>Deux classements de politique économique</w:t>
      </w:r>
      <w:r>
        <w:t> :</w:t>
      </w:r>
    </w:p>
    <w:p w14:paraId="49E7EBC0" w14:textId="77777777" w:rsidR="00713377" w:rsidRDefault="00713377" w:rsidP="00713377">
      <w:r>
        <w:rPr>
          <w:b/>
          <w:bCs/>
          <w:color w:val="EE0000"/>
        </w:rPr>
        <w:t>Par outil</w:t>
      </w:r>
      <w:r>
        <w:rPr>
          <w:color w:val="EE0000"/>
        </w:rPr>
        <w:t> </w:t>
      </w:r>
      <w:r>
        <w:t xml:space="preserve">: il y a deux principaux outils : </w:t>
      </w:r>
      <w:r>
        <w:rPr>
          <w:b/>
          <w:bCs/>
        </w:rPr>
        <w:t>politique budgétaire</w:t>
      </w:r>
      <w:r>
        <w:t xml:space="preserve"> (consiste à utiliser le budget de l’état pour influencer la conjoncture économique : il y a dépenses publiques, prélèvements fiscaux, endettement publics) =&gt; </w:t>
      </w:r>
      <w:r>
        <w:rPr>
          <w:u w:val="single"/>
        </w:rPr>
        <w:t>État</w:t>
      </w:r>
      <w:r>
        <w:t xml:space="preserve">, </w:t>
      </w:r>
      <w:r>
        <w:rPr>
          <w:b/>
          <w:bCs/>
        </w:rPr>
        <w:t>monétaire</w:t>
      </w:r>
      <w:r>
        <w:t xml:space="preserve"> (réguler la monnaie pour agir sur l’activité économique) =&gt; </w:t>
      </w:r>
      <w:r>
        <w:rPr>
          <w:u w:val="single"/>
        </w:rPr>
        <w:t>BC</w:t>
      </w:r>
    </w:p>
    <w:p w14:paraId="614BFA8B" w14:textId="77777777" w:rsidR="00205323" w:rsidRDefault="00205323" w:rsidP="00713377">
      <w:r>
        <w:rPr>
          <w:b/>
          <w:bCs/>
          <w:color w:val="EE0000"/>
        </w:rPr>
        <w:t>Par horizon temporel</w:t>
      </w:r>
      <w:r>
        <w:rPr>
          <w:color w:val="EE0000"/>
        </w:rPr>
        <w:t> </w:t>
      </w:r>
      <w:r>
        <w:t xml:space="preserve">: </w:t>
      </w:r>
      <w:r>
        <w:rPr>
          <w:b/>
          <w:bCs/>
        </w:rPr>
        <w:t>politique conjoncturel</w:t>
      </w:r>
      <w:r>
        <w:t xml:space="preserve"> (agit sur le court terme) et </w:t>
      </w:r>
      <w:r>
        <w:rPr>
          <w:b/>
          <w:bCs/>
        </w:rPr>
        <w:t>structurelle</w:t>
      </w:r>
      <w:r>
        <w:t xml:space="preserve"> (agit sur le long terme). </w:t>
      </w:r>
    </w:p>
    <w:p w14:paraId="3AD77F83" w14:textId="77777777" w:rsidR="00205323" w:rsidRDefault="00205323" w:rsidP="00713377"/>
    <w:p w14:paraId="78439655" w14:textId="77777777" w:rsidR="00420F25" w:rsidRDefault="00420F25" w:rsidP="00713377"/>
    <w:p w14:paraId="53EB4199" w14:textId="77777777" w:rsidR="00420F25" w:rsidRPr="00073238" w:rsidRDefault="00420F25" w:rsidP="00713377"/>
    <w:p w14:paraId="03407B0E" w14:textId="77777777" w:rsidR="00420F25" w:rsidRPr="00420F25" w:rsidRDefault="00073238" w:rsidP="00420F25">
      <w:pPr>
        <w:pStyle w:val="Titre1"/>
      </w:pPr>
      <w:bookmarkStart w:id="1" w:name="_Toc243123124"/>
      <w:r>
        <w:lastRenderedPageBreak/>
        <w:t>Chapitre 1 : Fonctionnement et limites de la politique budgétaire</w:t>
      </w:r>
      <w:bookmarkEnd w:id="1"/>
    </w:p>
    <w:p w14:paraId="5BBD6DD9" w14:textId="77777777" w:rsidR="00420F25" w:rsidRDefault="00420F25"/>
    <w:p w14:paraId="0D2C0CA8" w14:textId="77777777" w:rsidR="006D02D3" w:rsidRDefault="006D02D3">
      <w:r>
        <w:t>Jusque dans les années 1930 : les dépenses publiques ne sont pas considérées comme pouvant influencer l’activité. Le budget de l’état servait de financer les fonctions régaliennes (sécurité intérieure, justice, sécurité extérieure). Puis depuis elle s’est élargie pour comprendre aussi la protection sociale, les travaux publics, l’éducation, …</w:t>
      </w:r>
    </w:p>
    <w:p w14:paraId="6DEE45F2" w14:textId="77777777" w:rsidR="006D02D3" w:rsidRPr="006D02D3" w:rsidRDefault="006D02D3" w:rsidP="006D02D3">
      <w:pPr>
        <w:rPr>
          <w:b/>
          <w:bCs/>
          <w:u w:val="single"/>
        </w:rPr>
      </w:pPr>
      <w:r>
        <w:rPr>
          <w:b/>
          <w:bCs/>
          <w:u w:val="single"/>
        </w:rPr>
        <w:t xml:space="preserve">Loi des débouchés : </w:t>
      </w:r>
    </w:p>
    <w:p w14:paraId="68FE489A" w14:textId="77777777" w:rsidR="00420F25" w:rsidRDefault="006D02D3" w:rsidP="006D02D3">
      <w:r>
        <w:rPr>
          <w:color w:val="4EA72E" w:themeColor="accent6"/>
          <w:u w:val="single"/>
        </w:rPr>
        <w:t>Hypothèse</w:t>
      </w:r>
      <w:r>
        <w:rPr>
          <w:color w:val="4EA72E" w:themeColor="accent6"/>
        </w:rPr>
        <w:t xml:space="preserve"> </w:t>
      </w:r>
      <w:r>
        <w:t>:</w:t>
      </w:r>
    </w:p>
    <w:p w14:paraId="7E34272A" w14:textId="77777777" w:rsidR="00420F25" w:rsidRDefault="00420F25" w:rsidP="00420F25">
      <w:pPr>
        <w:pStyle w:val="Paragraphedeliste"/>
        <w:numPr>
          <w:ilvl w:val="0"/>
          <w:numId w:val="13"/>
        </w:numPr>
      </w:pPr>
      <w:r>
        <w:t>Les produits s’échangent contre des produits,</w:t>
      </w:r>
    </w:p>
    <w:p w14:paraId="31CF73B0" w14:textId="77777777" w:rsidR="00420F25" w:rsidRDefault="006D02D3" w:rsidP="006D02D3">
      <w:pPr>
        <w:pStyle w:val="Paragraphedeliste"/>
        <w:numPr>
          <w:ilvl w:val="0"/>
          <w:numId w:val="13"/>
        </w:numPr>
      </w:pPr>
      <w:r>
        <w:t>La production crée des débouchés aux produits,</w:t>
      </w:r>
    </w:p>
    <w:p w14:paraId="7E960352" w14:textId="77777777" w:rsidR="006D02D3" w:rsidRDefault="006D02D3" w:rsidP="006D02D3">
      <w:pPr>
        <w:pStyle w:val="Paragraphedeliste"/>
        <w:numPr>
          <w:ilvl w:val="0"/>
          <w:numId w:val="13"/>
        </w:numPr>
      </w:pPr>
      <w:r>
        <w:t>Il ne peut pas y avoir une crise générale de surproduction</w:t>
      </w:r>
    </w:p>
    <w:p w14:paraId="5C0A5F91" w14:textId="77777777" w:rsidR="00420F25" w:rsidRDefault="00420F25" w:rsidP="006D02D3">
      <w:pPr>
        <w:rPr>
          <w:b/>
          <w:bCs/>
        </w:rPr>
      </w:pPr>
    </w:p>
    <w:p w14:paraId="15012468" w14:textId="77777777" w:rsidR="006D02D3" w:rsidRDefault="006D02D3" w:rsidP="006D02D3">
      <w:r>
        <w:rPr>
          <w:b/>
          <w:bCs/>
        </w:rPr>
        <w:t>Pour les classiques</w:t>
      </w:r>
      <w:r>
        <w:t xml:space="preserve">, le chômage était </w:t>
      </w:r>
      <w:r>
        <w:rPr>
          <w:b/>
          <w:bCs/>
          <w:color w:val="EE0000"/>
        </w:rPr>
        <w:t>volontaire</w:t>
      </w:r>
      <w:r>
        <w:t xml:space="preserve">. </w:t>
      </w:r>
    </w:p>
    <w:p w14:paraId="67DE5E61" w14:textId="6F0556D9" w:rsidR="0098639A" w:rsidRDefault="006D02D3" w:rsidP="0098639A">
      <w:r>
        <w:rPr>
          <w:u w:val="single"/>
        </w:rPr>
        <w:t>Crise de 1929</w:t>
      </w:r>
      <w:r>
        <w:t xml:space="preserve"> : crise de surproduction générale, la production baisse dans 30% dans les pays ; le chômage augmente très fortement =&gt; Keynes</w:t>
      </w:r>
    </w:p>
    <w:p w14:paraId="58D79CB5" w14:textId="77777777" w:rsidR="00420F25" w:rsidRDefault="00420F25" w:rsidP="0098639A"/>
    <w:p w14:paraId="62A3B40D" w14:textId="77777777" w:rsidR="0098639A" w:rsidRDefault="0098639A" w:rsidP="0098639A">
      <w:pPr>
        <w:pStyle w:val="Titre2"/>
      </w:pPr>
      <w:bookmarkStart w:id="2" w:name="_Toc243123125"/>
      <w:r>
        <w:t>I – Fonctionnement de la politique budgétaire : la théorie keynésienne</w:t>
      </w:r>
      <w:bookmarkEnd w:id="2"/>
    </w:p>
    <w:p w14:paraId="3D3F50EE" w14:textId="77777777" w:rsidR="0098639A" w:rsidRDefault="0098639A" w:rsidP="0098639A">
      <w:r>
        <w:t xml:space="preserve">Keynes : il dit que les économistes se trompent et que l’état peut intervenir avec son budget pour mettre fin à une crise. </w:t>
      </w:r>
    </w:p>
    <w:p w14:paraId="41109E1E" w14:textId="77777777" w:rsidR="0098639A" w:rsidRPr="00420F25" w:rsidRDefault="0098639A" w:rsidP="0098639A">
      <w:pPr>
        <w:pStyle w:val="Titre3"/>
      </w:pPr>
      <w:bookmarkStart w:id="3" w:name="_Toc243123126"/>
      <w:r>
        <w:t>1°) La nécessité de l’intervention de l’État</w:t>
      </w:r>
      <w:bookmarkEnd w:id="3"/>
    </w:p>
    <w:p w14:paraId="358EAEB4" w14:textId="77777777" w:rsidR="0098639A" w:rsidRPr="00420F25" w:rsidRDefault="0098639A" w:rsidP="0098639A">
      <w:pPr>
        <w:pStyle w:val="Titre4"/>
      </w:pPr>
      <w:r>
        <w:t>a) Le rejet de la loi de Say</w:t>
      </w:r>
    </w:p>
    <w:p w14:paraId="3DD10602" w14:textId="77777777" w:rsidR="0098639A" w:rsidRDefault="0098639A" w:rsidP="0098639A">
      <w:r>
        <w:t xml:space="preserve">Il dit que la monnaie ne sert pas qu’à acheter des choses, les gens demandent de l’argent pour 3 raisons : la demande de monnaie pour motif de transaction (acheter des choses), précaution (épargne pour faire face aux incertitudes à propos du futur), motif de spéculation (argent conservé pour investir dans les marchés). </w:t>
      </w:r>
    </w:p>
    <w:p w14:paraId="16E053AB" w14:textId="77777777" w:rsidR="0098639A" w:rsidRDefault="0098639A" w:rsidP="0098639A">
      <w:r>
        <w:t>La monnaie peut être demandée pour elle-même. Une partie du revenu est retirée du circuit économique</w:t>
      </w:r>
    </w:p>
    <w:p w14:paraId="36F691E7" w14:textId="77777777" w:rsidR="00A55619" w:rsidRDefault="00A55619" w:rsidP="00A55619">
      <w:pPr>
        <w:pStyle w:val="Paragraphedeliste"/>
        <w:numPr>
          <w:ilvl w:val="0"/>
          <w:numId w:val="4"/>
        </w:numPr>
      </w:pPr>
      <w:r>
        <w:lastRenderedPageBreak/>
        <w:t xml:space="preserve">La demande globale peut devenir insuffisante pour absorber l’ensemble de la production. </w:t>
      </w:r>
    </w:p>
    <w:p w14:paraId="2C480909" w14:textId="77777777" w:rsidR="00A55619" w:rsidRDefault="00A55619" w:rsidP="00A55619">
      <w:pPr>
        <w:ind w:left="360"/>
      </w:pPr>
    </w:p>
    <w:p w14:paraId="628F67FF" w14:textId="77777777" w:rsidR="00A55619" w:rsidRPr="00420F25" w:rsidRDefault="00A55619" w:rsidP="00A55619">
      <w:pPr>
        <w:pStyle w:val="Titre4"/>
      </w:pPr>
      <w:r>
        <w:t>b) Chômage involontaire et équilibre de sous-emploi</w:t>
      </w:r>
    </w:p>
    <w:p w14:paraId="329597A6" w14:textId="77777777" w:rsidR="00A55619" w:rsidRDefault="00A55619" w:rsidP="00A55619">
      <w:r>
        <w:t xml:space="preserve">Demande anticipée : demande espérée par les entrepreneurs dans un univers incertain. Cette demande détermine la production et l’emploi </w:t>
      </w:r>
    </w:p>
    <w:p w14:paraId="2FE7985E" w14:textId="77777777" w:rsidR="00A55619" w:rsidRDefault="00A55619" w:rsidP="00A55619">
      <w:r>
        <w:t>Aucune raison pour que la demande anticipée corresponde à l’équilibre de plein-emploi</w:t>
      </w:r>
    </w:p>
    <w:p w14:paraId="62CD188D" w14:textId="77777777" w:rsidR="00A55619" w:rsidRPr="00420F25" w:rsidRDefault="00A55619" w:rsidP="00A55619">
      <w:pPr>
        <w:pStyle w:val="Titre4"/>
      </w:pPr>
      <w:r>
        <w:t>c) La nécessité de politiques contracycliques</w:t>
      </w:r>
    </w:p>
    <w:p w14:paraId="7133C138" w14:textId="77777777" w:rsidR="00A55619" w:rsidRDefault="00420F25" w:rsidP="00A55619">
      <m:oMathPara>
        <m:oMath>
          <m:r>
            <w:rPr>
              <w:rFonts w:ascii="Cambria Math" w:hAnsi="Cambria Math"/>
            </w:rPr>
            <m:t>Y = C + I + G</m:t>
          </m:r>
        </m:oMath>
      </m:oMathPara>
    </w:p>
    <w:p w14:paraId="6988860A" w14:textId="77777777" w:rsidR="00A55619" w:rsidRDefault="00A55619" w:rsidP="00A55619">
      <w:r>
        <w:t>L’État doit intervenir pour augmenter la demande anticipée et atteindre l’équilibre de plein-emploi</w:t>
      </w:r>
    </w:p>
    <w:p w14:paraId="358B21D9" w14:textId="77777777" w:rsidR="00A55619" w:rsidRDefault="00A55619" w:rsidP="00A55619">
      <w:pPr>
        <w:pStyle w:val="Paragraphedeliste"/>
        <w:numPr>
          <w:ilvl w:val="0"/>
          <w:numId w:val="4"/>
        </w:numPr>
      </w:pPr>
      <w:r>
        <w:rPr>
          <w:b/>
          <w:bCs/>
        </w:rPr>
        <w:t xml:space="preserve">Politiques contracycliques </w:t>
      </w:r>
      <w:r>
        <w:t>:</w:t>
      </w:r>
    </w:p>
    <w:p w14:paraId="359E511B" w14:textId="77777777" w:rsidR="00A55619" w:rsidRDefault="00A55619" w:rsidP="00A55619">
      <w:r>
        <w:t xml:space="preserve">- quand la production est inférieure à son niveau potentiel : </w:t>
      </w:r>
      <w:r>
        <w:rPr>
          <w:b/>
          <w:bCs/>
        </w:rPr>
        <w:t>politiques expansionnistes</w:t>
      </w:r>
      <w:r>
        <w:t>,</w:t>
      </w:r>
    </w:p>
    <w:p w14:paraId="159A5965" w14:textId="77777777" w:rsidR="00A55619" w:rsidRDefault="00A55619" w:rsidP="00A55619">
      <w:r>
        <w:t xml:space="preserve">- quand la production est supérieure à son niveau potentiel : </w:t>
      </w:r>
      <w:r>
        <w:rPr>
          <w:b/>
          <w:bCs/>
        </w:rPr>
        <w:t>politiques d’austérité</w:t>
      </w:r>
    </w:p>
    <w:p w14:paraId="5D643056" w14:textId="77777777" w:rsidR="00A55619" w:rsidRDefault="00A55619" w:rsidP="00A55619">
      <w:r>
        <w:rPr>
          <w:highlight w:val="yellow"/>
        </w:rPr>
        <w:t>=&gt; À long terme : budget équilibré</w:t>
      </w:r>
    </w:p>
    <w:p w14:paraId="679F395E" w14:textId="77777777" w:rsidR="00A55619" w:rsidRDefault="00A55619" w:rsidP="002D59E9">
      <w:pPr>
        <w:pStyle w:val="Paragraphedeliste"/>
        <w:numPr>
          <w:ilvl w:val="0"/>
          <w:numId w:val="5"/>
        </w:numPr>
      </w:pPr>
      <w:r>
        <w:t>Variation du solde budgétaire</w:t>
      </w:r>
    </w:p>
    <w:p w14:paraId="6268BB17" w14:textId="77777777" w:rsidR="002D59E9" w:rsidRDefault="002D59E9" w:rsidP="002D59E9"/>
    <w:p w14:paraId="66DE496E" w14:textId="77777777" w:rsidR="002D59E9" w:rsidRDefault="002D59E9" w:rsidP="002D59E9">
      <w:pPr>
        <w:pStyle w:val="Titre3"/>
      </w:pPr>
      <w:bookmarkStart w:id="4" w:name="_Toc243123127"/>
      <w:r>
        <w:t>2°) Les outils de la politique budgétaire</w:t>
      </w:r>
      <w:bookmarkEnd w:id="4"/>
    </w:p>
    <w:p w14:paraId="78B3E643" w14:textId="77777777" w:rsidR="00420F25" w:rsidRPr="00420F25" w:rsidRDefault="00420F25" w:rsidP="002D59E9">
      <w:pPr>
        <w:rPr>
          <w:color w:val="FFC000"/>
        </w:rPr>
      </w:pPr>
    </w:p>
    <w:p w14:paraId="2895885C" w14:textId="77777777" w:rsidR="002D59E9" w:rsidRDefault="002D59E9" w:rsidP="002D59E9">
      <w:r>
        <w:rPr>
          <w:noProof/>
        </w:rPr>
        <w:drawing>
          <wp:inline distT="0" distB="0" distL="0" distR="0" wp14:anchorId="028E6062" wp14:editId="2FB7C348">
            <wp:extent cx="5760720" cy="1844675"/>
            <wp:effectExtent l="0" t="0" r="5080" b="0"/>
            <wp:docPr id="1415399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99585" name=""/>
                    <pic:cNvPicPr/>
                  </pic:nvPicPr>
                  <pic:blipFill>
                    <a:blip r:embed="rId12">
                      <a:extLst>
                        <a:ext uri="{BEBA8EAE-BF5A-486C-A8C5-ECC9F3942E4B}">
                          <a14:imgProps xmlns:a14="http://schemas.microsoft.com/office/drawing/2010/main">
                            <a14:imgLayer r:embed="rId13">
                              <a14:imgEffect>
                                <a14:artisticCement/>
                              </a14:imgEffect>
                            </a14:imgLayer>
                          </a14:imgProps>
                        </a:ext>
                      </a:extLst>
                    </a:blip>
                    <a:stretch>
                      <a:fillRect/>
                    </a:stretch>
                  </pic:blipFill>
                  <pic:spPr>
                    <a:xfrm>
                      <a:off x="0" y="0"/>
                      <a:ext cx="5760720" cy="1844675"/>
                    </a:xfrm>
                    <a:prstGeom prst="rect">
                      <a:avLst/>
                    </a:prstGeom>
                  </pic:spPr>
                </pic:pic>
              </a:graphicData>
            </a:graphic>
          </wp:inline>
        </w:drawing>
      </w:r>
    </w:p>
    <w:p w14:paraId="0B9CFA2E" w14:textId="77777777" w:rsidR="00420F25" w:rsidRDefault="00420F25" w:rsidP="002D59E9">
      <w:pPr>
        <w:rPr>
          <w:color w:val="FFC000"/>
        </w:rPr>
      </w:pPr>
    </w:p>
    <w:p w14:paraId="20367880" w14:textId="77777777" w:rsidR="00420F25" w:rsidRDefault="00420F25" w:rsidP="002D59E9">
      <w:pPr>
        <w:rPr>
          <w:color w:val="FFC000"/>
        </w:rPr>
      </w:pPr>
    </w:p>
    <w:p w14:paraId="64B98C68" w14:textId="77777777" w:rsidR="00420F25" w:rsidRDefault="00420F25" w:rsidP="002D59E9">
      <w:pPr>
        <w:rPr>
          <w:color w:val="FFC000"/>
        </w:rPr>
      </w:pPr>
    </w:p>
    <w:p w14:paraId="3D4C5DAE" w14:textId="77777777" w:rsidR="00420F25" w:rsidRDefault="00420F25" w:rsidP="002D59E9">
      <w:pPr>
        <w:rPr>
          <w:color w:val="FFC000"/>
        </w:rPr>
      </w:pPr>
    </w:p>
    <w:p w14:paraId="35B2A544" w14:textId="77777777" w:rsidR="00420F25" w:rsidRDefault="00420F25" w:rsidP="002D59E9">
      <w:pPr>
        <w:rPr>
          <w:color w:val="FFC000"/>
        </w:rPr>
      </w:pPr>
    </w:p>
    <w:p w14:paraId="217AFF5E" w14:textId="77777777" w:rsidR="00420F25" w:rsidRDefault="00420F25" w:rsidP="002D59E9">
      <w:pPr>
        <w:rPr>
          <w:color w:val="FFC000"/>
        </w:rPr>
      </w:pPr>
    </w:p>
    <w:p w14:paraId="06A36E93" w14:textId="77777777" w:rsidR="002D59E9" w:rsidRPr="00420F25" w:rsidRDefault="00B3099B" w:rsidP="002D59E9">
      <w:pPr>
        <w:pStyle w:val="Titre3"/>
      </w:pPr>
      <w:bookmarkStart w:id="5" w:name="_Toc243123128"/>
      <w:r>
        <w:t>3°) L’effet multiplicateur</w:t>
      </w:r>
      <w:bookmarkEnd w:id="5"/>
    </w:p>
    <w:p w14:paraId="46D5C46F" w14:textId="77777777" w:rsidR="00B3099B" w:rsidRDefault="00B3099B" w:rsidP="00B3099B">
      <w:r>
        <w:t>Une variation des dépenses publiques et/ou des recettes fiscales entraîne une variation plus que proportionnelle de la production nationale</w:t>
      </w:r>
    </w:p>
    <w:p w14:paraId="11DDB7A9" w14:textId="77777777" w:rsidR="00B3099B" w:rsidRDefault="00B3099B" w:rsidP="00B3099B">
      <w:r>
        <w:rPr>
          <w:noProof/>
        </w:rPr>
        <w:drawing>
          <wp:inline distT="0" distB="0" distL="0" distR="0" wp14:anchorId="2AB64E0A" wp14:editId="256418BB">
            <wp:extent cx="5760720" cy="2628900"/>
            <wp:effectExtent l="0" t="0" r="5080" b="0"/>
            <wp:docPr id="222872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72552" name=""/>
                    <pic:cNvPicPr/>
                  </pic:nvPicPr>
                  <pic:blipFill>
                    <a:blip r:embed="rId14">
                      <a:extLst>
                        <a:ext uri="{BEBA8EAE-BF5A-486C-A8C5-ECC9F3942E4B}">
                          <a14:imgProps xmlns:a14="http://schemas.microsoft.com/office/drawing/2010/main">
                            <a14:imgLayer r:embed="rId15">
                              <a14:imgEffect>
                                <a14:artisticCement/>
                              </a14:imgEffect>
                            </a14:imgLayer>
                          </a14:imgProps>
                        </a:ext>
                      </a:extLst>
                    </a:blip>
                    <a:stretch>
                      <a:fillRect/>
                    </a:stretch>
                  </pic:blipFill>
                  <pic:spPr>
                    <a:xfrm>
                      <a:off x="0" y="0"/>
                      <a:ext cx="5760720" cy="2628900"/>
                    </a:xfrm>
                    <a:prstGeom prst="rect">
                      <a:avLst/>
                    </a:prstGeom>
                  </pic:spPr>
                </pic:pic>
              </a:graphicData>
            </a:graphic>
          </wp:inline>
        </w:drawing>
      </w:r>
    </w:p>
    <w:p w14:paraId="01DB8000" w14:textId="77777777" w:rsidR="00B3099B" w:rsidRDefault="00FC7B2E" w:rsidP="00B3099B">
      <w:r>
        <w:t xml:space="preserve">Valeur du multiplicateur dépend de : </w:t>
      </w:r>
    </w:p>
    <w:p w14:paraId="5CCA3CEA" w14:textId="77777777" w:rsidR="00FC7B2E" w:rsidRDefault="00FC7B2E" w:rsidP="00FC7B2E">
      <w:pPr>
        <w:pStyle w:val="Paragraphedeliste"/>
        <w:numPr>
          <w:ilvl w:val="0"/>
          <w:numId w:val="6"/>
        </w:numPr>
      </w:pPr>
      <w:r>
        <w:t xml:space="preserve">Propension marginale à consommer c, (partie du revenu supplémentaire destiné à la consommation) </w:t>
      </w:r>
    </w:p>
    <w:p w14:paraId="558FD0B3" w14:textId="77777777" w:rsidR="00FC7B2E" w:rsidRDefault="00FC7B2E" w:rsidP="00FC7B2E">
      <w:pPr>
        <w:pStyle w:val="Paragraphedeliste"/>
        <w:numPr>
          <w:ilvl w:val="0"/>
          <w:numId w:val="6"/>
        </w:numPr>
      </w:pPr>
      <w:r>
        <w:t>Propension marginale à importer m</w:t>
      </w:r>
    </w:p>
    <w:p w14:paraId="09463EE5" w14:textId="77777777" w:rsidR="00FC7B2E" w:rsidRDefault="00FC7B2E" w:rsidP="00FC7B2E">
      <w:pPr>
        <w:ind w:left="360"/>
      </w:pPr>
      <w:r>
        <w:t xml:space="preserve">Plusieurs multiplicateurs : </w:t>
      </w:r>
    </w:p>
    <w:p w14:paraId="66E77ED4" w14:textId="77777777" w:rsidR="00FC7B2E" w:rsidRDefault="00FC7B2E" w:rsidP="00FC7B2E">
      <w:pPr>
        <w:pStyle w:val="Paragraphedeliste"/>
        <w:numPr>
          <w:ilvl w:val="0"/>
          <w:numId w:val="6"/>
        </w:numPr>
      </w:pPr>
      <w:r>
        <w:t xml:space="preserve">Multiplicateur de dépenses publiques </w:t>
      </w:r>
    </w:p>
    <w:p w14:paraId="59F9683A" w14:textId="77777777" w:rsidR="00FC7B2E" w:rsidRDefault="00FC7B2E" w:rsidP="00FC7B2E">
      <w:pPr>
        <w:pStyle w:val="Paragraphedeliste"/>
        <w:numPr>
          <w:ilvl w:val="0"/>
          <w:numId w:val="6"/>
        </w:numPr>
      </w:pPr>
      <w:r>
        <w:t>Multiplicateur fiscal</w:t>
      </w:r>
    </w:p>
    <w:p w14:paraId="50205169" w14:textId="77777777" w:rsidR="00FC7B2E" w:rsidRDefault="00FC7B2E" w:rsidP="00FC7B2E">
      <w:pPr>
        <w:pStyle w:val="Paragraphedeliste"/>
        <w:numPr>
          <w:ilvl w:val="0"/>
          <w:numId w:val="6"/>
        </w:numPr>
      </w:pPr>
      <w:r>
        <w:t xml:space="preserve">Multiplicateur des revenus de transfert </w:t>
      </w:r>
    </w:p>
    <w:p w14:paraId="02E008E8" w14:textId="77777777" w:rsidR="00FC7B2E" w:rsidRDefault="00FC7B2E" w:rsidP="00FC7B2E">
      <w:pPr>
        <w:pStyle w:val="Paragraphedeliste"/>
        <w:numPr>
          <w:ilvl w:val="0"/>
          <w:numId w:val="6"/>
        </w:numPr>
      </w:pPr>
      <w:r>
        <w:t>Multiplicateur de budget équilibré</w:t>
      </w:r>
    </w:p>
    <w:p w14:paraId="67C26500" w14:textId="77777777" w:rsidR="00420F25" w:rsidRDefault="00420F25" w:rsidP="00420F25">
      <w:pPr>
        <w:pStyle w:val="Paragraphedeliste"/>
      </w:pPr>
    </w:p>
    <w:p w14:paraId="27A99E1A" w14:textId="77777777" w:rsidR="00ED5BE8" w:rsidRPr="00420F25" w:rsidRDefault="0005758C" w:rsidP="0005758C">
      <w:pPr>
        <w:pStyle w:val="Titre4"/>
      </w:pPr>
      <w:r>
        <w:t>a) Le multiplicateur de dépenses publiques</w:t>
      </w:r>
    </w:p>
    <w:p w14:paraId="3123018B" w14:textId="77777777" w:rsidR="0005758C" w:rsidRDefault="0005758C" w:rsidP="0005758C">
      <w:r>
        <w:t xml:space="preserve">Cela consiste pour l’État de modifier ses dépenses publiques pour des dépenses publiques productives : en échange de production. </w:t>
      </w:r>
    </w:p>
    <w:p w14:paraId="26FF10E2" w14:textId="77777777" w:rsidR="0005758C" w:rsidRDefault="0005758C" w:rsidP="0005758C">
      <w:r>
        <w:rPr>
          <w:noProof/>
        </w:rPr>
        <w:lastRenderedPageBreak/>
        <w:drawing>
          <wp:inline distT="0" distB="0" distL="0" distR="0" wp14:anchorId="44E0E8C6" wp14:editId="10FE7F8F">
            <wp:extent cx="5760720" cy="2505710"/>
            <wp:effectExtent l="0" t="0" r="5080" b="0"/>
            <wp:docPr id="1561726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2641" name=""/>
                    <pic:cNvPicPr/>
                  </pic:nvPicPr>
                  <pic:blipFill>
                    <a:blip r:embed="rId16">
                      <a:extLst>
                        <a:ext uri="{BEBA8EAE-BF5A-486C-A8C5-ECC9F3942E4B}">
                          <a14:imgProps xmlns:a14="http://schemas.microsoft.com/office/drawing/2010/main">
                            <a14:imgLayer r:embed="rId17">
                              <a14:imgEffect>
                                <a14:artisticCement/>
                              </a14:imgEffect>
                            </a14:imgLayer>
                          </a14:imgProps>
                        </a:ext>
                      </a:extLst>
                    </a:blip>
                    <a:stretch>
                      <a:fillRect/>
                    </a:stretch>
                  </pic:blipFill>
                  <pic:spPr>
                    <a:xfrm>
                      <a:off x="0" y="0"/>
                      <a:ext cx="5760720" cy="2505710"/>
                    </a:xfrm>
                    <a:prstGeom prst="rect">
                      <a:avLst/>
                    </a:prstGeom>
                  </pic:spPr>
                </pic:pic>
              </a:graphicData>
            </a:graphic>
          </wp:inline>
        </w:drawing>
      </w:r>
    </w:p>
    <w:p w14:paraId="22376A59" w14:textId="77777777" w:rsidR="008A4E34" w:rsidRPr="00420F25" w:rsidRDefault="008A4E34" w:rsidP="008A4E34">
      <w:pPr>
        <w:pStyle w:val="Titre4"/>
      </w:pPr>
      <w:r>
        <w:t>b) Le multiplicateur fiscal</w:t>
      </w:r>
    </w:p>
    <w:p w14:paraId="42F78D4E" w14:textId="77777777" w:rsidR="008A4E34" w:rsidRDefault="008A4E34" w:rsidP="008A4E34">
      <w:r>
        <w:t xml:space="preserve">Lorsque l’État modifie ses impôts </w:t>
      </w:r>
    </w:p>
    <w:p w14:paraId="2DF4D349" w14:textId="77777777" w:rsidR="008A4E34" w:rsidRDefault="008A4E34" w:rsidP="008A4E34">
      <w:r>
        <w:rPr>
          <w:noProof/>
        </w:rPr>
        <w:drawing>
          <wp:inline distT="0" distB="0" distL="0" distR="0" wp14:anchorId="6AB36850" wp14:editId="185F1BD6">
            <wp:extent cx="5760720" cy="1968650"/>
            <wp:effectExtent l="0" t="0" r="5080" b="0"/>
            <wp:docPr id="1915520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2067" name=""/>
                    <pic:cNvPicPr/>
                  </pic:nvPicPr>
                  <pic:blipFill rotWithShape="1">
                    <a:blip r:embed="rId18">
                      <a:extLst>
                        <a:ext uri="{BEBA8EAE-BF5A-486C-A8C5-ECC9F3942E4B}">
                          <a14:imgProps xmlns:a14="http://schemas.microsoft.com/office/drawing/2010/main">
                            <a14:imgLayer r:embed="rId19">
                              <a14:imgEffect>
                                <a14:artisticCement/>
                              </a14:imgEffect>
                            </a14:imgLayer>
                          </a14:imgProps>
                        </a:ext>
                      </a:extLst>
                    </a:blip>
                    <a:srcRect b="2996"/>
                    <a:stretch>
                      <a:fillRect/>
                    </a:stretch>
                  </pic:blipFill>
                  <pic:spPr bwMode="auto">
                    <a:xfrm>
                      <a:off x="0" y="0"/>
                      <a:ext cx="5760720" cy="1968650"/>
                    </a:xfrm>
                    <a:prstGeom prst="rect">
                      <a:avLst/>
                    </a:prstGeom>
                    <a:ln>
                      <a:noFill/>
                    </a:ln>
                    <a:extLst>
                      <a:ext uri="{53640926-AAD7-44D8-BBD7-CCE9431645EC}">
                        <a14:shadowObscured xmlns:a14="http://schemas.microsoft.com/office/drawing/2010/main"/>
                      </a:ext>
                    </a:extLst>
                  </pic:spPr>
                </pic:pic>
              </a:graphicData>
            </a:graphic>
          </wp:inline>
        </w:drawing>
      </w:r>
    </w:p>
    <w:p w14:paraId="245A6B37" w14:textId="77777777" w:rsidR="008A4E34" w:rsidRPr="00420F25" w:rsidRDefault="008A4E34" w:rsidP="008A4E34">
      <w:pPr>
        <w:pStyle w:val="Titre4"/>
      </w:pPr>
      <w:r>
        <w:t>c) Le multiplicateur des revenus de transfert</w:t>
      </w:r>
    </w:p>
    <w:p w14:paraId="3BCFF2B3" w14:textId="77777777" w:rsidR="008A4E34" w:rsidRDefault="008A4E34" w:rsidP="008A4E34">
      <w:r>
        <w:rPr>
          <w:noProof/>
        </w:rPr>
        <w:drawing>
          <wp:inline distT="0" distB="0" distL="0" distR="0" wp14:anchorId="0A3BE003" wp14:editId="0390A030">
            <wp:extent cx="5338119" cy="2289531"/>
            <wp:effectExtent l="0" t="0" r="0" b="0"/>
            <wp:docPr id="1602011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1570" name=""/>
                    <pic:cNvPicPr/>
                  </pic:nvPicPr>
                  <pic:blipFill>
                    <a:blip r:embed="rId20">
                      <a:extLst>
                        <a:ext uri="{BEBA8EAE-BF5A-486C-A8C5-ECC9F3942E4B}">
                          <a14:imgProps xmlns:a14="http://schemas.microsoft.com/office/drawing/2010/main">
                            <a14:imgLayer r:embed="rId21">
                              <a14:imgEffect>
                                <a14:artisticCement/>
                              </a14:imgEffect>
                            </a14:imgLayer>
                          </a14:imgProps>
                        </a:ext>
                      </a:extLst>
                    </a:blip>
                    <a:stretch>
                      <a:fillRect/>
                    </a:stretch>
                  </pic:blipFill>
                  <pic:spPr>
                    <a:xfrm>
                      <a:off x="0" y="0"/>
                      <a:ext cx="5488939" cy="2354218"/>
                    </a:xfrm>
                    <a:prstGeom prst="rect">
                      <a:avLst/>
                    </a:prstGeom>
                  </pic:spPr>
                </pic:pic>
              </a:graphicData>
            </a:graphic>
          </wp:inline>
        </w:drawing>
      </w:r>
    </w:p>
    <w:p w14:paraId="339E8F13" w14:textId="77777777" w:rsidR="008A4E34" w:rsidRDefault="008A4E34" w:rsidP="008A4E34">
      <w:r>
        <w:t xml:space="preserve">Lorsque l’état fait varier ses dépenses publiques sans production en contrepartie. </w:t>
      </w:r>
    </w:p>
    <w:p w14:paraId="64E3A1C5" w14:textId="77777777" w:rsidR="008A4E34" w:rsidRPr="00420F25" w:rsidRDefault="008A4E34" w:rsidP="008A4E34">
      <w:pPr>
        <w:pStyle w:val="Titre4"/>
      </w:pPr>
      <w:r>
        <w:lastRenderedPageBreak/>
        <w:t>d) Le multiplicateur de budget équilibré</w:t>
      </w:r>
    </w:p>
    <w:p w14:paraId="0BC1E28E" w14:textId="77777777" w:rsidR="00626213" w:rsidRDefault="008A4E34" w:rsidP="008A4E34">
      <w:r>
        <w:rPr>
          <w:noProof/>
        </w:rPr>
        <w:drawing>
          <wp:inline distT="0" distB="0" distL="0" distR="0" wp14:anchorId="613FE0D4" wp14:editId="5E5E079C">
            <wp:extent cx="5760720" cy="3785870"/>
            <wp:effectExtent l="0" t="0" r="5080" b="0"/>
            <wp:docPr id="20911798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79853" name=""/>
                    <pic:cNvPicPr/>
                  </pic:nvPicPr>
                  <pic:blipFill>
                    <a:blip r:embed="rId22">
                      <a:extLst>
                        <a:ext uri="{BEBA8EAE-BF5A-486C-A8C5-ECC9F3942E4B}">
                          <a14:imgProps xmlns:a14="http://schemas.microsoft.com/office/drawing/2010/main">
                            <a14:imgLayer r:embed="rId23">
                              <a14:imgEffect>
                                <a14:artisticCement/>
                              </a14:imgEffect>
                            </a14:imgLayer>
                          </a14:imgProps>
                        </a:ext>
                      </a:extLst>
                    </a:blip>
                    <a:stretch>
                      <a:fillRect/>
                    </a:stretch>
                  </pic:blipFill>
                  <pic:spPr>
                    <a:xfrm>
                      <a:off x="0" y="0"/>
                      <a:ext cx="5760720" cy="3785870"/>
                    </a:xfrm>
                    <a:prstGeom prst="rect">
                      <a:avLst/>
                    </a:prstGeom>
                  </pic:spPr>
                </pic:pic>
              </a:graphicData>
            </a:graphic>
          </wp:inline>
        </w:drawing>
      </w:r>
    </w:p>
    <w:p w14:paraId="281D08DA" w14:textId="77777777" w:rsidR="008A4E34" w:rsidRDefault="008A4E34" w:rsidP="008A4E34">
      <w:r>
        <w:t>Conclusion sur effets multiplicateurs :</w:t>
      </w:r>
    </w:p>
    <w:p w14:paraId="7CE94D90" w14:textId="77777777" w:rsidR="008A4E34" w:rsidRDefault="008A4E34" w:rsidP="008A4E34">
      <w:pPr>
        <w:pStyle w:val="Paragraphedeliste"/>
        <w:numPr>
          <w:ilvl w:val="0"/>
          <w:numId w:val="10"/>
        </w:numPr>
      </w:pPr>
      <w:r>
        <w:t>Multiplicateur des dépenses publiques &gt; Multiplicateurs fiscal et de revenus de transfert &gt; Multiplicateur de budget équilibré. Si l’état augmente les impôts ou alloc chômage cela aura le même impact sur le PIB.</w:t>
      </w:r>
    </w:p>
    <w:p w14:paraId="1D517A43" w14:textId="77777777" w:rsidR="00ED5BE8" w:rsidRDefault="008A4E34" w:rsidP="008A4E34">
      <w:pPr>
        <w:pStyle w:val="Paragraphedeliste"/>
        <w:numPr>
          <w:ilvl w:val="0"/>
          <w:numId w:val="10"/>
        </w:numPr>
      </w:pPr>
      <w:r>
        <w:t>Multiplicateurs fonctionnent en cas de politique d’austérité</w:t>
      </w:r>
    </w:p>
    <w:p w14:paraId="59CC13DC" w14:textId="77777777" w:rsidR="008A4E34" w:rsidRDefault="008A4E34" w:rsidP="008A4E34"/>
    <w:p w14:paraId="0522CF9E" w14:textId="77777777" w:rsidR="008A4E34" w:rsidRDefault="00626213" w:rsidP="00626213">
      <w:pPr>
        <w:pStyle w:val="Titre2"/>
      </w:pPr>
      <w:bookmarkStart w:id="6" w:name="_Toc243123129"/>
      <w:r>
        <w:t>II – Les politiques keynésiennes de 1945 aux années 1970</w:t>
      </w:r>
      <w:bookmarkEnd w:id="6"/>
    </w:p>
    <w:p w14:paraId="23839B12" w14:textId="77777777" w:rsidR="00420F25" w:rsidRPr="00420F25" w:rsidRDefault="00420F25" w:rsidP="00420F25"/>
    <w:p w14:paraId="0AE0BDA3" w14:textId="77777777" w:rsidR="00626213" w:rsidRPr="00420F25" w:rsidRDefault="00626213" w:rsidP="00626213">
      <w:pPr>
        <w:pStyle w:val="Titre3"/>
      </w:pPr>
      <w:bookmarkStart w:id="7" w:name="_Toc243123130"/>
      <w:r>
        <w:t>1°) La courbe de Phillips</w:t>
      </w:r>
      <w:bookmarkEnd w:id="7"/>
    </w:p>
    <w:p w14:paraId="6AD7BD40" w14:textId="77777777" w:rsidR="00626213" w:rsidRDefault="00ED1B3E" w:rsidP="00626213">
      <w:r>
        <w:t xml:space="preserve">La courbe montre une relation inverse entre le chômage et l’inflation. On peut arbitrer entre le chômage et l’inflation. Les économistes justifient </w:t>
      </w:r>
      <w:r>
        <w:rPr>
          <w:b/>
          <w:bCs/>
        </w:rPr>
        <w:t>l’inflation à tenir</w:t>
      </w:r>
      <w:r>
        <w:t xml:space="preserve"> avec cette courbe </w:t>
      </w:r>
    </w:p>
    <w:p w14:paraId="71843270" w14:textId="77777777" w:rsidR="00ED1B3E" w:rsidRPr="00420F25" w:rsidRDefault="00ED1B3E" w:rsidP="00626213">
      <w:pPr>
        <w:pStyle w:val="Titre3"/>
      </w:pPr>
      <w:bookmarkStart w:id="8" w:name="_Toc243123131"/>
      <w:r>
        <w:t>2°) Les politiques de stop-and-go</w:t>
      </w:r>
      <w:bookmarkEnd w:id="8"/>
    </w:p>
    <w:p w14:paraId="778FEBFE" w14:textId="77777777" w:rsidR="00ED1B3E" w:rsidRDefault="00ED1B3E" w:rsidP="00626213">
      <w:r>
        <w:rPr>
          <w:b/>
          <w:bCs/>
        </w:rPr>
        <w:t>Politiques de stop-and-go</w:t>
      </w:r>
      <w:r>
        <w:t xml:space="preserve"> : Alternance entre politique budgétaire de relance et politique budgétaire d’austérité. </w:t>
      </w:r>
    </w:p>
    <w:p w14:paraId="675D7279" w14:textId="77777777" w:rsidR="00ED1B3E" w:rsidRDefault="00ED1B3E" w:rsidP="00626213">
      <w:r>
        <w:lastRenderedPageBreak/>
        <w:t xml:space="preserve">Dans une situation avec bcp de chômage (faible inflation), une politique de relance est adoptée ce qui réduit le chômage mais augmente l’inflation. </w:t>
      </w:r>
    </w:p>
    <w:p w14:paraId="06FD67E6" w14:textId="77777777" w:rsidR="00ED1B3E" w:rsidRDefault="00ED1B3E" w:rsidP="00626213">
      <w:r>
        <w:t>Dans une situation avec bcp d’inflation (faible chômage), une politique d’austérité est adoptée, etc.</w:t>
      </w:r>
    </w:p>
    <w:p w14:paraId="42879129" w14:textId="77777777" w:rsidR="00ED1B3E" w:rsidRDefault="00ED1B3E" w:rsidP="00626213">
      <w:r>
        <w:t xml:space="preserve">Politique de relance ≠ plan de relance </w:t>
      </w:r>
    </w:p>
    <w:p w14:paraId="65D8AAFB" w14:textId="77777777" w:rsidR="00ED1B3E" w:rsidRDefault="00ED1B3E" w:rsidP="00626213"/>
    <w:p w14:paraId="44245E43" w14:textId="77777777" w:rsidR="00ED1B3E" w:rsidRPr="00420F25" w:rsidRDefault="00ED1B3E" w:rsidP="00626213">
      <w:pPr>
        <w:pStyle w:val="Titre3"/>
      </w:pPr>
      <w:bookmarkStart w:id="9" w:name="_Toc243123132"/>
      <w:r>
        <w:t>3°) Les succès et limites du modèle keynésien</w:t>
      </w:r>
      <w:bookmarkEnd w:id="9"/>
    </w:p>
    <w:p w14:paraId="42410C94" w14:textId="77777777" w:rsidR="00ED1B3E" w:rsidRDefault="00F555F7" w:rsidP="00F555F7">
      <w:pPr>
        <w:pStyle w:val="Paragraphedeliste"/>
        <w:numPr>
          <w:ilvl w:val="0"/>
          <w:numId w:val="10"/>
        </w:numPr>
      </w:pPr>
      <w:r>
        <w:t xml:space="preserve">Trente glorieuses : succès, taux de croissance à 5%/an et chômage à 3% </w:t>
      </w:r>
    </w:p>
    <w:p w14:paraId="548C543E" w14:textId="77777777" w:rsidR="00F555F7" w:rsidRDefault="00F555F7" w:rsidP="00F555F7">
      <w:pPr>
        <w:pStyle w:val="Paragraphedeliste"/>
        <w:numPr>
          <w:ilvl w:val="0"/>
          <w:numId w:val="10"/>
        </w:numPr>
      </w:pPr>
      <w:r>
        <w:t xml:space="preserve">Mais : tensions inflationnistes avec la hausse du pétrole =&gt; crise =&gt; hausse du chômage qui dure =&gt; </w:t>
      </w:r>
      <w:r>
        <w:rPr>
          <w:b/>
          <w:bCs/>
          <w:u w:val="single"/>
        </w:rPr>
        <w:t>stagflation</w:t>
      </w:r>
      <w:r>
        <w:t xml:space="preserve"> (chômage + inflation élevé) </w:t>
      </w:r>
    </w:p>
    <w:p w14:paraId="2688BD7E" w14:textId="77777777" w:rsidR="00F555F7" w:rsidRDefault="00F555F7" w:rsidP="00F555F7">
      <w:pPr>
        <w:pStyle w:val="Paragraphedeliste"/>
        <w:numPr>
          <w:ilvl w:val="0"/>
          <w:numId w:val="10"/>
        </w:numPr>
      </w:pPr>
      <w:r>
        <w:t>Critiques des théories keynésiennes</w:t>
      </w:r>
    </w:p>
    <w:p w14:paraId="66DA64FC" w14:textId="77777777" w:rsidR="00F555F7" w:rsidRDefault="00F555F7" w:rsidP="00F555F7">
      <w:pPr>
        <w:pStyle w:val="Titre2"/>
      </w:pPr>
      <w:bookmarkStart w:id="10" w:name="_Toc243123133"/>
      <w:r>
        <w:t>III – Les effets limités de la politique budgétaire</w:t>
      </w:r>
      <w:bookmarkEnd w:id="10"/>
    </w:p>
    <w:p w14:paraId="63610C0F" w14:textId="77777777" w:rsidR="00F555F7" w:rsidRDefault="00F555F7" w:rsidP="00F555F7"/>
    <w:p w14:paraId="1D188699" w14:textId="77777777" w:rsidR="00F555F7" w:rsidRPr="00420F25" w:rsidRDefault="00F555F7" w:rsidP="00F555F7">
      <w:pPr>
        <w:pStyle w:val="Titre3"/>
      </w:pPr>
      <w:bookmarkStart w:id="11" w:name="_Toc243123134"/>
      <w:r>
        <w:t>1°) Friedman et le monétarisme</w:t>
      </w:r>
      <w:bookmarkEnd w:id="11"/>
    </w:p>
    <w:p w14:paraId="50F06BAE" w14:textId="77777777" w:rsidR="00F555F7" w:rsidRPr="00420F25" w:rsidRDefault="00F555F7" w:rsidP="00F555F7">
      <w:pPr>
        <w:pStyle w:val="Titre4"/>
      </w:pPr>
      <w:r>
        <w:t>a) Friedman et la critique de la courbe de Phillips</w:t>
      </w:r>
    </w:p>
    <w:p w14:paraId="325FD2B8" w14:textId="77777777" w:rsidR="00F555F7" w:rsidRDefault="00F555F7" w:rsidP="00F555F7">
      <w:r>
        <w:t xml:space="preserve">La courbe de Phillips </w:t>
      </w:r>
      <w:r>
        <w:rPr>
          <w:b/>
          <w:bCs/>
        </w:rPr>
        <w:t>fonctionne sur 20 ans mais pas plus d’après Friedman</w:t>
      </w:r>
      <w:r>
        <w:t xml:space="preserve">. Cette courbe marche que à court terme parce que les individus sont victimes de l’illusion monétaire. </w:t>
      </w:r>
    </w:p>
    <w:p w14:paraId="2123B4E3" w14:textId="77777777" w:rsidR="00F555F7" w:rsidRDefault="00B76A30" w:rsidP="00F555F7">
      <w:r>
        <w:t>Tendance des individus à confondre les valeurs nominales et les valeurs réelles lorsqu’ils prennent des décisions économiques</w:t>
      </w:r>
      <w:r>
        <w:rPr>
          <w:noProof/>
        </w:rPr>
        <w:drawing>
          <wp:inline distT="0" distB="0" distL="0" distR="0" wp14:anchorId="58FF8E52" wp14:editId="1D736B79">
            <wp:extent cx="3733800" cy="965200"/>
            <wp:effectExtent l="0" t="0" r="0" b="0"/>
            <wp:docPr id="1366436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436241" name=""/>
                    <pic:cNvPicPr/>
                  </pic:nvPicPr>
                  <pic:blipFill>
                    <a:blip r:embed="rId24"/>
                    <a:stretch>
                      <a:fillRect/>
                    </a:stretch>
                  </pic:blipFill>
                  <pic:spPr>
                    <a:xfrm>
                      <a:off x="0" y="0"/>
                      <a:ext cx="3733800" cy="965200"/>
                    </a:xfrm>
                    <a:prstGeom prst="rect">
                      <a:avLst/>
                    </a:prstGeom>
                  </pic:spPr>
                </pic:pic>
              </a:graphicData>
            </a:graphic>
          </wp:inline>
        </w:drawing>
      </w:r>
    </w:p>
    <w:p w14:paraId="71DF2C59" w14:textId="77777777" w:rsidR="00B76A30" w:rsidRPr="00420F25" w:rsidRDefault="00B76A30" w:rsidP="00B76A30">
      <w:pPr>
        <w:pStyle w:val="Titre4"/>
      </w:pPr>
      <w:r>
        <w:lastRenderedPageBreak/>
        <w:t>b) La théorie du revenu permanent</w:t>
      </w:r>
    </w:p>
    <w:p w14:paraId="19B541E7" w14:textId="77777777" w:rsidR="00B76A30" w:rsidRDefault="00B76A30" w:rsidP="00B76A30">
      <w:r>
        <w:t xml:space="preserve">Cette théorie critique les politiques de relance keynésienne. Les individus lissent leur consommation en fonction de leur revenu permanent. </w:t>
      </w:r>
      <w:r>
        <w:rPr>
          <w:noProof/>
        </w:rPr>
        <w:drawing>
          <wp:inline distT="0" distB="0" distL="0" distR="0" wp14:anchorId="52A5ABB0" wp14:editId="59B791C9">
            <wp:extent cx="5486400" cy="1768929"/>
            <wp:effectExtent l="0" t="0" r="0" b="0"/>
            <wp:docPr id="14296946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94608" name=""/>
                    <pic:cNvPicPr/>
                  </pic:nvPicPr>
                  <pic:blipFill>
                    <a:blip r:embed="rId25">
                      <a:extLst>
                        <a:ext uri="{BEBA8EAE-BF5A-486C-A8C5-ECC9F3942E4B}">
                          <a14:imgProps xmlns:a14="http://schemas.microsoft.com/office/drawing/2010/main">
                            <a14:imgLayer r:embed="rId26">
                              <a14:imgEffect>
                                <a14:artisticCement/>
                              </a14:imgEffect>
                            </a14:imgLayer>
                          </a14:imgProps>
                        </a:ext>
                      </a:extLst>
                    </a:blip>
                    <a:stretch>
                      <a:fillRect/>
                    </a:stretch>
                  </pic:blipFill>
                  <pic:spPr>
                    <a:xfrm>
                      <a:off x="0" y="0"/>
                      <a:ext cx="5500754" cy="1773557"/>
                    </a:xfrm>
                    <a:prstGeom prst="rect">
                      <a:avLst/>
                    </a:prstGeom>
                  </pic:spPr>
                </pic:pic>
              </a:graphicData>
            </a:graphic>
          </wp:inline>
        </w:drawing>
      </w:r>
    </w:p>
    <w:p w14:paraId="59AE003A" w14:textId="77777777" w:rsidR="00B87B3E" w:rsidRDefault="00B87B3E" w:rsidP="00B87B3E">
      <w:pPr>
        <w:pStyle w:val="Paragraphedeliste"/>
        <w:numPr>
          <w:ilvl w:val="0"/>
          <w:numId w:val="4"/>
        </w:numPr>
      </w:pPr>
      <w:r>
        <w:t>Politique de relance inefficace</w:t>
      </w:r>
    </w:p>
    <w:p w14:paraId="034B8B96" w14:textId="77777777" w:rsidR="00B76A30" w:rsidRDefault="00B76A30" w:rsidP="00B76A30"/>
    <w:p w14:paraId="0436BD28" w14:textId="77777777" w:rsidR="00B87B3E" w:rsidRPr="00420F25" w:rsidRDefault="00B87B3E" w:rsidP="00B76A30">
      <w:pPr>
        <w:pStyle w:val="Titre3"/>
      </w:pPr>
      <w:bookmarkStart w:id="12" w:name="_Toc243123135"/>
      <w:r>
        <w:t>2°) Les critiques de la nouvelle économie classique</w:t>
      </w:r>
      <w:bookmarkEnd w:id="12"/>
    </w:p>
    <w:p w14:paraId="43035BD5" w14:textId="77777777" w:rsidR="00420F25" w:rsidRDefault="00420F25" w:rsidP="00B76A30">
      <w:r>
        <w:rPr>
          <w:noProof/>
        </w:rPr>
        <mc:AlternateContent>
          <mc:Choice Requires="wps">
            <w:drawing>
              <wp:anchor distT="0" distB="0" distL="114300" distR="114300" simplePos="0" relativeHeight="251660288" behindDoc="0" locked="0" layoutInCell="1" allowOverlap="1" wp14:anchorId="2729242E" wp14:editId="399F1D33">
                <wp:simplePos x="0" y="0"/>
                <wp:positionH relativeFrom="column">
                  <wp:posOffset>2108835</wp:posOffset>
                </wp:positionH>
                <wp:positionV relativeFrom="paragraph">
                  <wp:posOffset>220980</wp:posOffset>
                </wp:positionV>
                <wp:extent cx="136902" cy="123986"/>
                <wp:effectExtent l="12700" t="25400" r="28575" b="15875"/>
                <wp:wrapNone/>
                <wp:docPr id="1518845907" name="Connecteur droit avec flèche 2"/>
                <wp:cNvGraphicFramePr/>
                <a:graphic xmlns:a="http://schemas.openxmlformats.org/drawingml/2006/main">
                  <a:graphicData uri="http://schemas.microsoft.com/office/word/2010/wordprocessingShape">
                    <wps:wsp>
                      <wps:cNvCnPr/>
                      <wps:spPr>
                        <a:xfrm flipV="1">
                          <a:off x="0" y="0"/>
                          <a:ext cx="136902" cy="12398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4E121FF" id="_x0000_t32" coordsize="21600,21600" o:spt="32" o:oned="t" path="m,l21600,21600e" filled="f">
                <v:path arrowok="t" fillok="f" o:connecttype="none"/>
                <o:lock v:ext="edit" shapetype="t"/>
              </v:shapetype>
              <v:shape id="Connecteur droit avec flèche 2" o:spid="_x0000_s1026" type="#_x0000_t32" style="position:absolute;margin-left:166.05pt;margin-top:17.4pt;width:10.8pt;height:9.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" strokecolor="#156082 [3204]" strokeweight="1.5pt">
                <v:stroke endarrow="block" joinstyle="miter"/>
              </v:shape>
            </w:pict>
          </mc:Fallback>
        </mc:AlternateContent>
        <mc:AlternateContent>
          <mc:Choice Requires="wps">
            <w:drawing>
              <wp:anchor distT="0" distB="0" distL="114300" distR="114300" simplePos="0" relativeHeight="251661312" behindDoc="0" locked="0" layoutInCell="1" allowOverlap="1" wp14:anchorId="12C56D2E" wp14:editId="08091555">
                <wp:simplePos x="0" y="0"/>
                <wp:positionH relativeFrom="column">
                  <wp:posOffset>1691005</wp:posOffset>
                </wp:positionH>
                <wp:positionV relativeFrom="paragraph">
                  <wp:posOffset>253365</wp:posOffset>
                </wp:positionV>
                <wp:extent cx="144651" cy="92398"/>
                <wp:effectExtent l="12700" t="12700" r="33655" b="34925"/>
                <wp:wrapNone/>
                <wp:docPr id="1236938659" name="Connecteur droit avec flèche 3"/>
                <wp:cNvGraphicFramePr/>
                <a:graphic xmlns:a="http://schemas.openxmlformats.org/drawingml/2006/main">
                  <a:graphicData uri="http://schemas.microsoft.com/office/word/2010/wordprocessingShape">
                    <wps:wsp>
                      <wps:cNvCnPr/>
                      <wps:spPr>
                        <a:xfrm>
                          <a:off x="0" y="0"/>
                          <a:ext cx="144651" cy="9239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BC53F03" id="Connecteur droit avec flèche 3" o:spid="_x0000_s1026" type="#_x0000_t32" style="position:absolute;margin-left:133.15pt;margin-top:19.95pt;width:11.4pt;height:7.3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" strokecolor="#156082 [3204]" strokeweight="1.5pt">
                <v:stroke endarrow="block" joinstyle="miter"/>
              </v:shape>
            </w:pict>
          </mc:Fallback>
        </mc:AlternateContent>
        <mc:AlternateContent>
          <mc:Choice Requires="wps">
            <w:drawing>
              <wp:anchor distT="0" distB="0" distL="114300" distR="114300" simplePos="0" relativeHeight="251659264" behindDoc="0" locked="0" layoutInCell="1" allowOverlap="1" wp14:anchorId="6C4E3006" wp14:editId="14C944CD">
                <wp:simplePos x="0" y="0"/>
                <wp:positionH relativeFrom="column">
                  <wp:posOffset>1435100</wp:posOffset>
                </wp:positionH>
                <wp:positionV relativeFrom="paragraph">
                  <wp:posOffset>297180</wp:posOffset>
                </wp:positionV>
                <wp:extent cx="162733" cy="0"/>
                <wp:effectExtent l="0" t="63500" r="0" b="63500"/>
                <wp:wrapNone/>
                <wp:docPr id="171175455" name="Connecteur droit avec flèche 1"/>
                <wp:cNvGraphicFramePr/>
                <a:graphic xmlns:a="http://schemas.openxmlformats.org/drawingml/2006/main">
                  <a:graphicData uri="http://schemas.microsoft.com/office/word/2010/wordprocessingShape">
                    <wps:wsp>
                      <wps:cNvCnPr/>
                      <wps:spPr>
                        <a:xfrm>
                          <a:off x="0" y="0"/>
                          <a:ext cx="162733"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4B0F6D" id="Connecteur droit avec flèche 1" o:spid="_x0000_s1026" type="#_x0000_t32" style="position:absolute;margin-left:113pt;margin-top:23.4pt;width:12.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" strokecolor="#156082 [3204]" strokeweight="1.5pt">
                <v:stroke endarrow="block" joinstyle="miter"/>
              </v:shape>
            </w:pict>
          </mc:Fallback>
        </mc:AlternateContent>
      </w:r>
    </w:p>
    <w:p w14:paraId="72E6E2F9" w14:textId="77777777" w:rsidR="00B87B3E" w:rsidRPr="003F1786" w:rsidRDefault="00B87B3E" w:rsidP="00B87B3E">
      <w:r>
        <w:rPr>
          <w:b/>
          <w:bCs/>
          <w:u w:val="single"/>
        </w:rPr>
        <w:t xml:space="preserve">Effet Ricardo-Barro : </w:t>
      </w:r>
      <w:r>
        <w:t xml:space="preserve"> Y = C + I + G</w:t>
      </w:r>
    </w:p>
    <w:p w14:paraId="1E9E5289" w14:textId="77777777" w:rsidR="00B87B3E" w:rsidRDefault="00094183" w:rsidP="00B87B3E">
      <w:r>
        <w:rPr>
          <w:noProof/>
        </w:rPr>
        <mc:AlternateContent>
          <mc:Choice Requires="wps">
            <w:drawing>
              <wp:anchor distT="0" distB="0" distL="114300" distR="114300" simplePos="0" relativeHeight="251664384" behindDoc="0" locked="0" layoutInCell="1" allowOverlap="1" wp14:anchorId="1E0714F1" wp14:editId="6E0D6B68">
                <wp:simplePos x="0" y="0"/>
                <wp:positionH relativeFrom="column">
                  <wp:posOffset>1825324</wp:posOffset>
                </wp:positionH>
                <wp:positionV relativeFrom="paragraph">
                  <wp:posOffset>645052</wp:posOffset>
                </wp:positionV>
                <wp:extent cx="185979" cy="136364"/>
                <wp:effectExtent l="12700" t="25400" r="30480" b="16510"/>
                <wp:wrapNone/>
                <wp:docPr id="473604098" name="Connecteur droit avec flèche 6"/>
                <wp:cNvGraphicFramePr/>
                <a:graphic xmlns:a="http://schemas.openxmlformats.org/drawingml/2006/main">
                  <a:graphicData uri="http://schemas.microsoft.com/office/word/2010/wordprocessingShape">
                    <wps:wsp>
                      <wps:cNvCnPr/>
                      <wps:spPr>
                        <a:xfrm flipV="1">
                          <a:off x="0" y="0"/>
                          <a:ext cx="185979" cy="13636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74A32C" id="Connecteur droit avec flèche 6" o:spid="_x0000_s1026" type="#_x0000_t32" style="position:absolute;margin-left:143.75pt;margin-top:50.8pt;width:14.65pt;height:10.7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" strokecolor="#156082 [3204]" strokeweight="1.5pt">
                <v:stroke endarrow="block" joinstyle="miter"/>
              </v:shape>
            </w:pict>
          </mc:Fallback>
        </mc:AlternateContent>
        <mc:AlternateContent>
          <mc:Choice Requires="wps">
            <w:drawing>
              <wp:anchor distT="0" distB="0" distL="114300" distR="114300" simplePos="0" relativeHeight="251663360" behindDoc="0" locked="0" layoutInCell="1" allowOverlap="1" wp14:anchorId="61C2C33B" wp14:editId="6BF3BAD5">
                <wp:simplePos x="0" y="0"/>
                <wp:positionH relativeFrom="column">
                  <wp:posOffset>1567019</wp:posOffset>
                </wp:positionH>
                <wp:positionV relativeFrom="paragraph">
                  <wp:posOffset>686381</wp:posOffset>
                </wp:positionV>
                <wp:extent cx="178230" cy="95573"/>
                <wp:effectExtent l="12700" t="12700" r="38100" b="31750"/>
                <wp:wrapNone/>
                <wp:docPr id="2007236452" name="Connecteur droit avec flèche 5"/>
                <wp:cNvGraphicFramePr/>
                <a:graphic xmlns:a="http://schemas.openxmlformats.org/drawingml/2006/main">
                  <a:graphicData uri="http://schemas.microsoft.com/office/word/2010/wordprocessingShape">
                    <wps:wsp>
                      <wps:cNvCnPr/>
                      <wps:spPr>
                        <a:xfrm>
                          <a:off x="0" y="0"/>
                          <a:ext cx="178230" cy="9557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173902C" id="Connecteur droit avec flèche 5" o:spid="_x0000_s1026" type="#_x0000_t32" style="position:absolute;margin-left:123.4pt;margin-top:54.05pt;width:14.05pt;height:7.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" strokecolor="#156082 [3204]" strokeweight="1.5pt">
                <v:stroke endarrow="block" joinstyle="miter"/>
              </v:shape>
            </w:pict>
          </mc:Fallback>
        </mc:AlternateContent>
        <mc:AlternateContent>
          <mc:Choice Requires="wps">
            <w:drawing>
              <wp:anchor distT="0" distB="0" distL="114300" distR="114300" simplePos="0" relativeHeight="251662336" behindDoc="0" locked="0" layoutInCell="1" allowOverlap="1" wp14:anchorId="0150C033" wp14:editId="7FBE650C">
                <wp:simplePos x="0" y="0"/>
                <wp:positionH relativeFrom="column">
                  <wp:posOffset>1145981</wp:posOffset>
                </wp:positionH>
                <wp:positionV relativeFrom="paragraph">
                  <wp:posOffset>745791</wp:posOffset>
                </wp:positionV>
                <wp:extent cx="193729" cy="0"/>
                <wp:effectExtent l="0" t="63500" r="0" b="63500"/>
                <wp:wrapNone/>
                <wp:docPr id="1392531657" name="Connecteur droit avec flèche 4"/>
                <wp:cNvGraphicFramePr/>
                <a:graphic xmlns:a="http://schemas.openxmlformats.org/drawingml/2006/main">
                  <a:graphicData uri="http://schemas.microsoft.com/office/word/2010/wordprocessingShape">
                    <wps:wsp>
                      <wps:cNvCnPr/>
                      <wps:spPr>
                        <a:xfrm>
                          <a:off x="0" y="0"/>
                          <a:ext cx="193729"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AA2930F" id="Connecteur droit avec flèche 4" o:spid="_x0000_s1026" type="#_x0000_t32" style="position:absolute;margin-left:90.25pt;margin-top:58.7pt;width:15.2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" strokecolor="#156082 [3204]" strokeweight="1.5pt">
                <v:stroke endarrow="block" joinstyle="miter"/>
              </v:shape>
            </w:pict>
          </mc:Fallback>
        </mc:AlternateContent>
      </w:r>
      <w:r>
        <w:t xml:space="preserve">Hausse des dépenses publiques =&gt; Anticipations de hausses d’impôts à venir =&gt; Diminution de la consommation : donc la relance ne fait rien puisque la production ne change pas. </w:t>
      </w:r>
    </w:p>
    <w:p w14:paraId="3AD110C9" w14:textId="77777777" w:rsidR="00B87B3E" w:rsidRPr="00094183" w:rsidRDefault="00B87B3E" w:rsidP="00B87B3E">
      <w:r>
        <w:rPr>
          <w:b/>
          <w:bCs/>
          <w:u w:val="single"/>
        </w:rPr>
        <w:t xml:space="preserve">Effet d’éviction : </w:t>
      </w:r>
      <w:r>
        <w:t xml:space="preserve"> Y = C + I + G</w:t>
      </w:r>
    </w:p>
    <w:p w14:paraId="017DBFA6" w14:textId="77777777" w:rsidR="00B87B3E" w:rsidRDefault="00B87B3E" w:rsidP="00B87B3E">
      <w:r>
        <w:t>Emprunt public :</w:t>
      </w:r>
    </w:p>
    <w:p w14:paraId="502DE180" w14:textId="77777777" w:rsidR="00B87B3E" w:rsidRDefault="00B87B3E" w:rsidP="00B87B3E">
      <w:r>
        <w:t>- Moins de fonds disponibles pour le secteur privé,</w:t>
      </w:r>
    </w:p>
    <w:p w14:paraId="0B30CD10" w14:textId="77777777" w:rsidR="00B87B3E" w:rsidRDefault="00B87B3E" w:rsidP="00B87B3E">
      <w:r>
        <w:t>- Hausse des taux d’intérêt</w:t>
      </w:r>
    </w:p>
    <w:p w14:paraId="6A378A6B" w14:textId="77777777" w:rsidR="00B87B3E" w:rsidRDefault="00B87B3E" w:rsidP="00B87B3E">
      <w:r>
        <w:t>=&gt; Baisse de l’investissement privé</w:t>
      </w:r>
    </w:p>
    <w:p w14:paraId="6FC62022" w14:textId="77777777" w:rsidR="00B87B3E" w:rsidRDefault="00B87B3E" w:rsidP="00B87B3E">
      <w:r>
        <w:t>Ouverture des économies : Les plans de relance ne relancent pas l’économie nationale</w:t>
      </w:r>
    </w:p>
    <w:p w14:paraId="1ECB9C75" w14:textId="77777777" w:rsidR="00B87B3E" w:rsidRDefault="00B87B3E" w:rsidP="00B87B3E">
      <w:r>
        <w:rPr>
          <w:noProof/>
        </w:rPr>
        <w:lastRenderedPageBreak/>
        <w:drawing>
          <wp:inline distT="0" distB="0" distL="0" distR="0" wp14:anchorId="78232DE7" wp14:editId="6FEEC105">
            <wp:extent cx="5760720" cy="3107690"/>
            <wp:effectExtent l="0" t="0" r="5080" b="3810"/>
            <wp:docPr id="1151333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333086" name=""/>
                    <pic:cNvPicPr/>
                  </pic:nvPicPr>
                  <pic:blipFill>
                    <a:blip r:embed="rId27">
                      <a:extLst>
                        <a:ext uri="{BEBA8EAE-BF5A-486C-A8C5-ECC9F3942E4B}">
                          <a14:imgProps xmlns:a14="http://schemas.microsoft.com/office/drawing/2010/main">
                            <a14:imgLayer r:embed="rId28">
                              <a14:imgEffect>
                                <a14:artisticCement/>
                              </a14:imgEffect>
                            </a14:imgLayer>
                          </a14:imgProps>
                        </a:ext>
                      </a:extLst>
                    </a:blip>
                    <a:stretch>
                      <a:fillRect/>
                    </a:stretch>
                  </pic:blipFill>
                  <pic:spPr>
                    <a:xfrm>
                      <a:off x="0" y="0"/>
                      <a:ext cx="5760720" cy="3107690"/>
                    </a:xfrm>
                    <a:prstGeom prst="rect">
                      <a:avLst/>
                    </a:prstGeom>
                  </pic:spPr>
                </pic:pic>
              </a:graphicData>
            </a:graphic>
          </wp:inline>
        </w:drawing>
      </w:r>
    </w:p>
    <w:p w14:paraId="043E01C2" w14:textId="77777777" w:rsidR="00B87B3E" w:rsidRDefault="00B87B3E" w:rsidP="00B87B3E"/>
    <w:p w14:paraId="59D62D5E" w14:textId="77777777" w:rsidR="00B87B3E" w:rsidRPr="00420F25" w:rsidRDefault="00B87B3E" w:rsidP="00B87B3E">
      <w:pPr>
        <w:pStyle w:val="Titre3"/>
      </w:pPr>
      <w:bookmarkStart w:id="13" w:name="_Toc243123136"/>
      <w:r>
        <w:t>3°) Les difficultés pratiques de la politique budgétaire</w:t>
      </w:r>
      <w:bookmarkEnd w:id="13"/>
    </w:p>
    <w:p w14:paraId="3115A86F" w14:textId="77777777" w:rsidR="0089633D" w:rsidRDefault="00B87B3E" w:rsidP="00B87B3E">
      <w:r>
        <w:rPr>
          <w:b/>
          <w:bCs/>
          <w:u w:val="single"/>
        </w:rPr>
        <w:t>Délais d’actions</w:t>
      </w:r>
      <w:r>
        <w:t xml:space="preserve"> : </w:t>
      </w:r>
    </w:p>
    <w:p w14:paraId="44AFCD61" w14:textId="0DA00DCF" w:rsidR="0089633D" w:rsidRPr="00D2230E" w:rsidRDefault="00D2230E" w:rsidP="00D2230E">
      <w:pPr>
        <w:pStyle w:val="Paragraphedeliste"/>
        <w:numPr>
          <w:ilvl w:val="0"/>
          <w:numId w:val="25"/>
        </w:numPr>
        <w:rPr>
          <w:rFonts w:ascii="Aptos" w:hAnsi="Aptos"/>
          <w:color w:val="000000"/>
        </w:rPr>
      </w:pPr>
      <w:r>
        <w:rPr>
          <w:rFonts w:ascii="Aptos" w:hAnsi="Aptos"/>
          <w:b/>
          <w:color w:val="000000"/>
        </w:rPr>
        <w:t>Délai d’identification :</w:t>
      </w:r>
      <w:r>
        <w:rPr>
          <w:rFonts w:ascii="Aptos" w:hAnsi="Aptos"/>
          <w:color w:val="000000"/>
        </w:rPr>
        <w:t xml:space="preserve"> temps nécessaire pour se rendre compte de la crise (statistiques publiées avec retard et souvent révisées, difficulté à distinguer un ralentissement passager d’une vraie récession).</w:t>
      </w:r>
    </w:p>
    <w:p w14:paraId="2FCCDD17" w14:textId="29039F5D" w:rsidR="0089633D" w:rsidRPr="00D2230E" w:rsidRDefault="00D2230E" w:rsidP="00D2230E">
      <w:pPr>
        <w:pStyle w:val="Paragraphedeliste"/>
        <w:numPr>
          <w:ilvl w:val="0"/>
          <w:numId w:val="25"/>
        </w:numPr>
        <w:rPr>
          <w:rFonts w:ascii="Aptos" w:hAnsi="Aptos"/>
          <w:color w:val="000000"/>
        </w:rPr>
      </w:pPr>
      <w:r>
        <w:rPr>
          <w:rFonts w:ascii="Aptos" w:hAnsi="Aptos"/>
          <w:b/>
          <w:color w:val="000000"/>
        </w:rPr>
        <w:t>Délai de décision :</w:t>
      </w:r>
      <w:r>
        <w:rPr>
          <w:rFonts w:ascii="Aptos" w:hAnsi="Aptos"/>
          <w:color w:val="000000"/>
        </w:rPr>
        <w:t xml:space="preserve"> temps pour choisir les mesures, en débattre et les faire voter par le Parlement (loi de finances) ; les désaccords politiques peuvent le rallonger.</w:t>
      </w:r>
    </w:p>
    <w:p w14:paraId="62011701" w14:textId="77777777" w:rsidR="00D2230E" w:rsidRPr="00D2230E" w:rsidRDefault="00D2230E" w:rsidP="00D2230E">
      <w:pPr>
        <w:pStyle w:val="Paragraphedeliste"/>
        <w:numPr>
          <w:ilvl w:val="0"/>
          <w:numId w:val="25"/>
        </w:numPr>
        <w:rPr>
          <w:rFonts w:ascii="Aptos" w:hAnsi="Aptos"/>
          <w:color w:val="000000"/>
        </w:rPr>
      </w:pPr>
      <w:r>
        <w:rPr>
          <w:rFonts w:ascii="Aptos" w:hAnsi="Aptos"/>
          <w:b/>
          <w:color w:val="000000"/>
        </w:rPr>
        <w:t>Délai de transmission :</w:t>
      </w:r>
      <w:r>
        <w:rPr>
          <w:rFonts w:ascii="Aptos" w:hAnsi="Aptos"/>
          <w:color w:val="000000"/>
        </w:rPr>
        <w:t xml:space="preserve"> temps entre l’adoption de la mesure et ses effets réels sur l’économie (mise en œuvre des chantiers et des aides, réaction des ménages et des entreprises, diffusion progressive du multiplicateur).</w:t>
      </w:r>
    </w:p>
    <w:p w14:paraId="08974A57" w14:textId="218AB9A8" w:rsidR="00B87B3E" w:rsidRPr="00D2230E" w:rsidRDefault="00D2230E" w:rsidP="00D2230E">
      <w:pPr>
        <w:rPr>
          <w:rFonts w:ascii="Aptos" w:hAnsi="Aptos"/>
          <w:color w:val="000000"/>
        </w:rPr>
      </w:pPr>
      <w:r>
        <w:rPr>
          <w:rFonts w:ascii="Aptos" w:hAnsi="Aptos"/>
          <w:b/>
          <w:color w:val="C00000"/>
        </w:rPr>
        <w:t>Risque :</w:t>
      </w:r>
      <w:r>
        <w:rPr>
          <w:rFonts w:ascii="Aptos" w:hAnsi="Aptos"/>
          <w:color w:val="000000"/>
        </w:rPr>
        <w:t xml:space="preserve"> additionnés, ces délais peuvent durer plusieurs mois, voire plusieurs années. La mesure peut arriver quand la crise est déjà finie et devenir procyclique (surchauffe, inflation). Les stabilisateurs automatiques, eux, ne subissent presque pas ces délais.</w:t>
      </w:r>
    </w:p>
    <w:p w14:paraId="2F0BA141" w14:textId="77777777" w:rsidR="00B87B3E" w:rsidRDefault="00B87B3E" w:rsidP="00B87B3E">
      <w:r>
        <w:rPr>
          <w:b/>
          <w:bCs/>
          <w:u w:val="single"/>
        </w:rPr>
        <w:t>Incertitude sur le multiplicateur</w:t>
      </w:r>
      <w:r>
        <w:t> : peut varier selon le pays et les périodes. Difficulté à calibrer l’économie</w:t>
      </w:r>
    </w:p>
    <w:p w14:paraId="6C36168C" w14:textId="77777777" w:rsidR="00B87B3E" w:rsidRDefault="00B87B3E" w:rsidP="00B87B3E"/>
    <w:p w14:paraId="720BF430" w14:textId="77777777" w:rsidR="00B87B3E" w:rsidRDefault="00B87B3E" w:rsidP="00B87B3E">
      <w:pPr>
        <w:pStyle w:val="Titre2"/>
      </w:pPr>
      <w:bookmarkStart w:id="14" w:name="_Toc243123137"/>
      <w:r>
        <w:t>Conclusion</w:t>
      </w:r>
      <w:bookmarkEnd w:id="14"/>
    </w:p>
    <w:p w14:paraId="4FA3D4E4" w14:textId="77777777" w:rsidR="00B87B3E" w:rsidRDefault="00B87B3E" w:rsidP="00B87B3E">
      <w:pPr>
        <w:pStyle w:val="Paragraphedeliste"/>
        <w:numPr>
          <w:ilvl w:val="0"/>
          <w:numId w:val="4"/>
        </w:numPr>
      </w:pPr>
      <w:r>
        <w:t>Analyse keynésienne : la politique budgétaire peut agir pour soutenir l’activité</w:t>
      </w:r>
    </w:p>
    <w:p w14:paraId="5B2B079E" w14:textId="77777777" w:rsidR="00B87B3E" w:rsidRDefault="00B87B3E" w:rsidP="00B87B3E">
      <w:pPr>
        <w:pStyle w:val="Paragraphedeliste"/>
        <w:numPr>
          <w:ilvl w:val="0"/>
          <w:numId w:val="4"/>
        </w:numPr>
      </w:pPr>
      <w:r>
        <w:t>Politiques utilisées pendant les Trente Glorieuses</w:t>
      </w:r>
    </w:p>
    <w:p w14:paraId="1CD01B9B" w14:textId="77777777" w:rsidR="00B87B3E" w:rsidRDefault="00B87B3E" w:rsidP="00B87B3E">
      <w:pPr>
        <w:pStyle w:val="Paragraphedeliste"/>
        <w:numPr>
          <w:ilvl w:val="0"/>
          <w:numId w:val="4"/>
        </w:numPr>
      </w:pPr>
      <w:r>
        <w:lastRenderedPageBreak/>
        <w:t xml:space="preserve">Critiques néoclassiques montrent que les effets sont plus limités que prévu </w:t>
      </w:r>
    </w:p>
    <w:p w14:paraId="76BFCFAA" w14:textId="77777777" w:rsidR="00B87B3E" w:rsidRPr="00626213" w:rsidRDefault="00B87B3E" w:rsidP="00B87B3E">
      <w:pPr>
        <w:pStyle w:val="Paragraphedeliste"/>
        <w:numPr>
          <w:ilvl w:val="0"/>
          <w:numId w:val="4"/>
        </w:numPr>
      </w:pPr>
      <w:r>
        <w:t>À partir des années 1980 : retour à des politiques inspirées par les courants néoclassiques</w:t>
      </w:r>
    </w:p>
    <w:p w14:paraId="378E9C1A" w14:textId="77777777" w:rsidR="0083731F" w:rsidRPr="00420F25" w:rsidRDefault="00205323" w:rsidP="00420F25">
      <w:pPr>
        <w:pStyle w:val="Titre1"/>
      </w:pPr>
      <w:bookmarkStart w:id="15" w:name="_Toc243123138"/>
      <w:r>
        <w:lastRenderedPageBreak/>
        <w:t>Chapitre 2 : Les politiques budgétaires de 1980 à aujourd’hui</w:t>
      </w:r>
      <w:bookmarkEnd w:id="15"/>
    </w:p>
    <w:p w14:paraId="75076822" w14:textId="77777777" w:rsidR="0055146C" w:rsidRPr="0055146C" w:rsidRDefault="0055146C" w:rsidP="0055146C">
      <w:r>
        <w:t xml:space="preserve">1979 : Thatcher – 1981 : Reagan : inspirés par les libéraux, mettent en place les préconisations des néoclassiques </w:t>
      </w:r>
    </w:p>
    <w:p w14:paraId="3832E6A0" w14:textId="77777777" w:rsidR="0083731F" w:rsidRDefault="006A3009" w:rsidP="006A3009">
      <w:pPr>
        <w:pStyle w:val="Titre2"/>
      </w:pPr>
      <w:bookmarkStart w:id="16" w:name="_Toc243123139"/>
      <w:r>
        <w:t>I – Le tournant néoclassique des années 1980</w:t>
      </w:r>
      <w:bookmarkEnd w:id="16"/>
    </w:p>
    <w:p w14:paraId="13C64EC9" w14:textId="77777777" w:rsidR="006A3009" w:rsidRPr="00420F25" w:rsidRDefault="006A3009" w:rsidP="006A3009">
      <w:pPr>
        <w:pStyle w:val="Titre3"/>
      </w:pPr>
      <w:bookmarkStart w:id="17" w:name="_Toc243123140"/>
      <w:r>
        <w:t>1°) Les fondements théoriques</w:t>
      </w:r>
      <w:bookmarkEnd w:id="17"/>
    </w:p>
    <w:p w14:paraId="39C93383" w14:textId="77777777" w:rsidR="006A3009" w:rsidRPr="006A3009" w:rsidRDefault="006A3009" w:rsidP="00DE09E5">
      <w:pPr>
        <w:pStyle w:val="Titre4"/>
      </w:pPr>
      <w:r>
        <w:t>Marché plus efficace que l’action publique pour allouer les ressources et coordonner les décisions</w:t>
      </w:r>
    </w:p>
    <w:p w14:paraId="76C9EECB" w14:textId="77777777" w:rsidR="006A3009" w:rsidRDefault="006A3009" w:rsidP="006A3009">
      <w:pPr>
        <w:pStyle w:val="Paragraphedeliste"/>
        <w:numPr>
          <w:ilvl w:val="0"/>
          <w:numId w:val="5"/>
        </w:numPr>
      </w:pPr>
      <w:r>
        <w:t>Intervention publique perturbe le fonctionnement du marché</w:t>
      </w:r>
    </w:p>
    <w:p w14:paraId="3BDAE984" w14:textId="77777777" w:rsidR="006A3009" w:rsidRDefault="006A3009" w:rsidP="006A3009">
      <w:pPr>
        <w:pStyle w:val="Paragraphedeliste"/>
        <w:numPr>
          <w:ilvl w:val="0"/>
          <w:numId w:val="5"/>
        </w:numPr>
      </w:pPr>
      <w:r>
        <w:t>Il faut augmenter la concurrence et réduire les obstacles au fonctionnement du marché </w:t>
      </w:r>
    </w:p>
    <w:p w14:paraId="583D4BE3" w14:textId="77777777" w:rsidR="006A3009" w:rsidRDefault="006A3009" w:rsidP="006A3009"/>
    <w:p w14:paraId="429522A0" w14:textId="77777777" w:rsidR="006A3009" w:rsidRDefault="006A3009" w:rsidP="00DE09E5">
      <w:pPr>
        <w:pStyle w:val="Titre4"/>
      </w:pPr>
      <w:r>
        <w:t>Règles de politique budgétaire</w:t>
      </w:r>
    </w:p>
    <w:p w14:paraId="6E5E21D3" w14:textId="77777777" w:rsidR="00DE09E5" w:rsidRDefault="00DE09E5" w:rsidP="00DE09E5">
      <w:r>
        <w:rPr>
          <w:noProof/>
        </w:rPr>
        <mc:AlternateContent>
          <mc:Choice Requires="wpi">
            <w:drawing>
              <wp:anchor distT="0" distB="0" distL="114300" distR="114300" simplePos="0" relativeHeight="251673600" behindDoc="0" locked="0" layoutInCell="1" allowOverlap="1" wp14:anchorId="1EACF51C" wp14:editId="3EB1F9DB">
                <wp:simplePos x="0" y="0"/>
                <wp:positionH relativeFrom="column">
                  <wp:posOffset>5346618</wp:posOffset>
                </wp:positionH>
                <wp:positionV relativeFrom="paragraph">
                  <wp:posOffset>196875</wp:posOffset>
                </wp:positionV>
                <wp:extent cx="212760" cy="6840"/>
                <wp:effectExtent l="38100" t="38100" r="28575" b="44450"/>
                <wp:wrapNone/>
                <wp:docPr id="1577387772" name="Encre 28"/>
                <wp:cNvGraphicFramePr/>
                <a:graphic xmlns:a="http://schemas.openxmlformats.org/drawingml/2006/main">
                  <a:graphicData uri="http://schemas.microsoft.com/office/word/2010/wordprocessingInk">
                    <w14:contentPart bwMode="auto" r:id="rId29">
                      <w14:nvContentPartPr>
                        <w14:cNvContentPartPr/>
                      </w14:nvContentPartPr>
                      <w14:xfrm>
                        <a:off x="0" y="0"/>
                        <a:ext cx="212760" cy="6840"/>
                      </w14:xfrm>
                    </w14:contentPart>
                  </a:graphicData>
                </a:graphic>
              </wp:anchor>
            </w:drawing>
          </mc:Choice>
          <mc:Fallback>
            <w:pict>
              <v:shapetype w14:anchorId="0BD6B5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8" o:spid="_x0000_s1026" type="#_x0000_t75" style="position:absolute;margin-left:420.5pt;margin-top:15pt;width:17.7pt;height:1.5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">
                <v:imagedata r:id="rId30" o:title=""/>
              </v:shape>
            </w:pict>
          </mc:Fallback>
        </mc:AlternateContent>
        <mc:AlternateContent>
          <mc:Choice Requires="wpi">
            <w:drawing>
              <wp:anchor distT="0" distB="0" distL="114300" distR="114300" simplePos="0" relativeHeight="251672576" behindDoc="0" locked="0" layoutInCell="1" allowOverlap="1" wp14:anchorId="41ADCDA0" wp14:editId="7D6FFAE4">
                <wp:simplePos x="0" y="0"/>
                <wp:positionH relativeFrom="column">
                  <wp:posOffset>5449218</wp:posOffset>
                </wp:positionH>
                <wp:positionV relativeFrom="paragraph">
                  <wp:posOffset>191115</wp:posOffset>
                </wp:positionV>
                <wp:extent cx="15480" cy="195840"/>
                <wp:effectExtent l="38100" t="38100" r="35560" b="33020"/>
                <wp:wrapNone/>
                <wp:docPr id="952567313" name="Encre 27"/>
                <wp:cNvGraphicFramePr/>
                <a:graphic xmlns:a="http://schemas.openxmlformats.org/drawingml/2006/main">
                  <a:graphicData uri="http://schemas.microsoft.com/office/word/2010/wordprocessingInk">
                    <w14:contentPart bwMode="auto" r:id="rId31">
                      <w14:nvContentPartPr>
                        <w14:cNvContentPartPr/>
                      </w14:nvContentPartPr>
                      <w14:xfrm>
                        <a:off x="0" y="0"/>
                        <a:ext cx="15480" cy="195840"/>
                      </w14:xfrm>
                    </w14:contentPart>
                  </a:graphicData>
                </a:graphic>
              </wp:anchor>
            </w:drawing>
          </mc:Choice>
          <mc:Fallback>
            <w:pict>
              <v:shape w14:anchorId="4D9C2E5D" id="Encre 27" o:spid="_x0000_s1026" type="#_x0000_t75" style="position:absolute;margin-left:428.55pt;margin-top:14.55pt;width:2.2pt;height:16.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">
                <v:imagedata r:id="rId32" o:title=""/>
              </v:shape>
            </w:pict>
          </mc:Fallback>
        </mc:AlternateContent>
        <mc:AlternateContent>
          <mc:Choice Requires="wpi">
            <w:drawing>
              <wp:anchor distT="0" distB="0" distL="114300" distR="114300" simplePos="0" relativeHeight="251671552" behindDoc="0" locked="0" layoutInCell="1" allowOverlap="1" wp14:anchorId="5A9398BD" wp14:editId="1D6FA381">
                <wp:simplePos x="0" y="0"/>
                <wp:positionH relativeFrom="column">
                  <wp:posOffset>5244378</wp:posOffset>
                </wp:positionH>
                <wp:positionV relativeFrom="paragraph">
                  <wp:posOffset>186075</wp:posOffset>
                </wp:positionV>
                <wp:extent cx="113040" cy="184320"/>
                <wp:effectExtent l="38100" t="38100" r="39370" b="31750"/>
                <wp:wrapNone/>
                <wp:docPr id="1384144548" name="Encre 26"/>
                <wp:cNvGraphicFramePr/>
                <a:graphic xmlns:a="http://schemas.openxmlformats.org/drawingml/2006/main">
                  <a:graphicData uri="http://schemas.microsoft.com/office/word/2010/wordprocessingInk">
                    <w14:contentPart bwMode="auto" r:id="rId33">
                      <w14:nvContentPartPr>
                        <w14:cNvContentPartPr/>
                      </w14:nvContentPartPr>
                      <w14:xfrm>
                        <a:off x="0" y="0"/>
                        <a:ext cx="113040" cy="184320"/>
                      </w14:xfrm>
                    </w14:contentPart>
                  </a:graphicData>
                </a:graphic>
              </wp:anchor>
            </w:drawing>
          </mc:Choice>
          <mc:Fallback>
            <w:pict>
              <v:shape w14:anchorId="2D112042" id="Encre 26" o:spid="_x0000_s1026" type="#_x0000_t75" style="position:absolute;margin-left:412.45pt;margin-top:14.15pt;width:9.85pt;height:1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">
                <v:imagedata r:id="rId34" o:title=""/>
              </v:shape>
            </w:pict>
          </mc:Fallback>
        </mc:AlternateContent>
        <mc:AlternateContent>
          <mc:Choice Requires="wpi">
            <w:drawing>
              <wp:anchor distT="0" distB="0" distL="114300" distR="114300" simplePos="0" relativeHeight="251670528" behindDoc="0" locked="0" layoutInCell="1" allowOverlap="1" wp14:anchorId="2FBC05BB" wp14:editId="312326BB">
                <wp:simplePos x="0" y="0"/>
                <wp:positionH relativeFrom="column">
                  <wp:posOffset>4941978</wp:posOffset>
                </wp:positionH>
                <wp:positionV relativeFrom="paragraph">
                  <wp:posOffset>39195</wp:posOffset>
                </wp:positionV>
                <wp:extent cx="141840" cy="452160"/>
                <wp:effectExtent l="38100" t="38100" r="36195" b="43180"/>
                <wp:wrapNone/>
                <wp:docPr id="1673537695" name="Encre 25"/>
                <wp:cNvGraphicFramePr/>
                <a:graphic xmlns:a="http://schemas.openxmlformats.org/drawingml/2006/main">
                  <a:graphicData uri="http://schemas.microsoft.com/office/word/2010/wordprocessingInk">
                    <w14:contentPart bwMode="auto" r:id="rId35">
                      <w14:nvContentPartPr>
                        <w14:cNvContentPartPr/>
                      </w14:nvContentPartPr>
                      <w14:xfrm>
                        <a:off x="0" y="0"/>
                        <a:ext cx="141840" cy="452160"/>
                      </w14:xfrm>
                    </w14:contentPart>
                  </a:graphicData>
                </a:graphic>
              </wp:anchor>
            </w:drawing>
          </mc:Choice>
          <mc:Fallback>
            <w:pict>
              <v:shape w14:anchorId="08F88592" id="Encre 25" o:spid="_x0000_s1026" type="#_x0000_t75" style="position:absolute;margin-left:388.65pt;margin-top:2.6pt;width:12.15pt;height:36.5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">
                <v:imagedata r:id="rId36" o:title=""/>
              </v:shape>
            </w:pict>
          </mc:Fallback>
        </mc:AlternateContent>
        <mc:AlternateContent>
          <mc:Choice Requires="wps">
            <w:drawing>
              <wp:anchor distT="0" distB="0" distL="114300" distR="114300" simplePos="0" relativeHeight="251669504" behindDoc="0" locked="0" layoutInCell="1" allowOverlap="1" wp14:anchorId="60059C57" wp14:editId="55580406">
                <wp:simplePos x="0" y="0"/>
                <wp:positionH relativeFrom="column">
                  <wp:posOffset>1830705</wp:posOffset>
                </wp:positionH>
                <wp:positionV relativeFrom="paragraph">
                  <wp:posOffset>384175</wp:posOffset>
                </wp:positionV>
                <wp:extent cx="994410" cy="278130"/>
                <wp:effectExtent l="12700" t="38100" r="21590" b="13970"/>
                <wp:wrapNone/>
                <wp:docPr id="1319430892" name="Connecteur droit avec flèche 10"/>
                <wp:cNvGraphicFramePr/>
                <a:graphic xmlns:a="http://schemas.openxmlformats.org/drawingml/2006/main">
                  <a:graphicData uri="http://schemas.microsoft.com/office/word/2010/wordprocessingShape">
                    <wps:wsp>
                      <wps:cNvCnPr/>
                      <wps:spPr>
                        <a:xfrm flipV="1">
                          <a:off x="0" y="0"/>
                          <a:ext cx="994410" cy="27813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0C7B0" id="Connecteur droit avec flèche 10" o:spid="_x0000_s1026" type="#_x0000_t32" style="position:absolute;margin-left:144.15pt;margin-top:30.25pt;width:78.3pt;height:21.9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" strokecolor="#156082 [3204]" strokeweight="1.5pt">
                <v:stroke endarrow="block" joinstyle="miter"/>
              </v:shape>
            </w:pict>
          </mc:Fallback>
        </mc:AlternateContent>
        <mc:AlternateContent>
          <mc:Choice Requires="wps">
            <w:drawing>
              <wp:anchor distT="0" distB="0" distL="114300" distR="114300" simplePos="0" relativeHeight="251665408" behindDoc="0" locked="0" layoutInCell="1" allowOverlap="1" wp14:anchorId="1FE97410" wp14:editId="2E3D125E">
                <wp:simplePos x="0" y="0"/>
                <wp:positionH relativeFrom="column">
                  <wp:posOffset>1830705</wp:posOffset>
                </wp:positionH>
                <wp:positionV relativeFrom="paragraph">
                  <wp:posOffset>109008</wp:posOffset>
                </wp:positionV>
                <wp:extent cx="994410" cy="549910"/>
                <wp:effectExtent l="12700" t="25400" r="21590" b="21590"/>
                <wp:wrapNone/>
                <wp:docPr id="1533953005" name="Connecteur droit avec flèche 10"/>
                <wp:cNvGraphicFramePr/>
                <a:graphic xmlns:a="http://schemas.openxmlformats.org/drawingml/2006/main">
                  <a:graphicData uri="http://schemas.microsoft.com/office/word/2010/wordprocessingShape">
                    <wps:wsp>
                      <wps:cNvCnPr/>
                      <wps:spPr>
                        <a:xfrm flipV="1">
                          <a:off x="0" y="0"/>
                          <a:ext cx="994410" cy="54991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shape w14:anchorId="38984D7A" id="Connecteur droit avec flèche 10" o:spid="_x0000_s1026" type="#_x0000_t32" style="position:absolute;margin-left:144.15pt;margin-top:8.6pt;width:78.3pt;height:43.3pt;flip:y;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" strokecolor="#156082 [3204]" strokeweight="1.5pt">
                <v:stroke endarrow="block" joinstyle="miter"/>
              </v:shape>
            </w:pict>
          </mc:Fallback>
        </mc:AlternateContent>
        <mc:AlternateContent>
          <mc:Choice Requires="wps">
            <w:drawing>
              <wp:anchor distT="0" distB="0" distL="114300" distR="114300" simplePos="0" relativeHeight="251667456" behindDoc="0" locked="0" layoutInCell="1" allowOverlap="1" wp14:anchorId="2EE6296B" wp14:editId="14B3BEE7">
                <wp:simplePos x="0" y="0"/>
                <wp:positionH relativeFrom="column">
                  <wp:posOffset>1830705</wp:posOffset>
                </wp:positionH>
                <wp:positionV relativeFrom="paragraph">
                  <wp:posOffset>252942</wp:posOffset>
                </wp:positionV>
                <wp:extent cx="994833" cy="408940"/>
                <wp:effectExtent l="12700" t="38100" r="0" b="22860"/>
                <wp:wrapNone/>
                <wp:docPr id="116831246" name="Connecteur droit avec flèche 10"/>
                <wp:cNvGraphicFramePr/>
                <a:graphic xmlns:a="http://schemas.openxmlformats.org/drawingml/2006/main">
                  <a:graphicData uri="http://schemas.microsoft.com/office/word/2010/wordprocessingShape">
                    <wps:wsp>
                      <wps:cNvCnPr/>
                      <wps:spPr>
                        <a:xfrm flipV="1">
                          <a:off x="0" y="0"/>
                          <a:ext cx="994833" cy="40894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79F54B" id="Connecteur droit avec flèche 10" o:spid="_x0000_s1026" type="#_x0000_t32" style="position:absolute;margin-left:144.15pt;margin-top:19.9pt;width:78.35pt;height:32.2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" strokecolor="#156082 [3204]" strokeweight="1.5pt">
                <v:stroke endarrow="block" joinstyle="miter"/>
              </v:shape>
            </w:pict>
          </mc:Fallback>
        </mc:AlternateContent>
        <w:drawing>
          <wp:inline distT="0" distB="0" distL="0" distR="0" wp14:anchorId="1EC38CA6" wp14:editId="2917E05C">
            <wp:extent cx="5760720" cy="2334260"/>
            <wp:effectExtent l="0" t="0" r="5080" b="2540"/>
            <wp:docPr id="4353593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59318" name=""/>
                    <pic:cNvPicPr/>
                  </pic:nvPicPr>
                  <pic:blipFill>
                    <a:blip r:embed="rId37">
                      <a:extLst>
                        <a:ext uri="{BEBA8EAE-BF5A-486C-A8C5-ECC9F3942E4B}">
                          <a14:imgProps xmlns:a14="http://schemas.microsoft.com/office/drawing/2010/main">
                            <a14:imgLayer r:embed="rId38">
                              <a14:imgEffect>
                                <a14:artisticCement/>
                              </a14:imgEffect>
                            </a14:imgLayer>
                          </a14:imgProps>
                        </a:ext>
                      </a:extLst>
                    </a:blip>
                    <a:stretch>
                      <a:fillRect/>
                    </a:stretch>
                  </pic:blipFill>
                  <pic:spPr>
                    <a:xfrm>
                      <a:off x="0" y="0"/>
                      <a:ext cx="5760720" cy="2334260"/>
                    </a:xfrm>
                    <a:prstGeom prst="rect">
                      <a:avLst/>
                    </a:prstGeom>
                  </pic:spPr>
                </pic:pic>
              </a:graphicData>
            </a:graphic>
          </wp:inline>
        </w:drawing>
      </w:r>
    </w:p>
    <w:p w14:paraId="2C44835B" w14:textId="77777777" w:rsidR="00DE09E5" w:rsidRDefault="00DE09E5" w:rsidP="00DE09E5">
      <w:pPr>
        <w:jc w:val="center"/>
      </w:pPr>
    </w:p>
    <w:p w14:paraId="5B6FFC85" w14:textId="77777777" w:rsidR="00420F25" w:rsidRPr="00420F25" w:rsidRDefault="00420F25" w:rsidP="00420F25"/>
    <w:p w14:paraId="72375893" w14:textId="77777777" w:rsidR="006A3009" w:rsidRPr="00E650A5" w:rsidRDefault="006A3009" w:rsidP="00DE09E5">
      <w:pPr>
        <w:pStyle w:val="Titre4"/>
      </w:pPr>
      <w:r>
        <w:t>Priorité de stabilité des prix</w:t>
      </w:r>
    </w:p>
    <w:p w14:paraId="504DEC92" w14:textId="77777777" w:rsidR="006A3009" w:rsidRPr="00DE09E5" w:rsidRDefault="006A3009" w:rsidP="006A3009">
      <w:pPr>
        <w:rPr>
          <w:color w:val="EE0000"/>
        </w:rPr>
      </w:pPr>
      <w:r>
        <w:rPr>
          <w:color w:val="EE0000"/>
        </w:rPr>
        <w:t xml:space="preserve">Nouvelle économie classique : </w:t>
      </w:r>
      <w:r>
        <w:rPr>
          <w:b/>
          <w:bCs/>
          <w:color w:val="EE0000"/>
          <w:u w:val="single"/>
        </w:rPr>
        <w:t>inflation néfaste</w:t>
      </w:r>
      <w:r>
        <w:rPr>
          <w:color w:val="EE0000"/>
        </w:rPr>
        <w:t xml:space="preserve"> </w:t>
      </w:r>
    </w:p>
    <w:p w14:paraId="58798FE7" w14:textId="77777777" w:rsidR="006A3009" w:rsidRPr="00DE09E5" w:rsidRDefault="006A3009" w:rsidP="006A3009">
      <w:pPr>
        <w:pStyle w:val="Paragraphedeliste"/>
        <w:numPr>
          <w:ilvl w:val="0"/>
          <w:numId w:val="12"/>
        </w:numPr>
        <w:rPr>
          <w:color w:val="EE0000"/>
        </w:rPr>
      </w:pPr>
      <w:r>
        <w:rPr>
          <w:color w:val="EE0000"/>
        </w:rPr>
        <w:t>Anticipations rationnelles : les agents anticipent les effets des politiques économiques et ajustent leur comportement</w:t>
      </w:r>
    </w:p>
    <w:p w14:paraId="4A927C37" w14:textId="77777777" w:rsidR="006A3009" w:rsidRDefault="006A3009" w:rsidP="006A3009">
      <w:pPr>
        <w:pStyle w:val="Paragraphedeliste"/>
        <w:numPr>
          <w:ilvl w:val="0"/>
          <w:numId w:val="12"/>
        </w:numPr>
      </w:pPr>
      <w:r>
        <w:rPr>
          <w:color w:val="EE0000"/>
        </w:rPr>
        <w:t>Coûts de l’inflation</w:t>
      </w:r>
    </w:p>
    <w:p w14:paraId="70B42803" w14:textId="77777777" w:rsidR="006A3009" w:rsidRPr="00A55DA0" w:rsidRDefault="006A3009" w:rsidP="006A3009">
      <w:pPr>
        <w:rPr>
          <w:color w:val="275317" w:themeColor="accent6" w:themeShade="80"/>
        </w:rPr>
      </w:pPr>
      <w:r>
        <w:rPr>
          <w:color w:val="275317" w:themeColor="accent6" w:themeShade="80"/>
        </w:rPr>
        <w:lastRenderedPageBreak/>
        <w:t xml:space="preserve">Monétarisme : </w:t>
      </w:r>
      <w:r>
        <w:rPr>
          <w:b/>
          <w:bCs/>
          <w:color w:val="275317" w:themeColor="accent6" w:themeShade="80"/>
          <w:u w:val="single"/>
        </w:rPr>
        <w:t>éviter l’inflation</w:t>
      </w:r>
      <w:r>
        <w:rPr>
          <w:color w:val="275317" w:themeColor="accent6" w:themeShade="80"/>
        </w:rPr>
        <w:t xml:space="preserve"> </w:t>
      </w:r>
    </w:p>
    <w:p w14:paraId="4A6FF9B8" w14:textId="77777777" w:rsidR="006A3009" w:rsidRPr="00A55DA0" w:rsidRDefault="006A3009" w:rsidP="006A3009">
      <w:pPr>
        <w:pStyle w:val="Paragraphedeliste"/>
        <w:numPr>
          <w:ilvl w:val="0"/>
          <w:numId w:val="12"/>
        </w:numPr>
        <w:rPr>
          <w:color w:val="275317" w:themeColor="accent6" w:themeShade="80"/>
        </w:rPr>
      </w:pPr>
      <w:r>
        <w:rPr>
          <w:color w:val="275317" w:themeColor="accent6" w:themeShade="80"/>
        </w:rPr>
        <w:t>Neutralité de la monnaie : quantité de monnaie qui circule dans l’éco influence les prix mais pas la quantité produite</w:t>
      </w:r>
    </w:p>
    <w:p w14:paraId="44CBE0A2" w14:textId="77777777" w:rsidR="006A3009" w:rsidRDefault="006A3009" w:rsidP="006A3009">
      <w:pPr>
        <w:rPr>
          <w:color w:val="EE0000"/>
        </w:rPr>
      </w:pPr>
      <w:r>
        <w:rPr>
          <w:highlight w:val="yellow"/>
        </w:rPr>
        <w:t xml:space="preserve">Objectif : </w:t>
      </w:r>
      <w:r>
        <w:rPr>
          <w:color w:val="215E99" w:themeColor="text2" w:themeTint="BF"/>
          <w:highlight w:val="yellow"/>
        </w:rPr>
        <w:t>limiter l’inflation</w:t>
      </w:r>
    </w:p>
    <w:p w14:paraId="5C758A0E" w14:textId="77777777" w:rsidR="006A3009" w:rsidRDefault="006A3009" w:rsidP="006A3009">
      <w:pPr>
        <w:rPr>
          <w:color w:val="EE0000"/>
        </w:rPr>
      </w:pPr>
    </w:p>
    <w:p w14:paraId="243E27CF" w14:textId="77777777" w:rsidR="00DA1845" w:rsidRPr="00420F25" w:rsidRDefault="00DA1845" w:rsidP="006A3009">
      <w:pPr>
        <w:pStyle w:val="Titre3"/>
      </w:pPr>
      <w:bookmarkStart w:id="18" w:name="_Toc243123141"/>
      <w:r>
        <w:t>2°) La mise en œuvre des politiques néoclassiques</w:t>
      </w:r>
      <w:bookmarkEnd w:id="18"/>
    </w:p>
    <w:p w14:paraId="7F89F92D" w14:textId="77777777" w:rsidR="00DA1845" w:rsidRDefault="00DA1845" w:rsidP="00DA1845">
      <w:pPr>
        <w:pStyle w:val="Titre4"/>
      </w:pPr>
      <w:r>
        <w:t>Politique de l’offre</w:t>
      </w:r>
    </w:p>
    <w:p w14:paraId="6B293067" w14:textId="77777777" w:rsidR="00DA1845" w:rsidRDefault="00DA1845" w:rsidP="00DA1845">
      <w:r>
        <w:t xml:space="preserve">Cela entraine une réduction de la </w:t>
      </w:r>
      <w:r>
        <w:rPr>
          <w:b/>
          <w:bCs/>
        </w:rPr>
        <w:t>pression fiscale</w:t>
      </w:r>
      <w:r>
        <w:t xml:space="preserve">, augmenter les incitations à travailler, exemple : la théorie du ruissellement </w:t>
      </w:r>
    </w:p>
    <w:p w14:paraId="2632BF67" w14:textId="77777777" w:rsidR="00DA1845" w:rsidRDefault="00DA1845" w:rsidP="00DA1845">
      <w:r>
        <w:rPr>
          <w:noProof/>
        </w:rPr>
        <w:drawing>
          <wp:inline distT="0" distB="0" distL="0" distR="0" wp14:anchorId="63D97D8A" wp14:editId="24A8C47E">
            <wp:extent cx="5760720" cy="2959735"/>
            <wp:effectExtent l="0" t="0" r="5080" b="0"/>
            <wp:docPr id="20592998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99851" name=""/>
                    <pic:cNvPicPr/>
                  </pic:nvPicPr>
                  <pic:blipFill>
                    <a:blip r:embed="rId39">
                      <a:extLst>
                        <a:ext uri="{BEBA8EAE-BF5A-486C-A8C5-ECC9F3942E4B}">
                          <a14:imgProps xmlns:a14="http://schemas.microsoft.com/office/drawing/2010/main">
                            <a14:imgLayer r:embed="rId40">
                              <a14:imgEffect>
                                <a14:artisticCement/>
                              </a14:imgEffect>
                            </a14:imgLayer>
                          </a14:imgProps>
                        </a:ext>
                      </a:extLst>
                    </a:blip>
                    <a:stretch>
                      <a:fillRect/>
                    </a:stretch>
                  </pic:blipFill>
                  <pic:spPr>
                    <a:xfrm>
                      <a:off x="0" y="0"/>
                      <a:ext cx="5760720" cy="2959735"/>
                    </a:xfrm>
                    <a:prstGeom prst="rect">
                      <a:avLst/>
                    </a:prstGeom>
                  </pic:spPr>
                </pic:pic>
              </a:graphicData>
            </a:graphic>
          </wp:inline>
        </w:drawing>
      </w:r>
    </w:p>
    <w:p w14:paraId="03E5A01F" w14:textId="77777777" w:rsidR="00DA1845" w:rsidRDefault="00DA1845" w:rsidP="00DA1845"/>
    <w:p w14:paraId="1B3C869A" w14:textId="77777777" w:rsidR="00DA1845" w:rsidRDefault="00DA1845" w:rsidP="00DA1845">
      <w:pPr>
        <w:pStyle w:val="Titre4"/>
      </w:pPr>
      <w:r>
        <w:t>Politiques de libéralisation</w:t>
      </w:r>
    </w:p>
    <w:p w14:paraId="7C048467" w14:textId="77777777" w:rsidR="00DA1845" w:rsidRDefault="00DA1845" w:rsidP="00DA1845">
      <w:r>
        <w:rPr>
          <w:b/>
          <w:bCs/>
          <w:u w:val="single"/>
        </w:rPr>
        <w:t>Libéralisation du marché du travail </w:t>
      </w:r>
      <w:r>
        <w:t xml:space="preserve">: Flexibilisation du marché du travail qui permet d’améliorer le fonctionnement du marché du travail et d’ainsi lutter contre le chômage volontaire. </w:t>
      </w:r>
    </w:p>
    <w:p w14:paraId="5458680A" w14:textId="77777777" w:rsidR="00DA1845" w:rsidRDefault="00DA1845" w:rsidP="00DA1845">
      <w:r>
        <w:rPr>
          <w:b/>
          <w:bCs/>
          <w:u w:val="single"/>
        </w:rPr>
        <w:t>Libéralisation financière</w:t>
      </w:r>
      <w:r>
        <w:t> : 3D : désintermédiation, dérèglementation, décloisonnement</w:t>
      </w:r>
    </w:p>
    <w:p w14:paraId="5E9C34CD" w14:textId="77777777" w:rsidR="00DA1845" w:rsidRDefault="00DA1845" w:rsidP="00DA1845">
      <w:pPr>
        <w:jc w:val="center"/>
      </w:pPr>
      <w:r>
        <w:rPr>
          <w:noProof/>
        </w:rPr>
        <w:lastRenderedPageBreak/>
        <w:drawing>
          <wp:inline distT="0" distB="0" distL="0" distR="0" wp14:anchorId="163CC009" wp14:editId="65B2D88B">
            <wp:extent cx="3090333" cy="1911359"/>
            <wp:effectExtent l="0" t="0" r="0" b="0"/>
            <wp:docPr id="1928985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85590" name=""/>
                    <pic:cNvPicPr/>
                  </pic:nvPicPr>
                  <pic:blipFill>
                    <a:blip r:embed="rId41">
                      <a:extLst>
                        <a:ext uri="{BEBA8EAE-BF5A-486C-A8C5-ECC9F3942E4B}">
                          <a14:imgProps xmlns:a14="http://schemas.microsoft.com/office/drawing/2010/main">
                            <a14:imgLayer r:embed="rId42">
                              <a14:imgEffect>
                                <a14:artisticCement/>
                              </a14:imgEffect>
                            </a14:imgLayer>
                          </a14:imgProps>
                        </a:ext>
                      </a:extLst>
                    </a:blip>
                    <a:stretch>
                      <a:fillRect/>
                    </a:stretch>
                  </pic:blipFill>
                  <pic:spPr>
                    <a:xfrm>
                      <a:off x="0" y="0"/>
                      <a:ext cx="3183481" cy="1968971"/>
                    </a:xfrm>
                    <a:prstGeom prst="rect">
                      <a:avLst/>
                    </a:prstGeom>
                  </pic:spPr>
                </pic:pic>
              </a:graphicData>
            </a:graphic>
          </wp:inline>
        </w:drawing>
      </w:r>
    </w:p>
    <w:p w14:paraId="29A28F44" w14:textId="77777777" w:rsidR="00DA1845" w:rsidRDefault="00DA1845" w:rsidP="00DA1845">
      <w:pPr>
        <w:pStyle w:val="Titre4"/>
      </w:pPr>
      <w:r>
        <w:t>Règles budgétaires en Europe</w:t>
      </w:r>
    </w:p>
    <w:p w14:paraId="5C5EE1AB" w14:textId="77777777" w:rsidR="00DA1845" w:rsidRDefault="00DA1845" w:rsidP="00DA1845">
      <w:r>
        <w:t xml:space="preserve">Pacte de stabilité et de croissance : </w:t>
      </w:r>
    </w:p>
    <w:p w14:paraId="3F043F47" w14:textId="77777777" w:rsidR="00DA1845" w:rsidRDefault="00DA1845" w:rsidP="00DA1845">
      <w:pPr>
        <w:pStyle w:val="Paragraphedeliste"/>
        <w:numPr>
          <w:ilvl w:val="0"/>
          <w:numId w:val="4"/>
        </w:numPr>
      </w:pPr>
      <w:r>
        <w:t xml:space="preserve">Déficit public limité à 3% du PIB </w:t>
      </w:r>
    </w:p>
    <w:p w14:paraId="20FC5EB0" w14:textId="77777777" w:rsidR="00DA1845" w:rsidRDefault="00DA1845" w:rsidP="00DA1845">
      <w:pPr>
        <w:pStyle w:val="Paragraphedeliste"/>
        <w:numPr>
          <w:ilvl w:val="0"/>
          <w:numId w:val="4"/>
        </w:numPr>
      </w:pPr>
      <w:r>
        <w:t xml:space="preserve">Dette publique limitée à 60% du PIB </w:t>
      </w:r>
    </w:p>
    <w:p w14:paraId="0CC93BE4" w14:textId="77777777" w:rsidR="00DA1845" w:rsidRDefault="00DA1845" w:rsidP="00DA1845">
      <w:pPr>
        <w:tabs>
          <w:tab w:val="left" w:pos="5000"/>
        </w:tabs>
      </w:pPr>
    </w:p>
    <w:p w14:paraId="1F0B44EA" w14:textId="77777777" w:rsidR="00DA1845" w:rsidRDefault="00DA1845" w:rsidP="00DA1845">
      <w:pPr>
        <w:pStyle w:val="Titre2"/>
      </w:pPr>
      <w:bookmarkStart w:id="19" w:name="_Toc243123142"/>
      <w:r>
        <w:t>II – Le retour de la politique budgétaire après la crise financière de 2008</w:t>
      </w:r>
      <w:bookmarkEnd w:id="19"/>
    </w:p>
    <w:p w14:paraId="0E5F897F" w14:textId="77777777" w:rsidR="00DA1845" w:rsidRDefault="00DA1845" w:rsidP="00DA1845"/>
    <w:p w14:paraId="022A815E" w14:textId="77777777" w:rsidR="00DA1845" w:rsidRPr="00420F25" w:rsidRDefault="00DA1845" w:rsidP="00DA1845">
      <w:pPr>
        <w:pStyle w:val="Titre3"/>
      </w:pPr>
      <w:bookmarkStart w:id="20" w:name="_Toc243123143"/>
      <w:r>
        <w:t>1°) La crise des subprimes</w:t>
      </w:r>
      <w:bookmarkEnd w:id="20"/>
    </w:p>
    <w:p w14:paraId="33B1976A" w14:textId="77777777" w:rsidR="00DA1845" w:rsidRDefault="0055146C" w:rsidP="00DA1845">
      <w:r>
        <w:t xml:space="preserve">Contexte : hausse des prix de l’immobilier et faibles taux d’intérêt. Le problème était que des </w:t>
      </w:r>
      <w:r>
        <w:rPr>
          <w:b/>
          <w:bCs/>
          <w:color w:val="EE0000"/>
        </w:rPr>
        <w:t>crédits à taux variables étaient accordés à des ménages peu solvables</w:t>
      </w:r>
      <w:r>
        <w:rPr>
          <w:color w:val="EE0000"/>
        </w:rPr>
        <w:t xml:space="preserve"> </w:t>
      </w:r>
      <w:r>
        <w:t xml:space="preserve">pour acquérir un bien immobilier. </w:t>
      </w:r>
    </w:p>
    <w:p w14:paraId="3F0A940D" w14:textId="77777777" w:rsidR="0058000A" w:rsidRDefault="0058000A" w:rsidP="00DA1845">
      <w:r>
        <w:t xml:space="preserve">En 2006, ¼ des prêts sont des subprimes. </w:t>
      </w:r>
    </w:p>
    <w:p w14:paraId="13DE9FB3" w14:textId="77777777" w:rsidR="0055146C" w:rsidRDefault="0055146C" w:rsidP="00DA1845">
      <w:r>
        <w:rPr>
          <w:noProof/>
        </w:rPr>
        <w:drawing>
          <wp:inline distT="0" distB="0" distL="0" distR="0" wp14:anchorId="123E76B9" wp14:editId="4345F432">
            <wp:extent cx="5760720" cy="2141855"/>
            <wp:effectExtent l="0" t="0" r="5080" b="4445"/>
            <wp:docPr id="1564567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67380" name=""/>
                    <pic:cNvPicPr/>
                  </pic:nvPicPr>
                  <pic:blipFill>
                    <a:blip r:embed="rId43"/>
                    <a:stretch>
                      <a:fillRect/>
                    </a:stretch>
                  </pic:blipFill>
                  <pic:spPr>
                    <a:xfrm>
                      <a:off x="0" y="0"/>
                      <a:ext cx="5760720" cy="2141855"/>
                    </a:xfrm>
                    <a:prstGeom prst="rect">
                      <a:avLst/>
                    </a:prstGeom>
                  </pic:spPr>
                </pic:pic>
              </a:graphicData>
            </a:graphic>
          </wp:inline>
        </w:drawing>
      </w:r>
    </w:p>
    <w:p w14:paraId="5EA15BDC" w14:textId="77777777" w:rsidR="0055146C" w:rsidRDefault="0055146C" w:rsidP="00DA1845">
      <w:r>
        <w:t>Indice Case-Shiller</w:t>
      </w:r>
    </w:p>
    <w:p w14:paraId="6F4DEBD9" w14:textId="77777777" w:rsidR="0055146C" w:rsidRDefault="0055146C" w:rsidP="00DA1845">
      <w:r>
        <w:lastRenderedPageBreak/>
        <w:t>Titrisation : les crédits subprimes sont transformés en titres financiers regroupant ainsi d’autres titres =&gt; 15 septembre 2008 faillite de Lehman Bro =&gt; le marché interbancaire est gelé</w:t>
      </w:r>
    </w:p>
    <w:p w14:paraId="1B5DD760" w14:textId="77777777" w:rsidR="0055146C" w:rsidRDefault="0055146C" w:rsidP="00DA1845">
      <w:pPr>
        <w:rPr>
          <w:color w:val="EE0000"/>
        </w:rPr>
      </w:pPr>
      <w:r>
        <w:rPr>
          <w:color w:val="EE0000"/>
          <w:highlight w:val="yellow"/>
        </w:rPr>
        <w:t>La crise financière devient économique</w:t>
      </w:r>
    </w:p>
    <w:p w14:paraId="7A1C34CB" w14:textId="77777777" w:rsidR="0055146C" w:rsidRDefault="0055146C" w:rsidP="0055146C">
      <w:pPr>
        <w:jc w:val="center"/>
        <w:rPr>
          <w:color w:val="EE0000"/>
        </w:rPr>
      </w:pPr>
      <w:r>
        <w:rPr>
          <w:noProof/>
          <w:color w:val="EE0000"/>
        </w:rPr>
        <w:drawing>
          <wp:inline distT="0" distB="0" distL="0" distR="0" wp14:anchorId="59970B56" wp14:editId="6E69D7C1">
            <wp:extent cx="5760720" cy="4930140"/>
            <wp:effectExtent l="0" t="0" r="5080" b="0"/>
            <wp:docPr id="908804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4048" name=""/>
                    <pic:cNvPicPr/>
                  </pic:nvPicPr>
                  <pic:blipFill>
                    <a:blip r:embed="rId44">
                      <a:extLst>
                        <a:ext uri="{BEBA8EAE-BF5A-486C-A8C5-ECC9F3942E4B}">
                          <a14:imgProps xmlns:a14="http://schemas.microsoft.com/office/drawing/2010/main">
                            <a14:imgLayer r:embed="rId45">
                              <a14:imgEffect>
                                <a14:artisticCement/>
                              </a14:imgEffect>
                            </a14:imgLayer>
                          </a14:imgProps>
                        </a:ext>
                      </a:extLst>
                    </a:blip>
                    <a:stretch>
                      <a:fillRect/>
                    </a:stretch>
                  </pic:blipFill>
                  <pic:spPr>
                    <a:xfrm>
                      <a:off x="0" y="0"/>
                      <a:ext cx="5760720" cy="4930140"/>
                    </a:xfrm>
                    <a:prstGeom prst="rect">
                      <a:avLst/>
                    </a:prstGeom>
                  </pic:spPr>
                </pic:pic>
              </a:graphicData>
            </a:graphic>
          </wp:inline>
        </w:drawing>
      </w:r>
    </w:p>
    <w:p w14:paraId="2722556C" w14:textId="77777777" w:rsidR="0055146C" w:rsidRPr="00420F25" w:rsidRDefault="0055146C" w:rsidP="0055146C">
      <w:pPr>
        <w:jc w:val="center"/>
        <w:rPr>
          <w:color w:val="FFC000"/>
        </w:rPr>
      </w:pPr>
    </w:p>
    <w:p w14:paraId="6B33C582" w14:textId="77777777" w:rsidR="0055146C" w:rsidRPr="00420F25" w:rsidRDefault="0055146C" w:rsidP="0055146C">
      <w:pPr>
        <w:pStyle w:val="Titre3"/>
      </w:pPr>
      <w:bookmarkStart w:id="21" w:name="_Toc243123144"/>
      <w:r>
        <w:t>2°) Le retour des politiques budgétaires de relance</w:t>
      </w:r>
      <w:bookmarkEnd w:id="21"/>
    </w:p>
    <w:p w14:paraId="3C2CEBB0" w14:textId="5A34A7F1" w:rsidR="0055146C" w:rsidRDefault="004B2F14" w:rsidP="0055146C">
      <w:pPr>
        <w:rPr>
          <w:color w:val="000000" w:themeColor="text1"/>
        </w:rPr>
      </w:pPr>
      <w:r>
        <w:rPr>
          <w:color w:val="000000" w:themeColor="text1"/>
        </w:rPr>
        <w:t xml:space="preserve">La crise de 2008 est la plus grosse crise depuis 1929 </w:t>
      </w:r>
    </w:p>
    <w:p w14:paraId="225A8226" w14:textId="77777777" w:rsidR="00770FD5" w:rsidRDefault="00770FD5" w:rsidP="007F1B80">
      <w:pPr>
        <w:jc w:val="center"/>
        <w:rPr>
          <w:color w:val="000000" w:themeColor="text1"/>
        </w:rPr>
      </w:pPr>
      <w:r>
        <w:rPr>
          <w:noProof/>
          <w:color w:val="000000" w:themeColor="text1"/>
        </w:rPr>
        <w:lastRenderedPageBreak/>
        <w:drawing>
          <wp:inline distT="0" distB="0" distL="0" distR="0" wp14:anchorId="0C07A68D" wp14:editId="6681BFA2">
            <wp:extent cx="3197881" cy="1790700"/>
            <wp:effectExtent l="0" t="0" r="2540" b="0"/>
            <wp:docPr id="874448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48003" name=""/>
                    <pic:cNvPicPr/>
                  </pic:nvPicPr>
                  <pic:blipFill>
                    <a:blip r:embed="rId46"/>
                    <a:stretch>
                      <a:fillRect/>
                    </a:stretch>
                  </pic:blipFill>
                  <pic:spPr>
                    <a:xfrm>
                      <a:off x="0" y="0"/>
                      <a:ext cx="3380153" cy="1892766"/>
                    </a:xfrm>
                    <a:prstGeom prst="rect">
                      <a:avLst/>
                    </a:prstGeom>
                  </pic:spPr>
                </pic:pic>
              </a:graphicData>
            </a:graphic>
          </wp:inline>
        </w:drawing>
      </w:r>
    </w:p>
    <w:p w14:paraId="053FC306" w14:textId="77777777" w:rsidR="001A4CB5" w:rsidRDefault="001A4CB5" w:rsidP="001A4CB5">
      <w:pPr>
        <w:ind w:firstLine="708"/>
        <w:rPr>
          <w:color w:val="000000" w:themeColor="text1"/>
        </w:rPr>
      </w:pPr>
      <w:r>
        <w:rPr>
          <w:color w:val="000000" w:themeColor="text1"/>
        </w:rPr>
        <w:t>USA</w:t>
        <w:tab/>
        <w:tab/>
        <w:tab/>
        <w:tab/>
        <w:t xml:space="preserve">Croissance </w:t>
        <w:tab/>
        <w:tab/>
        <w:tab/>
        <w:t xml:space="preserve">Chômage </w:t>
      </w:r>
    </w:p>
    <w:tbl>
      <w:tblPr>
        <w:tblStyle w:val="Grilledutableau"/>
        <w:tblW w:w="9086" w:type="dxa"/>
        <w:tblLook w:val="04A0" w:firstRow="1" w:lastRow="0" w:firstColumn="1" w:lastColumn="0" w:noHBand="0" w:noVBand="1"/>
      </w:tblPr>
      <w:tblGrid>
        <w:gridCol w:w="3028"/>
        <w:gridCol w:w="3029"/>
        <w:gridCol w:w="3029"/>
      </w:tblGrid>
      <w:tr w:rsidR="001A4CB5" w14:paraId="290C9B7E" w14:textId="77777777" w:rsidTr="001A4CB5">
        <w:trPr>
          <w:trHeight w:val="314"/>
        </w:trPr>
        <w:tc>
          <w:tcPr>
            <w:tcW w:w="3028" w:type="dxa"/>
          </w:tcPr>
          <w:p w14:paraId="7A298123" w14:textId="77777777" w:rsidR="001A4CB5" w:rsidRDefault="001A4CB5" w:rsidP="00FC2E83">
            <w:pPr>
              <w:rPr>
                <w:color w:val="000000" w:themeColor="text1"/>
              </w:rPr>
            </w:pPr>
            <w:r>
              <w:rPr>
                <w:color w:val="000000" w:themeColor="text1"/>
              </w:rPr>
              <w:t>2007</w:t>
            </w:r>
          </w:p>
        </w:tc>
        <w:tc>
          <w:tcPr>
            <w:tcW w:w="3029" w:type="dxa"/>
          </w:tcPr>
          <w:p w14:paraId="254C1241" w14:textId="77777777" w:rsidR="001A4CB5" w:rsidRDefault="001A4CB5" w:rsidP="00FC2E83">
            <w:pPr>
              <w:rPr>
                <w:color w:val="000000" w:themeColor="text1"/>
              </w:rPr>
            </w:pPr>
            <w:r>
              <w:rPr>
                <w:color w:val="000000" w:themeColor="text1"/>
              </w:rPr>
              <w:t>2%</w:t>
            </w:r>
          </w:p>
        </w:tc>
        <w:tc>
          <w:tcPr>
            <w:tcW w:w="3029" w:type="dxa"/>
          </w:tcPr>
          <w:p w14:paraId="726508B9" w14:textId="77777777" w:rsidR="001A4CB5" w:rsidRDefault="001A4CB5" w:rsidP="00FC2E83">
            <w:pPr>
              <w:rPr>
                <w:color w:val="000000" w:themeColor="text1"/>
              </w:rPr>
            </w:pPr>
            <w:r>
              <w:rPr>
                <w:noProof/>
                <w:color w:val="000000" w:themeColor="text1"/>
              </w:rPr>
              <mc:AlternateContent>
                <mc:Choice Requires="wpi">
                  <w:drawing>
                    <wp:anchor distT="0" distB="0" distL="114300" distR="114300" simplePos="0" relativeHeight="251678720" behindDoc="0" locked="0" layoutInCell="1" allowOverlap="1" wp14:anchorId="325B6EF4" wp14:editId="18CD9D3B">
                      <wp:simplePos x="0" y="0"/>
                      <wp:positionH relativeFrom="column">
                        <wp:posOffset>1011975</wp:posOffset>
                      </wp:positionH>
                      <wp:positionV relativeFrom="paragraph">
                        <wp:posOffset>64096</wp:posOffset>
                      </wp:positionV>
                      <wp:extent cx="81360" cy="125640"/>
                      <wp:effectExtent l="38100" t="38100" r="33020" b="40005"/>
                      <wp:wrapNone/>
                      <wp:docPr id="349834315" name="Encre 33"/>
                      <wp:cNvGraphicFramePr/>
                      <a:graphic xmlns:a="http://schemas.openxmlformats.org/drawingml/2006/main">
                        <a:graphicData uri="http://schemas.microsoft.com/office/word/2010/wordprocessingInk">
                          <w14:contentPart bwMode="auto" r:id="rId47">
                            <w14:nvContentPartPr>
                              <w14:cNvContentPartPr/>
                            </w14:nvContentPartPr>
                            <w14:xfrm>
                              <a:off x="0" y="0"/>
                              <a:ext cx="81360" cy="125640"/>
                            </w14:xfrm>
                          </w14:contentPart>
                        </a:graphicData>
                      </a:graphic>
                    </wp:anchor>
                  </w:drawing>
                </mc:Choice>
                <mc:Fallback>
                  <w:pict>
                    <v:shape w14:anchorId="3B1D7CE2" id="Encre 33" o:spid="_x0000_s1026" type="#_x0000_t75" style="position:absolute;margin-left:79.2pt;margin-top:4.55pt;width:7.35pt;height:10.9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">
                      <v:imagedata r:id="rId48" o:title=""/>
                    </v:shape>
                  </w:pict>
                </mc:Fallback>
              </mc:AlternateContent>
              <mc:AlternateContent>
                <mc:Choice Requires="wpi">
                  <w:drawing>
                    <wp:anchor distT="0" distB="0" distL="114300" distR="114300" simplePos="0" relativeHeight="251677696" behindDoc="0" locked="0" layoutInCell="1" allowOverlap="1" wp14:anchorId="4F5368F0" wp14:editId="660AA74D">
                      <wp:simplePos x="0" y="0"/>
                      <wp:positionH relativeFrom="column">
                        <wp:posOffset>789305</wp:posOffset>
                      </wp:positionH>
                      <wp:positionV relativeFrom="paragraph">
                        <wp:posOffset>121285</wp:posOffset>
                      </wp:positionV>
                      <wp:extent cx="87265" cy="86040"/>
                      <wp:effectExtent l="38100" t="38100" r="40005" b="41275"/>
                      <wp:wrapNone/>
                      <wp:docPr id="28967030" name="Encre 32"/>
                      <wp:cNvGraphicFramePr/>
                      <a:graphic xmlns:a="http://schemas.openxmlformats.org/drawingml/2006/main">
                        <a:graphicData uri="http://schemas.microsoft.com/office/word/2010/wordprocessingInk">
                          <w14:contentPart bwMode="auto" r:id="rId49">
                            <w14:nvContentPartPr>
                              <w14:cNvContentPartPr/>
                            </w14:nvContentPartPr>
                            <w14:xfrm>
                              <a:off x="0" y="0"/>
                              <a:ext cx="87265" cy="86040"/>
                            </w14:xfrm>
                          </w14:contentPart>
                        </a:graphicData>
                      </a:graphic>
                    </wp:anchor>
                  </w:drawing>
                </mc:Choice>
                <mc:Fallback>
                  <w:pict>
                    <v:shape w14:anchorId="6AA3B3C3" id="Encre 32" o:spid="_x0000_s1026" type="#_x0000_t75" style="position:absolute;margin-left:61.65pt;margin-top:9.05pt;width:7.85pt;height:7.7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">
                      <v:imagedata r:id="rId50" o:title=""/>
                    </v:shape>
                  </w:pict>
                </mc:Fallback>
              </mc:AlternateContent>
              <mc:AlternateContent>
                <mc:Choice Requires="wpi">
                  <w:drawing>
                    <wp:anchor distT="0" distB="0" distL="114300" distR="114300" simplePos="0" relativeHeight="251674624" behindDoc="0" locked="0" layoutInCell="1" allowOverlap="1" wp14:anchorId="2E9F280B" wp14:editId="00F1F80A">
                      <wp:simplePos x="0" y="0"/>
                      <wp:positionH relativeFrom="column">
                        <wp:posOffset>614175</wp:posOffset>
                      </wp:positionH>
                      <wp:positionV relativeFrom="paragraph">
                        <wp:posOffset>88216</wp:posOffset>
                      </wp:positionV>
                      <wp:extent cx="41760" cy="201960"/>
                      <wp:effectExtent l="25400" t="38100" r="9525" b="39370"/>
                      <wp:wrapNone/>
                      <wp:docPr id="214195674" name="Encre 29"/>
                      <wp:cNvGraphicFramePr/>
                      <a:graphic xmlns:a="http://schemas.openxmlformats.org/drawingml/2006/main">
                        <a:graphicData uri="http://schemas.microsoft.com/office/word/2010/wordprocessingInk">
                          <w14:contentPart bwMode="auto" r:id="rId51">
                            <w14:nvContentPartPr>
                              <w14:cNvContentPartPr/>
                            </w14:nvContentPartPr>
                            <w14:xfrm>
                              <a:off x="0" y="0"/>
                              <a:ext cx="41760" cy="201960"/>
                            </w14:xfrm>
                          </w14:contentPart>
                        </a:graphicData>
                      </a:graphic>
                    </wp:anchor>
                  </w:drawing>
                </mc:Choice>
                <mc:Fallback>
                  <w:pict>
                    <v:shape w14:anchorId="3CD5AD48" id="Encre 29" o:spid="_x0000_s1026" type="#_x0000_t75" style="position:absolute;margin-left:47.85pt;margin-top:6.45pt;width:4.3pt;height:16.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">
                      <v:imagedata r:id="rId52" o:title=""/>
                    </v:shape>
                  </w:pict>
                </mc:Fallback>
              </mc:AlternateContent>
            </w:r>
            <w:r>
              <w:rPr>
                <w:color w:val="000000" w:themeColor="text1"/>
              </w:rPr>
              <w:t>5%</w:t>
            </w:r>
          </w:p>
        </w:tc>
      </w:tr>
      <w:tr w:rsidR="001A4CB5" w14:paraId="6692DE45" w14:textId="77777777" w:rsidTr="001A4CB5">
        <w:trPr>
          <w:trHeight w:val="314"/>
        </w:trPr>
        <w:tc>
          <w:tcPr>
            <w:tcW w:w="3028" w:type="dxa"/>
          </w:tcPr>
          <w:p w14:paraId="63B5F508" w14:textId="77777777" w:rsidR="001A4CB5" w:rsidRDefault="001A4CB5" w:rsidP="00FC2E83">
            <w:pPr>
              <w:rPr>
                <w:color w:val="000000" w:themeColor="text1"/>
              </w:rPr>
            </w:pPr>
            <w:r>
              <w:rPr>
                <w:color w:val="000000" w:themeColor="text1"/>
              </w:rPr>
              <w:t>2009</w:t>
            </w:r>
          </w:p>
        </w:tc>
        <w:tc>
          <w:tcPr>
            <w:tcW w:w="3029" w:type="dxa"/>
          </w:tcPr>
          <w:p w14:paraId="56861FF4" w14:textId="77777777" w:rsidR="001A4CB5" w:rsidRPr="001A4CB5" w:rsidRDefault="001A4CB5" w:rsidP="00FC2E83">
            <w:pPr>
              <w:rPr>
                <w:color w:val="000000" w:themeColor="text1"/>
                <w:highlight w:val="yellow"/>
              </w:rPr>
            </w:pPr>
            <w:r>
              <w:rPr>
                <w:color w:val="000000" w:themeColor="text1"/>
                <w:highlight w:val="yellow"/>
              </w:rPr>
              <w:t>-2,6%</w:t>
            </w:r>
          </w:p>
        </w:tc>
        <w:tc>
          <w:tcPr>
            <w:tcW w:w="3029" w:type="dxa"/>
          </w:tcPr>
          <w:p w14:paraId="7284AAA1" w14:textId="77777777" w:rsidR="001A4CB5" w:rsidRDefault="001A4CB5" w:rsidP="00FC2E83">
            <w:pPr>
              <w:rPr>
                <w:color w:val="000000" w:themeColor="text1"/>
              </w:rPr>
            </w:pPr>
            <w:r>
              <w:rPr>
                <w:noProof/>
                <w:color w:val="000000" w:themeColor="text1"/>
              </w:rPr>
              <mc:AlternateContent>
                <mc:Choice Requires="wpi">
                  <w:drawing>
                    <wp:anchor distT="0" distB="0" distL="114300" distR="114300" simplePos="0" relativeHeight="251679744" behindDoc="0" locked="0" layoutInCell="1" allowOverlap="1" wp14:anchorId="05F44531" wp14:editId="35503DBE">
                      <wp:simplePos x="0" y="0"/>
                      <wp:positionH relativeFrom="column">
                        <wp:posOffset>595455</wp:posOffset>
                      </wp:positionH>
                      <wp:positionV relativeFrom="paragraph">
                        <wp:posOffset>59236</wp:posOffset>
                      </wp:positionV>
                      <wp:extent cx="63360" cy="66600"/>
                      <wp:effectExtent l="38100" t="38100" r="635" b="35560"/>
                      <wp:wrapNone/>
                      <wp:docPr id="1943052065" name="Encre 34"/>
                      <wp:cNvGraphicFramePr/>
                      <a:graphic xmlns:a="http://schemas.openxmlformats.org/drawingml/2006/main">
                        <a:graphicData uri="http://schemas.microsoft.com/office/word/2010/wordprocessingInk">
                          <w14:contentPart bwMode="auto" r:id="rId53">
                            <w14:nvContentPartPr>
                              <w14:cNvContentPartPr/>
                            </w14:nvContentPartPr>
                            <w14:xfrm>
                              <a:off x="0" y="0"/>
                              <a:ext cx="63360" cy="66600"/>
                            </w14:xfrm>
                          </w14:contentPart>
                        </a:graphicData>
                      </a:graphic>
                    </wp:anchor>
                  </w:drawing>
                </mc:Choice>
                <mc:Fallback>
                  <w:pict>
                    <v:shape w14:anchorId="3254186F" id="Encre 34" o:spid="_x0000_s1026" type="#_x0000_t75" style="position:absolute;margin-left:46.4pt;margin-top:4.15pt;width:6pt;height:6.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">
                      <v:imagedata r:id="rId54" o:title=""/>
                    </v:shape>
                  </w:pict>
                </mc:Fallback>
              </mc:AlternateContent>
            </w:r>
            <w:r>
              <w:rPr>
                <w:color w:val="000000" w:themeColor="text1"/>
              </w:rPr>
              <w:t>10%</w:t>
            </w:r>
          </w:p>
        </w:tc>
      </w:tr>
    </w:tbl>
    <w:p w14:paraId="2B65D99B" w14:textId="77777777" w:rsidR="001A4CB5" w:rsidRDefault="001A4CB5" w:rsidP="00FC2E83">
      <w:pPr>
        <w:rPr>
          <w:color w:val="000000" w:themeColor="text1"/>
        </w:rPr>
      </w:pPr>
    </w:p>
    <w:p w14:paraId="7D59CF4B" w14:textId="77777777" w:rsidR="001A4CB5" w:rsidRDefault="001A4CB5" w:rsidP="001A4CB5">
      <w:pPr>
        <w:rPr>
          <w:color w:val="000000" w:themeColor="text1"/>
        </w:rPr>
      </w:pPr>
      <w:r>
        <w:rPr>
          <w:b/>
          <w:bCs/>
          <w:color w:val="000000" w:themeColor="text1"/>
          <w:u w:val="single"/>
        </w:rPr>
        <w:t>Plans de relance</w:t>
      </w:r>
      <w:r>
        <w:rPr>
          <w:color w:val="000000" w:themeColor="text1"/>
        </w:rPr>
        <w:t xml:space="preserve"> : </w:t>
      </w:r>
    </w:p>
    <w:p w14:paraId="79727517" w14:textId="77777777" w:rsidR="001A4CB5" w:rsidRDefault="001A4CB5" w:rsidP="001A4CB5">
      <w:pPr>
        <w:rPr>
          <w:color w:val="000000" w:themeColor="text1"/>
        </w:rPr>
      </w:pPr>
      <w:r>
        <w:rPr>
          <w:color w:val="000000" w:themeColor="text1"/>
          <w:highlight w:val="green"/>
        </w:rPr>
        <w:t>5% du PIB aux USA</w:t>
      </w:r>
      <w:r>
        <w:rPr>
          <w:color w:val="000000" w:themeColor="text1"/>
        </w:rPr>
        <w:t xml:space="preserve"> : Obama au pouvoir - </w:t>
      </w:r>
      <w:r>
        <w:rPr>
          <w:color w:val="000000" w:themeColor="text1"/>
          <w:highlight w:val="cyan"/>
        </w:rPr>
        <w:t>1,5% en Europe</w:t>
      </w:r>
    </w:p>
    <w:p w14:paraId="3702F582" w14:textId="77777777" w:rsidR="001A4CB5" w:rsidRDefault="001A4CB5" w:rsidP="001A4CB5">
      <w:pPr>
        <w:rPr>
          <w:color w:val="000000" w:themeColor="text1"/>
        </w:rPr>
      </w:pPr>
      <w:r>
        <w:rPr>
          <w:color w:val="000000" w:themeColor="text1"/>
        </w:rPr>
        <w:t xml:space="preserve">En 2010, </w:t>
      </w:r>
      <w:r>
        <w:rPr>
          <w:color w:val="000000" w:themeColor="text1"/>
          <w:highlight w:val="green"/>
        </w:rPr>
        <w:t>aux USA</w:t>
      </w:r>
      <w:r>
        <w:rPr>
          <w:color w:val="000000" w:themeColor="text1"/>
        </w:rPr>
        <w:t xml:space="preserve">, les politiques de relance continuent jusqu’en 2012 et cela fait revenir la croissance. </w:t>
      </w:r>
    </w:p>
    <w:p w14:paraId="07914356" w14:textId="77777777" w:rsidR="001A4CB5" w:rsidRDefault="001A4CB5" w:rsidP="001A4CB5">
      <w:pPr>
        <w:rPr>
          <w:color w:val="000000" w:themeColor="text1"/>
        </w:rPr>
      </w:pPr>
      <w:r>
        <w:rPr>
          <w:color w:val="000000" w:themeColor="text1"/>
        </w:rPr>
        <w:t xml:space="preserve">En 2010, </w:t>
      </w:r>
      <w:r>
        <w:rPr>
          <w:color w:val="000000" w:themeColor="text1"/>
          <w:highlight w:val="cyan"/>
        </w:rPr>
        <w:t>en UE</w:t>
      </w:r>
      <w:r>
        <w:rPr>
          <w:color w:val="000000" w:themeColor="text1"/>
        </w:rPr>
        <w:t xml:space="preserve">, les politiques de relance étaient plus faibles et n’ont pas permis à l’économie de repartir, les états se retrouvent alors surendettés : </w:t>
      </w:r>
      <w:r>
        <w:rPr>
          <w:b/>
          <w:bCs/>
          <w:color w:val="000000" w:themeColor="text1"/>
        </w:rPr>
        <w:t>la crise de la dette</w:t>
      </w:r>
      <w:r>
        <w:rPr>
          <w:color w:val="000000" w:themeColor="text1"/>
        </w:rPr>
        <w:t xml:space="preserve">. Pour faire face à cela, ce sont des politiques d’austérités qui sont mises en place. </w:t>
      </w:r>
    </w:p>
    <w:p w14:paraId="6AD0FC2D" w14:textId="77777777" w:rsidR="001A4CB5" w:rsidRDefault="001A4CB5" w:rsidP="001A4CB5">
      <w:pPr>
        <w:rPr>
          <w:color w:val="000000" w:themeColor="text1"/>
        </w:rPr>
      </w:pPr>
    </w:p>
    <w:p w14:paraId="6E67448E" w14:textId="77777777" w:rsidR="001A4CB5" w:rsidRPr="00420F25" w:rsidRDefault="001A4CB5" w:rsidP="001A4CB5">
      <w:pPr>
        <w:pStyle w:val="Titre3"/>
      </w:pPr>
      <w:bookmarkStart w:id="22" w:name="_Toc243123145"/>
      <w:r>
        <w:t>3°) La crise de la dette dans la zone euro</w:t>
      </w:r>
      <w:bookmarkEnd w:id="22"/>
    </w:p>
    <w:p w14:paraId="0ABDDF52" w14:textId="77777777" w:rsidR="001A4CB5" w:rsidRDefault="00A55DA0" w:rsidP="001A4CB5">
      <w:pPr>
        <w:rPr>
          <w:color w:val="000000" w:themeColor="text1"/>
        </w:rPr>
      </w:pPr>
      <w:r>
        <w:rPr>
          <w:color w:val="000000" w:themeColor="text1"/>
        </w:rPr>
        <w:t xml:space="preserve">En Europe, la dette publique </w:t>
      </w:r>
      <w:r>
        <w:rPr>
          <w:color w:val="EE0000"/>
          <w:u w:val="single"/>
        </w:rPr>
        <w:t>augmente fortement</w:t>
      </w:r>
      <w:r>
        <w:rPr>
          <w:color w:val="000000" w:themeColor="text1"/>
        </w:rPr>
        <w:t xml:space="preserve">. </w:t>
      </w:r>
    </w:p>
    <w:p w14:paraId="312CF746" w14:textId="77777777" w:rsidR="00A55DA0" w:rsidRDefault="00A55DA0" w:rsidP="001A4CB5">
      <w:pPr>
        <w:rPr>
          <w:color w:val="000000" w:themeColor="text1"/>
        </w:rPr>
      </w:pPr>
      <w:r>
        <w:rPr>
          <w:color w:val="000000" w:themeColor="text1"/>
        </w:rPr>
        <w:t xml:space="preserve">Crise de la dette en euro : </w:t>
      </w:r>
    </w:p>
    <w:p w14:paraId="251711E5" w14:textId="77777777" w:rsidR="00A55DA0" w:rsidRDefault="00A55DA0" w:rsidP="00A55DA0">
      <w:pPr>
        <w:pStyle w:val="Paragraphedeliste"/>
        <w:numPr>
          <w:ilvl w:val="0"/>
          <w:numId w:val="12"/>
        </w:numPr>
        <w:rPr>
          <w:color w:val="000000" w:themeColor="text1"/>
        </w:rPr>
      </w:pPr>
      <w:r>
        <w:rPr>
          <w:noProof/>
          <w:color w:val="000000" w:themeColor="text1"/>
        </w:rPr>
        <w:drawing>
          <wp:anchor distT="0" distB="0" distL="114300" distR="114300" simplePos="0" relativeHeight="251680768" behindDoc="0" locked="0" layoutInCell="1" allowOverlap="1" wp14:anchorId="5EC8A2DE" wp14:editId="0764248B">
            <wp:simplePos x="0" y="0"/>
            <wp:positionH relativeFrom="margin">
              <wp:posOffset>2771775</wp:posOffset>
            </wp:positionH>
            <wp:positionV relativeFrom="margin">
              <wp:posOffset>4433147</wp:posOffset>
            </wp:positionV>
            <wp:extent cx="3348355" cy="2715895"/>
            <wp:effectExtent l="0" t="0" r="4445" b="1905"/>
            <wp:wrapSquare wrapText="bothSides"/>
            <wp:docPr id="12044339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3969"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348355" cy="2715895"/>
                    </a:xfrm>
                    <a:prstGeom prst="rect">
                      <a:avLst/>
                    </a:prstGeom>
                  </pic:spPr>
                </pic:pic>
              </a:graphicData>
            </a:graphic>
          </wp:anchor>
        </w:drawing>
      </w:r>
      <w:r>
        <w:rPr>
          <w:color w:val="000000" w:themeColor="text1"/>
        </w:rPr>
        <w:t>Grèce déficit public plus élevé qu’annoncé (Papandréou se rend compte ≈ 2009 déficit caché)</w:t>
      </w:r>
    </w:p>
    <w:p w14:paraId="01165364" w14:textId="77777777" w:rsidR="00A55DA0" w:rsidRDefault="00A55DA0" w:rsidP="00A55DA0">
      <w:pPr>
        <w:pStyle w:val="Paragraphedeliste"/>
        <w:numPr>
          <w:ilvl w:val="0"/>
          <w:numId w:val="12"/>
        </w:numPr>
        <w:rPr>
          <w:color w:val="000000" w:themeColor="text1"/>
        </w:rPr>
      </w:pPr>
      <w:r>
        <w:rPr>
          <w:color w:val="000000" w:themeColor="text1"/>
        </w:rPr>
        <w:t>Taux d’intérêt augmente</w:t>
      </w:r>
    </w:p>
    <w:p w14:paraId="5089C498" w14:textId="77777777" w:rsidR="00A55DA0" w:rsidRDefault="00A55DA0" w:rsidP="00A55DA0">
      <w:pPr>
        <w:pStyle w:val="Paragraphedeliste"/>
        <w:numPr>
          <w:ilvl w:val="0"/>
          <w:numId w:val="12"/>
        </w:numPr>
        <w:rPr>
          <w:color w:val="000000" w:themeColor="text1"/>
        </w:rPr>
      </w:pPr>
      <w:r>
        <w:rPr>
          <w:color w:val="000000" w:themeColor="text1"/>
        </w:rPr>
        <w:t xml:space="preserve"> Mai 2010 : premier plan de sauvetage, </w:t>
      </w:r>
      <w:r>
        <w:rPr>
          <w:b/>
          <w:bCs/>
          <w:color w:val="000000" w:themeColor="text1"/>
          <w:u w:val="single"/>
        </w:rPr>
        <w:t>Troïka</w:t>
      </w:r>
      <w:r>
        <w:rPr>
          <w:color w:val="000000" w:themeColor="text1"/>
        </w:rPr>
        <w:t> : BCE + Commission + FMI = 110 md €</w:t>
      </w:r>
    </w:p>
    <w:p w14:paraId="6A44B449" w14:textId="262C52C0" w:rsidR="00850A76" w:rsidRPr="007C5ECF" w:rsidRDefault="00A55DA0" w:rsidP="00850A76">
      <w:pPr>
        <w:pStyle w:val="Paragraphedeliste"/>
        <w:numPr>
          <w:ilvl w:val="0"/>
          <w:numId w:val="12"/>
        </w:numPr>
        <w:rPr>
          <w:color w:val="000000" w:themeColor="text1"/>
        </w:rPr>
      </w:pPr>
      <w:r>
        <w:rPr>
          <w:color w:val="000000" w:themeColor="text1"/>
        </w:rPr>
        <w:t xml:space="preserve">Contagion : les pays les plus endettés vont être touchés : Espagne, Irlande, Portugal, Chypre =&gt; reçoivent de l’argent européen. </w:t>
      </w:r>
    </w:p>
    <w:p w14:paraId="68C536AC" w14:textId="77777777" w:rsidR="00850A76" w:rsidRPr="00850A76" w:rsidRDefault="00850A76" w:rsidP="00850A76"/>
    <w:p w14:paraId="70CF62BC" w14:textId="77777777" w:rsidR="00A55DA0" w:rsidRPr="00A55DA0" w:rsidRDefault="00850A76" w:rsidP="00850A76">
      <w:pPr>
        <w:pStyle w:val="Titre4"/>
      </w:pPr>
      <w:r>
        <w:t>Effet de la dette sur la croissance</w:t>
      </w:r>
    </w:p>
    <w:p w14:paraId="5F0BC8F8" w14:textId="77777777" w:rsidR="001A4CB5" w:rsidRDefault="001A4CB5" w:rsidP="00FC2E83">
      <w:pPr>
        <w:rPr>
          <w:color w:val="000000" w:themeColor="text1"/>
        </w:rPr>
      </w:pPr>
    </w:p>
    <w:p w14:paraId="6229C9E7" w14:textId="77777777" w:rsidR="00770FD5" w:rsidRDefault="00850A76" w:rsidP="0055146C">
      <w:pPr>
        <w:rPr>
          <w:color w:val="000000" w:themeColor="text1"/>
        </w:rPr>
      </w:pPr>
      <w:r>
        <w:rPr>
          <w:noProof/>
          <w:color w:val="000000" w:themeColor="text1"/>
        </w:rPr>
        <mc:AlternateContent>
          <mc:Choice Requires="wpi">
            <w:drawing>
              <wp:anchor distT="0" distB="0" distL="114300" distR="114300" simplePos="0" relativeHeight="251719680" behindDoc="0" locked="0" layoutInCell="1" allowOverlap="1" wp14:anchorId="2B4807D8" wp14:editId="36F456C5">
                <wp:simplePos x="0" y="0"/>
                <wp:positionH relativeFrom="column">
                  <wp:posOffset>3385820</wp:posOffset>
                </wp:positionH>
                <wp:positionV relativeFrom="paragraph">
                  <wp:posOffset>1029970</wp:posOffset>
                </wp:positionV>
                <wp:extent cx="254635" cy="90170"/>
                <wp:effectExtent l="38100" t="38100" r="12065" b="36830"/>
                <wp:wrapNone/>
                <wp:docPr id="843795995" name="Encre 76"/>
                <wp:cNvGraphicFramePr/>
                <a:graphic xmlns:a="http://schemas.openxmlformats.org/drawingml/2006/main">
                  <a:graphicData uri="http://schemas.microsoft.com/office/word/2010/wordprocessingInk">
                    <w14:contentPart bwMode="auto" r:id="rId56">
                      <w14:nvContentPartPr>
                        <w14:cNvContentPartPr/>
                      </w14:nvContentPartPr>
                      <w14:xfrm>
                        <a:off x="0" y="0"/>
                        <a:ext cx="254635" cy="90170"/>
                      </w14:xfrm>
                    </w14:contentPart>
                  </a:graphicData>
                </a:graphic>
              </wp:anchor>
            </w:drawing>
          </mc:Choice>
          <mc:Fallback>
            <w:pict>
              <v:shape w14:anchorId="6272F51F" id="Encre 76" o:spid="_x0000_s1026" type="#_x0000_t75" style="position:absolute;margin-left:266.1pt;margin-top:80.6pt;width:21pt;height:8.0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">
                <v:imagedata r:id="rId57" o:title=""/>
              </v:shape>
            </w:pict>
          </mc:Fallback>
        </mc:AlternateContent>
        <mc:AlternateContent>
          <mc:Choice Requires="wpi">
            <w:drawing>
              <wp:anchor distT="0" distB="0" distL="114300" distR="114300" simplePos="0" relativeHeight="251712512" behindDoc="0" locked="0" layoutInCell="1" allowOverlap="1" wp14:anchorId="36D702AC" wp14:editId="561E7750">
                <wp:simplePos x="0" y="0"/>
                <wp:positionH relativeFrom="column">
                  <wp:posOffset>3159125</wp:posOffset>
                </wp:positionH>
                <wp:positionV relativeFrom="paragraph">
                  <wp:posOffset>1022350</wp:posOffset>
                </wp:positionV>
                <wp:extent cx="213885" cy="84455"/>
                <wp:effectExtent l="38100" t="38100" r="0" b="42545"/>
                <wp:wrapNone/>
                <wp:docPr id="2092058864" name="Encre 69"/>
                <wp:cNvGraphicFramePr/>
                <a:graphic xmlns:a="http://schemas.openxmlformats.org/drawingml/2006/main">
                  <a:graphicData uri="http://schemas.microsoft.com/office/word/2010/wordprocessingInk">
                    <w14:contentPart bwMode="auto" r:id="rId58">
                      <w14:nvContentPartPr>
                        <w14:cNvContentPartPr/>
                      </w14:nvContentPartPr>
                      <w14:xfrm>
                        <a:off x="0" y="0"/>
                        <a:ext cx="213885" cy="84455"/>
                      </w14:xfrm>
                    </w14:contentPart>
                  </a:graphicData>
                </a:graphic>
              </wp:anchor>
            </w:drawing>
          </mc:Choice>
          <mc:Fallback>
            <w:pict>
              <v:shape w14:anchorId="0C5A4EBB" id="Encre 69" o:spid="_x0000_s1026" type="#_x0000_t75" style="position:absolute;margin-left:248.25pt;margin-top:80pt;width:17.85pt;height:7.6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">
                <v:imagedata r:id="rId59" o:title=""/>
              </v:shape>
            </w:pict>
          </mc:Fallback>
        </mc:AlternateContent>
        <mc:AlternateContent>
          <mc:Choice Requires="wpi">
            <w:drawing>
              <wp:anchor distT="0" distB="0" distL="114300" distR="114300" simplePos="0" relativeHeight="251703296" behindDoc="0" locked="0" layoutInCell="1" allowOverlap="1" wp14:anchorId="6176CFEF" wp14:editId="54BAD08A">
                <wp:simplePos x="0" y="0"/>
                <wp:positionH relativeFrom="column">
                  <wp:posOffset>2698115</wp:posOffset>
                </wp:positionH>
                <wp:positionV relativeFrom="paragraph">
                  <wp:posOffset>1007745</wp:posOffset>
                </wp:positionV>
                <wp:extent cx="386055" cy="103505"/>
                <wp:effectExtent l="38100" t="38100" r="0" b="36195"/>
                <wp:wrapNone/>
                <wp:docPr id="265215082" name="Encre 60"/>
                <wp:cNvGraphicFramePr/>
                <a:graphic xmlns:a="http://schemas.openxmlformats.org/drawingml/2006/main">
                  <a:graphicData uri="http://schemas.microsoft.com/office/word/2010/wordprocessingInk">
                    <w14:contentPart bwMode="auto" r:id="rId60">
                      <w14:nvContentPartPr>
                        <w14:cNvContentPartPr/>
                      </w14:nvContentPartPr>
                      <w14:xfrm>
                        <a:off x="0" y="0"/>
                        <a:ext cx="386055" cy="103505"/>
                      </w14:xfrm>
                    </w14:contentPart>
                  </a:graphicData>
                </a:graphic>
              </wp:anchor>
            </w:drawing>
          </mc:Choice>
          <mc:Fallback>
            <w:pict>
              <v:shape w14:anchorId="399CED2F" id="Encre 60" o:spid="_x0000_s1026" type="#_x0000_t75" style="position:absolute;margin-left:211.95pt;margin-top:78.85pt;width:31.4pt;height:9.1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">
                <v:imagedata r:id="rId61" o:title=""/>
              </v:shape>
            </w:pict>
          </mc:Fallback>
        </mc:AlternateContent>
        <mc:AlternateContent>
          <mc:Choice Requires="wpi">
            <w:drawing>
              <wp:anchor distT="0" distB="0" distL="114300" distR="114300" simplePos="0" relativeHeight="251686912" behindDoc="0" locked="0" layoutInCell="1" allowOverlap="1" wp14:anchorId="33B7A938" wp14:editId="7CB8A110">
                <wp:simplePos x="0" y="0"/>
                <wp:positionH relativeFrom="column">
                  <wp:posOffset>2634555</wp:posOffset>
                </wp:positionH>
                <wp:positionV relativeFrom="paragraph">
                  <wp:posOffset>1042355</wp:posOffset>
                </wp:positionV>
                <wp:extent cx="46080" cy="58680"/>
                <wp:effectExtent l="38100" t="38100" r="30480" b="43180"/>
                <wp:wrapNone/>
                <wp:docPr id="1715431542" name="Encre 40"/>
                <wp:cNvGraphicFramePr/>
                <a:graphic xmlns:a="http://schemas.openxmlformats.org/drawingml/2006/main">
                  <a:graphicData uri="http://schemas.microsoft.com/office/word/2010/wordprocessingInk">
                    <w14:contentPart bwMode="auto" r:id="rId62">
                      <w14:nvContentPartPr>
                        <w14:cNvContentPartPr/>
                      </w14:nvContentPartPr>
                      <w14:xfrm>
                        <a:off x="0" y="0"/>
                        <a:ext cx="46080" cy="58680"/>
                      </w14:xfrm>
                    </w14:contentPart>
                  </a:graphicData>
                </a:graphic>
              </wp:anchor>
            </w:drawing>
          </mc:Choice>
          <mc:Fallback>
            <w:pict>
              <v:shape w14:anchorId="0D37B805" id="Encre 40" o:spid="_x0000_s1026" type="#_x0000_t75" style="position:absolute;margin-left:206.95pt;margin-top:81.6pt;width:4.65pt;height:5.6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">
                <v:imagedata r:id="rId63" o:title=""/>
              </v:shape>
            </w:pict>
          </mc:Fallback>
        </mc:AlternateContent>
        <mc:AlternateContent>
          <mc:Choice Requires="wpi">
            <w:drawing>
              <wp:anchor distT="0" distB="0" distL="114300" distR="114300" simplePos="0" relativeHeight="251685888" behindDoc="0" locked="0" layoutInCell="1" allowOverlap="1" wp14:anchorId="072E41FB" wp14:editId="1FBBA7D9">
                <wp:simplePos x="0" y="0"/>
                <wp:positionH relativeFrom="column">
                  <wp:posOffset>2507475</wp:posOffset>
                </wp:positionH>
                <wp:positionV relativeFrom="paragraph">
                  <wp:posOffset>1043075</wp:posOffset>
                </wp:positionV>
                <wp:extent cx="43200" cy="43560"/>
                <wp:effectExtent l="25400" t="38100" r="33020" b="33020"/>
                <wp:wrapNone/>
                <wp:docPr id="1457893773" name="Encre 39"/>
                <wp:cNvGraphicFramePr/>
                <a:graphic xmlns:a="http://schemas.openxmlformats.org/drawingml/2006/main">
                  <a:graphicData uri="http://schemas.microsoft.com/office/word/2010/wordprocessingInk">
                    <w14:contentPart bwMode="auto" r:id="rId64">
                      <w14:nvContentPartPr>
                        <w14:cNvContentPartPr/>
                      </w14:nvContentPartPr>
                      <w14:xfrm>
                        <a:off x="0" y="0"/>
                        <a:ext cx="43200" cy="43560"/>
                      </w14:xfrm>
                    </w14:contentPart>
                  </a:graphicData>
                </a:graphic>
              </wp:anchor>
            </w:drawing>
          </mc:Choice>
          <mc:Fallback>
            <w:pict>
              <v:shape w14:anchorId="2DC3C330" id="Encre 39" o:spid="_x0000_s1026" type="#_x0000_t75" style="position:absolute;margin-left:196.95pt;margin-top:81.65pt;width:4.35pt;height:4.4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">
                <v:imagedata r:id="rId65" o:title=""/>
              </v:shape>
            </w:pict>
          </mc:Fallback>
        </mc:AlternateContent>
        <mc:AlternateContent>
          <mc:Choice Requires="wpi">
            <w:drawing>
              <wp:anchor distT="0" distB="0" distL="114300" distR="114300" simplePos="0" relativeHeight="251684864" behindDoc="0" locked="0" layoutInCell="1" allowOverlap="1" wp14:anchorId="230D71A1" wp14:editId="0A7F4F8B">
                <wp:simplePos x="0" y="0"/>
                <wp:positionH relativeFrom="column">
                  <wp:posOffset>2468955</wp:posOffset>
                </wp:positionH>
                <wp:positionV relativeFrom="paragraph">
                  <wp:posOffset>1023995</wp:posOffset>
                </wp:positionV>
                <wp:extent cx="36000" cy="65160"/>
                <wp:effectExtent l="38100" t="38100" r="40640" b="36830"/>
                <wp:wrapNone/>
                <wp:docPr id="1145499607" name="Encre 38"/>
                <wp:cNvGraphicFramePr/>
                <a:graphic xmlns:a="http://schemas.openxmlformats.org/drawingml/2006/main">
                  <a:graphicData uri="http://schemas.microsoft.com/office/word/2010/wordprocessingInk">
                    <w14:contentPart bwMode="auto" r:id="rId66">
                      <w14:nvContentPartPr>
                        <w14:cNvContentPartPr/>
                      </w14:nvContentPartPr>
                      <w14:xfrm>
                        <a:off x="0" y="0"/>
                        <a:ext cx="36000" cy="65160"/>
                      </w14:xfrm>
                    </w14:contentPart>
                  </a:graphicData>
                </a:graphic>
              </wp:anchor>
            </w:drawing>
          </mc:Choice>
          <mc:Fallback>
            <w:pict>
              <v:shape w14:anchorId="4A7AB869" id="Encre 38" o:spid="_x0000_s1026" type="#_x0000_t75" style="position:absolute;margin-left:193.9pt;margin-top:80.15pt;width:3.85pt;height:6.1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">
                <v:imagedata r:id="rId67" o:title=""/>
              </v:shape>
            </w:pict>
          </mc:Fallback>
        </mc:AlternateContent>
        <mc:AlternateContent>
          <mc:Choice Requires="wpi">
            <w:drawing>
              <wp:anchor distT="0" distB="0" distL="114300" distR="114300" simplePos="0" relativeHeight="251683840" behindDoc="0" locked="0" layoutInCell="1" allowOverlap="1" wp14:anchorId="560C1894" wp14:editId="2758A5E3">
                <wp:simplePos x="0" y="0"/>
                <wp:positionH relativeFrom="column">
                  <wp:posOffset>2033752</wp:posOffset>
                </wp:positionH>
                <wp:positionV relativeFrom="paragraph">
                  <wp:posOffset>1117760</wp:posOffset>
                </wp:positionV>
                <wp:extent cx="240120" cy="102960"/>
                <wp:effectExtent l="38100" t="38100" r="13970" b="36830"/>
                <wp:wrapNone/>
                <wp:docPr id="1090196175" name="Encre 37"/>
                <wp:cNvGraphicFramePr/>
                <a:graphic xmlns:a="http://schemas.openxmlformats.org/drawingml/2006/main">
                  <a:graphicData uri="http://schemas.microsoft.com/office/word/2010/wordprocessingInk">
                    <w14:contentPart bwMode="auto" r:id="rId68">
                      <w14:nvContentPartPr>
                        <w14:cNvContentPartPr/>
                      </w14:nvContentPartPr>
                      <w14:xfrm>
                        <a:off x="0" y="0"/>
                        <a:ext cx="240120" cy="102960"/>
                      </w14:xfrm>
                    </w14:contentPart>
                  </a:graphicData>
                </a:graphic>
              </wp:anchor>
            </w:drawing>
          </mc:Choice>
          <mc:Fallback>
            <w:pict>
              <v:shape w14:anchorId="2194093C" id="Encre 37" o:spid="_x0000_s1026" type="#_x0000_t75" style="position:absolute;margin-left:159.65pt;margin-top:87.5pt;width:19.85pt;height:9.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">
                <v:imagedata r:id="rId69" o:title=""/>
              </v:shape>
            </w:pict>
          </mc:Fallback>
        </mc:AlternateContent>
        <mc:AlternateContent>
          <mc:Choice Requires="wpi">
            <w:drawing>
              <wp:anchor distT="0" distB="0" distL="114300" distR="114300" simplePos="0" relativeHeight="251682816" behindDoc="0" locked="0" layoutInCell="1" allowOverlap="1" wp14:anchorId="39C61DF8" wp14:editId="37F43C90">
                <wp:simplePos x="0" y="0"/>
                <wp:positionH relativeFrom="column">
                  <wp:posOffset>2189992</wp:posOffset>
                </wp:positionH>
                <wp:positionV relativeFrom="paragraph">
                  <wp:posOffset>979160</wp:posOffset>
                </wp:positionV>
                <wp:extent cx="360" cy="174600"/>
                <wp:effectExtent l="38100" t="38100" r="38100" b="41910"/>
                <wp:wrapNone/>
                <wp:docPr id="396964675" name="Encre 36"/>
                <wp:cNvGraphicFramePr/>
                <a:graphic xmlns:a="http://schemas.openxmlformats.org/drawingml/2006/main">
                  <a:graphicData uri="http://schemas.microsoft.com/office/word/2010/wordprocessingInk">
                    <w14:contentPart bwMode="auto" r:id="rId70">
                      <w14:nvContentPartPr>
                        <w14:cNvContentPartPr/>
                      </w14:nvContentPartPr>
                      <w14:xfrm>
                        <a:off x="0" y="0"/>
                        <a:ext cx="360" cy="174600"/>
                      </w14:xfrm>
                    </w14:contentPart>
                  </a:graphicData>
                </a:graphic>
              </wp:anchor>
            </w:drawing>
          </mc:Choice>
          <mc:Fallback>
            <w:pict>
              <v:shape w14:anchorId="07295AF9" id="Encre 36" o:spid="_x0000_s1026" type="#_x0000_t75" style="position:absolute;margin-left:171.95pt;margin-top:76.6pt;width:1.05pt;height:14.7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">
                <v:imagedata r:id="rId71" o:title=""/>
              </v:shape>
            </w:pict>
          </mc:Fallback>
        </mc:AlternateContent>
        <mc:AlternateContent>
          <mc:Choice Requires="wpi">
            <w:drawing>
              <wp:anchor distT="0" distB="0" distL="114300" distR="114300" simplePos="0" relativeHeight="251681792" behindDoc="0" locked="0" layoutInCell="1" allowOverlap="1" wp14:anchorId="39598D00" wp14:editId="6591A11D">
                <wp:simplePos x="0" y="0"/>
                <wp:positionH relativeFrom="column">
                  <wp:posOffset>2120152</wp:posOffset>
                </wp:positionH>
                <wp:positionV relativeFrom="paragraph">
                  <wp:posOffset>966920</wp:posOffset>
                </wp:positionV>
                <wp:extent cx="360" cy="178920"/>
                <wp:effectExtent l="38100" t="38100" r="38100" b="37465"/>
                <wp:wrapNone/>
                <wp:docPr id="324514010" name="Encre 35"/>
                <wp:cNvGraphicFramePr/>
                <a:graphic xmlns:a="http://schemas.openxmlformats.org/drawingml/2006/main">
                  <a:graphicData uri="http://schemas.microsoft.com/office/word/2010/wordprocessingInk">
                    <w14:contentPart bwMode="auto" r:id="rId72">
                      <w14:nvContentPartPr>
                        <w14:cNvContentPartPr/>
                      </w14:nvContentPartPr>
                      <w14:xfrm>
                        <a:off x="0" y="0"/>
                        <a:ext cx="360" cy="178920"/>
                      </w14:xfrm>
                    </w14:contentPart>
                  </a:graphicData>
                </a:graphic>
              </wp:anchor>
            </w:drawing>
          </mc:Choice>
          <mc:Fallback>
            <w:pict>
              <v:shape w14:anchorId="75995180" id="Encre 35" o:spid="_x0000_s1026" type="#_x0000_t75" style="position:absolute;margin-left:166.45pt;margin-top:75.65pt;width:1.05pt;height:15.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">
                <v:imagedata r:id="rId73" o:title=""/>
              </v:shape>
            </w:pict>
          </mc:Fallback>
        </mc:AlternateContent>
        <w:drawing>
          <wp:inline distT="0" distB="0" distL="0" distR="0" wp14:anchorId="069D6088" wp14:editId="0E186A58">
            <wp:extent cx="5760720" cy="2639060"/>
            <wp:effectExtent l="0" t="0" r="5080" b="2540"/>
            <wp:docPr id="13748919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891957" name=""/>
                    <pic:cNvPicPr/>
                  </pic:nvPicPr>
                  <pic:blipFill>
                    <a:blip r:embed="rId74"/>
                    <a:stretch>
                      <a:fillRect/>
                    </a:stretch>
                  </pic:blipFill>
                  <pic:spPr>
                    <a:xfrm>
                      <a:off x="0" y="0"/>
                      <a:ext cx="5760720" cy="2639060"/>
                    </a:xfrm>
                    <a:prstGeom prst="rect">
                      <a:avLst/>
                    </a:prstGeom>
                  </pic:spPr>
                </pic:pic>
              </a:graphicData>
            </a:graphic>
          </wp:inline>
        </w:drawing>
      </w:r>
    </w:p>
    <w:p w14:paraId="78338DC3" w14:textId="77777777" w:rsidR="00770FD5" w:rsidRDefault="00850A76" w:rsidP="0055146C">
      <w:pPr>
        <w:rPr>
          <w:color w:val="000000" w:themeColor="text1"/>
        </w:rPr>
      </w:pPr>
      <w:r>
        <w:rPr>
          <w:color w:val="000000" w:themeColor="text1"/>
        </w:rPr>
        <w:t xml:space="preserve">Plus un pays est endetté, plus il a du mal à avoir une croissance. </w:t>
      </w:r>
    </w:p>
    <w:p w14:paraId="6CD272CA" w14:textId="77777777" w:rsidR="00850A76" w:rsidRDefault="00850A76" w:rsidP="0055146C">
      <w:pPr>
        <w:rPr>
          <w:color w:val="000000" w:themeColor="text1"/>
        </w:rPr>
      </w:pPr>
      <w:r>
        <w:rPr>
          <w:color w:val="000000" w:themeColor="text1"/>
        </w:rPr>
        <w:t xml:space="preserve">Les états européens vont arrêter les politiques de relance, renforcent les règles (sanctions plus automatiques et …) et vont mettre en place des politiques d’austérité. </w:t>
      </w:r>
    </w:p>
    <w:p w14:paraId="608AA073" w14:textId="77777777" w:rsidR="00850A76" w:rsidRDefault="00850A76" w:rsidP="0055146C">
      <w:pPr>
        <w:rPr>
          <w:color w:val="000000" w:themeColor="text1"/>
        </w:rPr>
      </w:pPr>
      <w:r>
        <w:rPr>
          <w:color w:val="000000" w:themeColor="text1"/>
        </w:rPr>
        <w:t xml:space="preserve">Les impôts ont tendance à augmenter, les dépenses publiques à diminuer (pour retrouver l’équilibre budgétaire). </w:t>
      </w:r>
    </w:p>
    <w:p w14:paraId="413A395D" w14:textId="77777777" w:rsidR="00850A76" w:rsidRDefault="00850A76" w:rsidP="0055146C">
      <w:pPr>
        <w:rPr>
          <w:color w:val="000000" w:themeColor="text1"/>
        </w:rPr>
      </w:pPr>
    </w:p>
    <w:p w14:paraId="71B7799A" w14:textId="77777777" w:rsidR="00850A76" w:rsidRPr="00420F25" w:rsidRDefault="00850A76" w:rsidP="0055146C">
      <w:pPr>
        <w:pStyle w:val="Titre3"/>
      </w:pPr>
      <w:bookmarkStart w:id="23" w:name="_Toc243123146"/>
      <w:r>
        <w:t>4°) Les résultats de l’austérité dans la zone euro</w:t>
      </w:r>
      <w:bookmarkEnd w:id="23"/>
    </w:p>
    <w:p w14:paraId="26C0FA77" w14:textId="77777777" w:rsidR="00850A76" w:rsidRDefault="00850A76" w:rsidP="0055146C">
      <w:pPr>
        <w:rPr>
          <w:color w:val="000000" w:themeColor="text1"/>
        </w:rPr>
      </w:pPr>
      <w:r>
        <w:rPr>
          <w:color w:val="000000" w:themeColor="text1"/>
        </w:rPr>
        <w:t xml:space="preserve">La CE annonce que </w:t>
      </w:r>
      <w:r>
        <w:rPr>
          <w:color w:val="4EA72E" w:themeColor="accent6"/>
        </w:rPr>
        <w:t>l’austérité a plutôt bien marché</w:t>
      </w:r>
      <w:r>
        <w:rPr>
          <w:color w:val="000000" w:themeColor="text1"/>
        </w:rPr>
        <w:t xml:space="preserve">, excepté la Grèce. Mais des résultats pas aussi bons que cela d’après Krugman et Stiglitz. </w:t>
      </w:r>
    </w:p>
    <w:p w14:paraId="545561E6" w14:textId="77777777" w:rsidR="002B110B" w:rsidRDefault="002B110B" w:rsidP="0055146C">
      <w:pPr>
        <w:rPr>
          <w:color w:val="000000" w:themeColor="text1"/>
        </w:rPr>
      </w:pPr>
    </w:p>
    <w:p w14:paraId="6A999702" w14:textId="77777777" w:rsidR="002B110B" w:rsidRDefault="002B110B" w:rsidP="002B110B">
      <w:pPr>
        <w:pStyle w:val="Titre4"/>
      </w:pPr>
      <w:r>
        <w:t>L’évaluation du multiplicateur</w:t>
      </w:r>
    </w:p>
    <w:p w14:paraId="21431B7E" w14:textId="77777777" w:rsidR="002B110B" w:rsidRDefault="002B110B" w:rsidP="0055146C">
      <w:pPr>
        <w:rPr>
          <w:color w:val="000000" w:themeColor="text1"/>
        </w:rPr>
      </w:pPr>
      <w:r>
        <w:rPr>
          <w:color w:val="000000" w:themeColor="text1"/>
        </w:rPr>
        <w:t xml:space="preserve">Remise en cause de l’étude de Reinhart et Rogoff : l’endettement n’a pas d’effet sur la croissance </w:t>
      </w:r>
    </w:p>
    <w:p w14:paraId="26827C9A" w14:textId="77777777" w:rsidR="002D034B" w:rsidRDefault="002D034B" w:rsidP="0055146C">
      <w:pPr>
        <w:rPr>
          <w:color w:val="000000" w:themeColor="text1"/>
        </w:rPr>
      </w:pPr>
      <w:r>
        <w:rPr>
          <w:color w:val="000000" w:themeColor="text1"/>
        </w:rPr>
        <w:t xml:space="preserve">FMI : l’effet multiplicateur n’est pas forcément tjrs le même surtout en période de croissance (pas d’effet multiplicateur) mais en période de crise oui. </w:t>
      </w:r>
    </w:p>
    <w:p w14:paraId="76F2F2E3" w14:textId="77777777" w:rsidR="002B110B" w:rsidRDefault="002D034B" w:rsidP="002D034B">
      <w:pPr>
        <w:jc w:val="center"/>
        <w:rPr>
          <w:color w:val="000000" w:themeColor="text1"/>
        </w:rPr>
      </w:pPr>
      <w:r>
        <w:rPr>
          <w:noProof/>
          <w:color w:val="000000" w:themeColor="text1"/>
        </w:rPr>
        <w:lastRenderedPageBreak/>
        <w:drawing>
          <wp:inline distT="0" distB="0" distL="0" distR="0" wp14:anchorId="0B175935" wp14:editId="7C19F262">
            <wp:extent cx="2233675" cy="1151467"/>
            <wp:effectExtent l="0" t="0" r="1905" b="4445"/>
            <wp:docPr id="18273333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33354" name=""/>
                    <pic:cNvPicPr/>
                  </pic:nvPicPr>
                  <pic:blipFill>
                    <a:blip r:embed="rId75">
                      <a:extLst>
                        <a:ext uri="{BEBA8EAE-BF5A-486C-A8C5-ECC9F3942E4B}">
                          <a14:imgProps xmlns:a14="http://schemas.microsoft.com/office/drawing/2010/main">
                            <a14:imgLayer r:embed="rId76">
                              <a14:imgEffect>
                                <a14:artisticCement/>
                              </a14:imgEffect>
                            </a14:imgLayer>
                          </a14:imgProps>
                        </a:ext>
                      </a:extLst>
                    </a:blip>
                    <a:stretch>
                      <a:fillRect/>
                    </a:stretch>
                  </pic:blipFill>
                  <pic:spPr>
                    <a:xfrm>
                      <a:off x="0" y="0"/>
                      <a:ext cx="2302139" cy="1186760"/>
                    </a:xfrm>
                    <a:prstGeom prst="rect">
                      <a:avLst/>
                    </a:prstGeom>
                  </pic:spPr>
                </pic:pic>
              </a:graphicData>
            </a:graphic>
          </wp:inline>
        </w:drawing>
      </w:r>
    </w:p>
    <w:p w14:paraId="615CF196" w14:textId="77777777" w:rsidR="002D034B" w:rsidRDefault="002D034B" w:rsidP="002D034B">
      <w:pPr>
        <w:pStyle w:val="Titre4"/>
      </w:pPr>
      <w:r>
        <w:t>Multiplicateur en cas d’austérité</w:t>
      </w:r>
    </w:p>
    <w:p w14:paraId="45AD02C0" w14:textId="77777777" w:rsidR="002D034B" w:rsidRDefault="002D034B" w:rsidP="002D034B">
      <w:pPr>
        <w:rPr>
          <w:color w:val="000000" w:themeColor="text1"/>
        </w:rPr>
      </w:pPr>
      <w:r>
        <w:rPr>
          <w:color w:val="000000" w:themeColor="text1"/>
        </w:rPr>
        <w:t xml:space="preserve">Le Covid donne lieu à une nouvelle crise économique qui sera encore plus forte que 2008. Les états tirent des leçons de 2008, donc des plans de relance sont adoptés dans le monde entier. </w:t>
      </w:r>
    </w:p>
    <w:p w14:paraId="194F51E0" w14:textId="77777777" w:rsidR="002B110B" w:rsidRDefault="002B110B" w:rsidP="0055146C">
      <w:pPr>
        <w:rPr>
          <w:color w:val="000000" w:themeColor="text1"/>
        </w:rPr>
      </w:pPr>
    </w:p>
    <w:p w14:paraId="1304B4DA" w14:textId="77777777" w:rsidR="002A6A1E" w:rsidRDefault="002A6A1E" w:rsidP="002A6A1E">
      <w:pPr>
        <w:pStyle w:val="Titre2"/>
      </w:pPr>
      <w:bookmarkStart w:id="24" w:name="_Toc243123147"/>
      <w:r>
        <w:t>III – La politique budgétaire face à la crise due au Covid-19</w:t>
      </w:r>
      <w:bookmarkEnd w:id="24"/>
    </w:p>
    <w:p w14:paraId="369AC4B2" w14:textId="77777777" w:rsidR="002A6A1E" w:rsidRDefault="002A6A1E" w:rsidP="002A6A1E">
      <w:pPr>
        <w:autoSpaceDE w:val="0"/>
        <w:autoSpaceDN w:val="0"/>
        <w:adjustRightInd w:val="0"/>
        <w:spacing w:after="0" w:line="240" w:lineRule="auto"/>
        <w:rPr>
          <w:color w:val="000000"/>
          <w:kern w:val="0"/>
        </w:rPr>
      </w:pPr>
    </w:p>
    <w:p w14:paraId="6A78AEAA" w14:textId="77777777" w:rsidR="002A6A1E" w:rsidRDefault="002A6A1E" w:rsidP="002A6A1E">
      <w:pPr>
        <w:autoSpaceDE w:val="0"/>
        <w:autoSpaceDN w:val="0"/>
        <w:adjustRightInd w:val="0"/>
        <w:spacing w:after="0" w:line="240" w:lineRule="auto"/>
        <w:rPr>
          <w:color w:val="000000"/>
          <w:kern w:val="0"/>
        </w:rPr>
      </w:pPr>
      <w:r>
        <w:rPr>
          <w:color w:val="000000"/>
          <w:kern w:val="0"/>
        </w:rPr>
        <w:t>A la fin de la décennie 2010, la croissance commence à repartir en Europe. En 2020, l’arrivée du Covid a entraîné la plus grosse crise de tous les temps. La récession a été mondiale (</w:t>
      </w:r>
      <w:r>
        <w:rPr>
          <w:b/>
          <w:bCs/>
          <w:color w:val="E6000E"/>
          <w:kern w:val="0"/>
        </w:rPr>
        <w:t>voir tableau et graphique ci-dessous</w:t>
      </w:r>
      <w:r>
        <w:rPr>
          <w:color w:val="000000"/>
          <w:kern w:val="0"/>
        </w:rPr>
        <w:t xml:space="preserve">) et 2 à 3 fois plus forte qu’en 2008. </w:t>
      </w:r>
    </w:p>
    <w:p w14:paraId="32D18CF8" w14:textId="77777777" w:rsidR="00F270FB" w:rsidRDefault="00000000">
      <w:pPr>
        <w:keepNext/>
        <w:spacing w:before="120" w:after="40"/>
        <w:jc w:val="center"/>
      </w:pPr>
      <w:r>
        <w:rPr>
          <w:noProof/>
        </w:rPr>
        <w:drawing>
          <wp:inline distT="0" distB="0" distL="0" distR="0" wp14:anchorId="1504BA0E" wp14:editId="71626022">
            <wp:extent cx="5580000" cy="2976958"/>
            <wp:effectExtent l="0" t="0" r="0" b="0"/>
            <wp:docPr id="7005" name="Illustration 7005" descr="Croissance économique en 2009, 2019 et 2020, et taux de croissance en Europe de 2008 à 2020 (dia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slide_c2_18.png"/>
                    <pic:cNvPicPr/>
                  </pic:nvPicPr>
                  <pic:blipFill>
                    <a:blip r:embed="rId77"/>
                    <a:stretch>
                      <a:fillRect/>
                    </a:stretch>
                  </pic:blipFill>
                  <pic:spPr>
                    <a:xfrm>
                      <a:off x="0" y="0"/>
                      <a:ext cx="5580000" cy="2976958"/>
                    </a:xfrm>
                    <a:prstGeom prst="rect">
                      <a:avLst/>
                    </a:prstGeom>
                    <a:ln w="6350">
                      <a:solidFill>
                        <a:srgbClr val="BFBFBF"/>
                      </a:solidFill>
                    </a:ln>
                  </pic:spPr>
                </pic:pic>
              </a:graphicData>
            </a:graphic>
          </wp:inline>
        </w:drawing>
      </w:r>
    </w:p>
    <w:p w14:paraId="2C19DE70" w14:textId="77777777" w:rsidR="00F270FB" w:rsidRDefault="00000000">
      <w:pPr>
        <w:spacing w:after="200"/>
        <w:jc w:val="center"/>
      </w:pPr>
      <w:r>
        <w:rPr>
          <w:i/>
          <w:color w:val="6B6B6B"/>
          <w:sz w:val="19"/>
          <w:szCs w:val="19"/>
        </w:rPr>
        <w:t>Croissance économique en 2009, 2019 et 2020, et taux de croissance en Europe de 2008 à 2020 (diapo 18).</w:t>
      </w:r>
    </w:p>
    <w:p w14:paraId="77772814" w14:textId="77777777" w:rsidR="002A6A1E" w:rsidRDefault="002A6A1E" w:rsidP="002A6A1E">
      <w:pPr>
        <w:autoSpaceDE w:val="0"/>
        <w:autoSpaceDN w:val="0"/>
        <w:adjustRightInd w:val="0"/>
        <w:spacing w:after="0" w:line="240" w:lineRule="auto"/>
        <w:rPr>
          <w:color w:val="000000"/>
          <w:kern w:val="0"/>
        </w:rPr>
      </w:pPr>
      <w:r>
        <w:rPr>
          <w:color w:val="000000"/>
          <w:kern w:val="0"/>
        </w:rPr>
        <w:t xml:space="preserve">Les états n’ont pas hésité à opter pour des </w:t>
      </w:r>
      <w:r>
        <w:rPr>
          <w:color w:val="000000"/>
          <w:kern w:val="0"/>
          <w:u w:val="single"/>
        </w:rPr>
        <w:t>politiques de relance</w:t>
      </w:r>
      <w:r>
        <w:rPr>
          <w:color w:val="000000"/>
          <w:kern w:val="0"/>
        </w:rPr>
        <w:t xml:space="preserve"> après la crise de 2008, donc cela a entrainé une reprise économique très rapide car en 2021, quasiment tous les pays ont retrouvé leur production annuelle habituelle. </w:t>
      </w:r>
    </w:p>
    <w:p w14:paraId="31498CB7" w14:textId="77777777" w:rsidR="002A6A1E" w:rsidRDefault="002A6A1E" w:rsidP="002A6A1E">
      <w:pPr>
        <w:autoSpaceDE w:val="0"/>
        <w:autoSpaceDN w:val="0"/>
        <w:adjustRightInd w:val="0"/>
        <w:spacing w:after="0" w:line="240" w:lineRule="auto"/>
        <w:rPr>
          <w:color w:val="000000"/>
          <w:kern w:val="0"/>
        </w:rPr>
      </w:pPr>
    </w:p>
    <w:p w14:paraId="6DA80F49" w14:textId="77777777" w:rsidR="002A6A1E" w:rsidRDefault="002A6A1E" w:rsidP="002A6A1E">
      <w:pPr>
        <w:pStyle w:val="Titre3"/>
      </w:pPr>
      <w:bookmarkStart w:id="25" w:name="_Toc243123148"/>
      <w:r>
        <w:lastRenderedPageBreak/>
        <w:t>1°) Les mesures de l’union européenne : un plan de relance sans précédent</w:t>
      </w:r>
      <w:bookmarkEnd w:id="25"/>
    </w:p>
    <w:p w14:paraId="635F564F" w14:textId="77777777" w:rsidR="002A6A1E" w:rsidRDefault="002A6A1E" w:rsidP="002A6A1E">
      <w:pPr>
        <w:autoSpaceDE w:val="0"/>
        <w:autoSpaceDN w:val="0"/>
        <w:adjustRightInd w:val="0"/>
        <w:spacing w:after="0" w:line="240" w:lineRule="auto"/>
        <w:rPr>
          <w:color w:val="000000"/>
          <w:kern w:val="0"/>
        </w:rPr>
      </w:pPr>
    </w:p>
    <w:p w14:paraId="5B7EF907" w14:textId="77777777" w:rsidR="002A6A1E" w:rsidRDefault="002A6A1E" w:rsidP="002A6A1E">
      <w:pPr>
        <w:autoSpaceDE w:val="0"/>
        <w:autoSpaceDN w:val="0"/>
        <w:adjustRightInd w:val="0"/>
        <w:spacing w:after="0" w:line="240" w:lineRule="auto"/>
        <w:rPr>
          <w:color w:val="000000"/>
          <w:kern w:val="0"/>
        </w:rPr>
      </w:pPr>
      <w:r>
        <w:rPr>
          <w:color w:val="000000"/>
          <w:kern w:val="0"/>
        </w:rPr>
        <w:t xml:space="preserve">Le 20 mars, la commission européenne utilise la clause de suspension générale du Pacte de stabilité et de croissance : </w:t>
      </w:r>
      <w:r>
        <w:rPr>
          <w:b/>
          <w:bCs/>
          <w:color w:val="000000"/>
          <w:kern w:val="0"/>
        </w:rPr>
        <w:t xml:space="preserve">en cas exceptionnel, les états sont autorisés à transgresser ce Pacte. </w:t>
      </w:r>
    </w:p>
    <w:p w14:paraId="312463B3" w14:textId="31294223" w:rsidR="002A6A1E" w:rsidRDefault="002A6A1E" w:rsidP="002A6A1E">
      <w:pPr>
        <w:autoSpaceDE w:val="0"/>
        <w:autoSpaceDN w:val="0"/>
        <w:adjustRightInd w:val="0"/>
        <w:spacing w:after="0" w:line="240" w:lineRule="auto"/>
        <w:rPr>
          <w:color w:val="000000"/>
          <w:kern w:val="0"/>
        </w:rPr>
      </w:pPr>
      <w:r>
        <w:rPr>
          <w:color w:val="000000"/>
          <w:kern w:val="0"/>
        </w:rPr>
        <w:t xml:space="preserve">En juillet, un conseil européen se tient pour décider d’un plan de relance de 750 mds € soit 5,7% du PIB européen : « Next Génération UE ». Une partie de cette somme correspond à des subventions à hauteur de 390 mds € et l’autre à des prêts soit environ 360 mds €. L’Europe empruntait à taux bas pour les prêter à taux bas à des pays qui ont emprunté à taux haut. </w:t>
      </w:r>
    </w:p>
    <w:p w14:paraId="5C11A1EB" w14:textId="77777777" w:rsidR="002A6A1E" w:rsidRDefault="002A6A1E" w:rsidP="002A6A1E">
      <w:pPr>
        <w:autoSpaceDE w:val="0"/>
        <w:autoSpaceDN w:val="0"/>
        <w:adjustRightInd w:val="0"/>
        <w:spacing w:after="0" w:line="240" w:lineRule="auto"/>
        <w:rPr>
          <w:color w:val="000000"/>
          <w:kern w:val="0"/>
        </w:rPr>
      </w:pPr>
      <w:r>
        <w:rPr>
          <w:color w:val="000000"/>
          <w:kern w:val="0"/>
        </w:rPr>
        <w:t xml:space="preserve">Pour bénéficier de ce plan les pays devaient : </w:t>
      </w:r>
    </w:p>
    <w:p w14:paraId="2B7D90AF" w14:textId="77777777" w:rsidR="002A6A1E" w:rsidRDefault="002A6A1E" w:rsidP="002A6A1E">
      <w:pPr>
        <w:numPr>
          <w:ilvl w:val="0"/>
          <w:numId w:val="14"/>
        </w:numPr>
        <w:tabs>
          <w:tab w:val="left" w:pos="20"/>
          <w:tab w:val="left" w:pos="240"/>
        </w:tabs>
        <w:autoSpaceDE w:val="0"/>
        <w:autoSpaceDN w:val="0"/>
        <w:adjustRightInd w:val="0"/>
        <w:spacing w:after="0" w:line="240" w:lineRule="auto"/>
        <w:ind w:left="240" w:hanging="240"/>
        <w:rPr>
          <w:color w:val="000000"/>
          <w:kern w:val="0"/>
        </w:rPr>
      </w:pPr>
      <w:r>
        <w:rPr>
          <w:color w:val="000000"/>
          <w:kern w:val="0"/>
        </w:rPr>
        <w:t xml:space="preserve">37% des dépenses allouées à des objectifs environnementaux </w:t>
      </w:r>
    </w:p>
    <w:p w14:paraId="0B245B06" w14:textId="77777777" w:rsidR="002A6A1E" w:rsidRDefault="002A6A1E" w:rsidP="002A6A1E">
      <w:pPr>
        <w:numPr>
          <w:ilvl w:val="0"/>
          <w:numId w:val="14"/>
        </w:numPr>
        <w:tabs>
          <w:tab w:val="left" w:pos="20"/>
          <w:tab w:val="left" w:pos="240"/>
        </w:tabs>
        <w:autoSpaceDE w:val="0"/>
        <w:autoSpaceDN w:val="0"/>
        <w:adjustRightInd w:val="0"/>
        <w:spacing w:after="0" w:line="240" w:lineRule="auto"/>
        <w:ind w:left="240" w:hanging="240"/>
        <w:rPr>
          <w:color w:val="000000"/>
          <w:kern w:val="0"/>
        </w:rPr>
      </w:pPr>
      <w:r>
        <w:rPr>
          <w:color w:val="000000"/>
          <w:kern w:val="0"/>
        </w:rPr>
        <w:t xml:space="preserve">20% destinées à la digitalisation de l’économie </w:t>
      </w:r>
    </w:p>
    <w:p w14:paraId="0CC4B9AB" w14:textId="77777777" w:rsidR="002A6A1E" w:rsidRDefault="002A6A1E" w:rsidP="002A6A1E">
      <w:pPr>
        <w:numPr>
          <w:ilvl w:val="0"/>
          <w:numId w:val="14"/>
        </w:numPr>
        <w:tabs>
          <w:tab w:val="left" w:pos="20"/>
          <w:tab w:val="left" w:pos="240"/>
        </w:tabs>
        <w:autoSpaceDE w:val="0"/>
        <w:autoSpaceDN w:val="0"/>
        <w:adjustRightInd w:val="0"/>
        <w:spacing w:after="0" w:line="240" w:lineRule="auto"/>
        <w:ind w:left="240" w:hanging="240"/>
        <w:rPr>
          <w:color w:val="000000"/>
          <w:kern w:val="0"/>
        </w:rPr>
      </w:pPr>
      <w:r>
        <w:rPr>
          <w:color w:val="000000"/>
          <w:kern w:val="0"/>
        </w:rPr>
        <w:t xml:space="preserve">Fournir une explication détaillée de la manière dont les recommandations par pays sont prises en compte. </w:t>
      </w:r>
    </w:p>
    <w:p w14:paraId="72138958" w14:textId="77777777" w:rsidR="002A6A1E" w:rsidRDefault="002A6A1E" w:rsidP="002A6A1E">
      <w:pPr>
        <w:autoSpaceDE w:val="0"/>
        <w:autoSpaceDN w:val="0"/>
        <w:adjustRightInd w:val="0"/>
        <w:spacing w:after="0" w:line="240" w:lineRule="auto"/>
        <w:rPr>
          <w:b/>
          <w:bCs/>
          <w:color w:val="E6000E"/>
          <w:kern w:val="0"/>
        </w:rPr>
      </w:pPr>
      <w:r>
        <w:rPr>
          <w:color w:val="000000"/>
          <w:kern w:val="0"/>
        </w:rPr>
        <w:t xml:space="preserve">Cet argent a été versé en 2 fois : </w:t>
      </w:r>
      <w:r>
        <w:rPr>
          <w:b/>
          <w:bCs/>
          <w:color w:val="E6000E"/>
          <w:kern w:val="0"/>
        </w:rPr>
        <w:t xml:space="preserve">70 % versés entre 2021 et 2023, 30 % en 2024-2025 </w:t>
      </w:r>
    </w:p>
    <w:p w14:paraId="7288E5F5" w14:textId="77777777" w:rsidR="002A6A1E" w:rsidRDefault="002A6A1E" w:rsidP="002A6A1E">
      <w:pPr>
        <w:autoSpaceDE w:val="0"/>
        <w:autoSpaceDN w:val="0"/>
        <w:adjustRightInd w:val="0"/>
        <w:spacing w:after="0" w:line="240" w:lineRule="auto"/>
        <w:rPr>
          <w:color w:val="000000"/>
          <w:kern w:val="0"/>
        </w:rPr>
      </w:pPr>
      <w:r>
        <w:rPr>
          <w:color w:val="000000"/>
          <w:kern w:val="0"/>
        </w:rPr>
        <w:t xml:space="preserve">Pour financer ce plan de relance, une taxe carbone aux frontières permet cela. </w:t>
      </w:r>
    </w:p>
    <w:p w14:paraId="08EAE4EA" w14:textId="77777777" w:rsidR="002A6A1E" w:rsidRDefault="002A6A1E" w:rsidP="002A6A1E">
      <w:pPr>
        <w:autoSpaceDE w:val="0"/>
        <w:autoSpaceDN w:val="0"/>
        <w:adjustRightInd w:val="0"/>
        <w:spacing w:after="0" w:line="240" w:lineRule="auto"/>
        <w:rPr>
          <w:color w:val="000000"/>
          <w:kern w:val="0"/>
        </w:rPr>
      </w:pPr>
    </w:p>
    <w:p w14:paraId="365C90B1" w14:textId="77777777" w:rsidR="00F270FB" w:rsidRDefault="00000000">
      <w:pPr>
        <w:keepNext/>
        <w:spacing w:before="120" w:after="40"/>
        <w:jc w:val="center"/>
      </w:pPr>
      <w:r>
        <w:rPr>
          <w:noProof/>
        </w:rPr>
        <w:drawing>
          <wp:inline distT="0" distB="0" distL="0" distR="0" wp14:anchorId="660EE944" wp14:editId="6517CBB7">
            <wp:extent cx="2880000" cy="1136432"/>
            <wp:effectExtent l="0" t="0" r="0" b="0"/>
            <wp:docPr id="7006" name="Illustration 7006" descr="Calendrier des versements du plan Next Generation EU (dia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slide_c2_19.png"/>
                    <pic:cNvPicPr/>
                  </pic:nvPicPr>
                  <pic:blipFill>
                    <a:blip r:embed="rId78"/>
                    <a:stretch>
                      <a:fillRect/>
                    </a:stretch>
                  </pic:blipFill>
                  <pic:spPr>
                    <a:xfrm>
                      <a:off x="0" y="0"/>
                      <a:ext cx="2880000" cy="1136432"/>
                    </a:xfrm>
                    <a:prstGeom prst="rect">
                      <a:avLst/>
                    </a:prstGeom>
                    <a:ln w="6350">
                      <a:solidFill>
                        <a:srgbClr val="BFBFBF"/>
                      </a:solidFill>
                    </a:ln>
                  </pic:spPr>
                </pic:pic>
              </a:graphicData>
            </a:graphic>
          </wp:inline>
        </w:drawing>
      </w:r>
    </w:p>
    <w:p w14:paraId="1827AC2C" w14:textId="77777777" w:rsidR="00F270FB" w:rsidRDefault="00000000">
      <w:pPr>
        <w:spacing w:after="200"/>
        <w:jc w:val="center"/>
      </w:pPr>
      <w:r>
        <w:rPr>
          <w:i/>
          <w:color w:val="6B6B6B"/>
          <w:sz w:val="19"/>
          <w:szCs w:val="19"/>
        </w:rPr>
        <w:t xml:space="preserve">Calendrier des versements du plan Next Generation EU (diapo 19).</w:t>
      </w:r>
    </w:p>
    <w:p w14:paraId="4504CD9B" w14:textId="77777777" w:rsidR="00F270FB" w:rsidRDefault="00000000">
      <w:pPr>
        <w:keepNext/>
        <w:spacing w:before="120" w:after="40"/>
        <w:jc w:val="center"/>
      </w:pPr>
      <w:r>
        <w:rPr>
          <w:noProof/>
        </w:rPr>
        <w:drawing>
          <wp:inline distT="0" distB="0" distL="0" distR="0" wp14:anchorId="5CEF088A" wp14:editId="592786E6">
            <wp:extent cx="4680000" cy="3210365"/>
            <wp:effectExtent l="0" t="0" r="0" b="0"/>
            <wp:docPr id="7007" name="Illustration 7007" descr="Subventions de la facilité pour la reprise et la résilience reçues par chaque pays, en milliards d’euros (dia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slide_c2_20.png"/>
                    <pic:cNvPicPr/>
                  </pic:nvPicPr>
                  <pic:blipFill>
                    <a:blip r:embed="rId79"/>
                    <a:stretch>
                      <a:fillRect/>
                    </a:stretch>
                  </pic:blipFill>
                  <pic:spPr>
                    <a:xfrm>
                      <a:off x="0" y="0"/>
                      <a:ext cx="4680000" cy="3210365"/>
                    </a:xfrm>
                    <a:prstGeom prst="rect">
                      <a:avLst/>
                    </a:prstGeom>
                    <a:ln w="6350">
                      <a:solidFill>
                        <a:srgbClr val="BFBFBF"/>
                      </a:solidFill>
                    </a:ln>
                  </pic:spPr>
                </pic:pic>
              </a:graphicData>
            </a:graphic>
          </wp:inline>
        </w:drawing>
      </w:r>
    </w:p>
    <w:p w14:paraId="645080EF" w14:textId="77777777" w:rsidR="00F270FB" w:rsidRDefault="00000000">
      <w:pPr>
        <w:spacing w:after="200"/>
        <w:jc w:val="center"/>
      </w:pPr>
      <w:r>
        <w:rPr>
          <w:i/>
          <w:color w:val="6B6B6B"/>
          <w:sz w:val="19"/>
          <w:szCs w:val="19"/>
        </w:rPr>
        <w:t>Subventions de la facilité pour la reprise et la résilience reçues par chaque pays, en milliards d’euros (diapo 20).</w:t>
      </w:r>
    </w:p>
    <w:p w14:paraId="7F6F318E" w14:textId="77777777" w:rsidR="002A6A1E" w:rsidRDefault="002A6A1E" w:rsidP="002A6A1E">
      <w:pPr>
        <w:autoSpaceDE w:val="0"/>
        <w:autoSpaceDN w:val="0"/>
        <w:adjustRightInd w:val="0"/>
        <w:spacing w:after="0" w:line="240" w:lineRule="auto"/>
        <w:rPr>
          <w:color w:val="000000"/>
          <w:kern w:val="0"/>
        </w:rPr>
      </w:pPr>
    </w:p>
    <w:p w14:paraId="67CD0188" w14:textId="77777777" w:rsidR="002A6A1E" w:rsidRDefault="002A6A1E" w:rsidP="002A6A1E">
      <w:pPr>
        <w:pStyle w:val="Titre3"/>
      </w:pPr>
      <w:bookmarkStart w:id="26" w:name="_Toc243123149"/>
      <w:r>
        <w:t>2°) Les mesures de la France =&gt; 80 mds € à l’état</w:t>
      </w:r>
      <w:bookmarkEnd w:id="26"/>
    </w:p>
    <w:p w14:paraId="3EC09C4B" w14:textId="77777777" w:rsidR="002A6A1E" w:rsidRDefault="002A6A1E" w:rsidP="002A6A1E">
      <w:pPr>
        <w:autoSpaceDE w:val="0"/>
        <w:autoSpaceDN w:val="0"/>
        <w:adjustRightInd w:val="0"/>
        <w:spacing w:after="0" w:line="240" w:lineRule="auto"/>
        <w:rPr>
          <w:b/>
          <w:bCs/>
          <w:color w:val="E6000E"/>
          <w:kern w:val="0"/>
        </w:rPr>
      </w:pPr>
    </w:p>
    <w:p w14:paraId="7E38B392" w14:textId="77777777" w:rsidR="00F270FB" w:rsidRDefault="00000000">
      <w:pPr>
        <w:keepNext/>
        <w:spacing w:before="120" w:after="40"/>
        <w:jc w:val="center"/>
      </w:pPr>
      <w:r>
        <w:rPr>
          <w:noProof/>
        </w:rPr>
        <w:drawing>
          <wp:inline distT="0" distB="0" distL="0" distR="0" wp14:anchorId="5C6F0D8E" wp14:editId="2B67DEEC">
            <wp:extent cx="5580000" cy="3062195"/>
            <wp:effectExtent l="0" t="0" r="0" b="0"/>
            <wp:docPr id="7008" name="Illustration 7008" descr="Les mesures de soutien face à l’urgence (dia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slide_c2_21.png"/>
                    <pic:cNvPicPr/>
                  </pic:nvPicPr>
                  <pic:blipFill>
                    <a:blip r:embed="rId80"/>
                    <a:stretch>
                      <a:fillRect/>
                    </a:stretch>
                  </pic:blipFill>
                  <pic:spPr>
                    <a:xfrm>
                      <a:off x="0" y="0"/>
                      <a:ext cx="5580000" cy="3062195"/>
                    </a:xfrm>
                    <a:prstGeom prst="rect">
                      <a:avLst/>
                    </a:prstGeom>
                    <a:ln w="6350">
                      <a:solidFill>
                        <a:srgbClr val="BFBFBF"/>
                      </a:solidFill>
                    </a:ln>
                  </pic:spPr>
                </pic:pic>
              </a:graphicData>
            </a:graphic>
          </wp:inline>
        </w:drawing>
      </w:r>
    </w:p>
    <w:p w14:paraId="604DEF6F" w14:textId="77777777" w:rsidR="00F270FB" w:rsidRDefault="00000000">
      <w:pPr>
        <w:spacing w:after="200"/>
        <w:jc w:val="center"/>
      </w:pPr>
      <w:r>
        <w:rPr>
          <w:i/>
          <w:color w:val="6B6B6B"/>
          <w:sz w:val="19"/>
          <w:szCs w:val="19"/>
        </w:rPr>
        <w:t>Les mesures de soutien face à l’urgence (diapo 21).</w:t>
      </w:r>
    </w:p>
    <w:p w14:paraId="28E757DB" w14:textId="77777777" w:rsidR="002A6A1E" w:rsidRDefault="002A6A1E" w:rsidP="002A6A1E">
      <w:pPr>
        <w:autoSpaceDE w:val="0"/>
        <w:autoSpaceDN w:val="0"/>
        <w:adjustRightInd w:val="0"/>
        <w:spacing w:after="0" w:line="240" w:lineRule="auto"/>
        <w:rPr>
          <w:color w:val="000000"/>
          <w:kern w:val="0"/>
        </w:rPr>
      </w:pPr>
      <w:r>
        <w:rPr>
          <w:color w:val="000000"/>
          <w:kern w:val="0"/>
        </w:rPr>
        <w:t xml:space="preserve">Mesures monétaires utilisées </w:t>
      </w:r>
    </w:p>
    <w:p w14:paraId="4E2240ED" w14:textId="77777777" w:rsidR="002A6A1E" w:rsidRDefault="002A6A1E" w:rsidP="002A6A1E">
      <w:pPr>
        <w:numPr>
          <w:ilvl w:val="1"/>
          <w:numId w:val="15"/>
        </w:numPr>
        <w:tabs>
          <w:tab w:val="left" w:pos="240"/>
          <w:tab w:val="left" w:pos="480"/>
        </w:tabs>
        <w:autoSpaceDE w:val="0"/>
        <w:autoSpaceDN w:val="0"/>
        <w:adjustRightInd w:val="0"/>
        <w:spacing w:after="0" w:line="240" w:lineRule="auto"/>
        <w:ind w:left="480" w:hanging="480"/>
        <w:rPr>
          <w:color w:val="000000"/>
          <w:kern w:val="0"/>
          <w:u w:color="000000"/>
        </w:rPr>
      </w:pPr>
      <w:r>
        <w:rPr>
          <w:b/>
          <w:bCs/>
          <w:color w:val="000000"/>
          <w:kern w:val="0"/>
          <w:u w:val="single" w:color="000000"/>
        </w:rPr>
        <w:t>Les mesures de soutien pour faire face à l’urgence</w:t>
      </w:r>
      <w:r>
        <w:rPr>
          <w:color w:val="000000"/>
          <w:kern w:val="0"/>
          <w:u w:color="000000"/>
        </w:rPr>
        <w:t xml:space="preserve"> : 4 principes dont </w:t>
      </w:r>
      <w:r>
        <w:rPr>
          <w:color w:val="000000"/>
          <w:kern w:val="0"/>
          <w:u w:val="single" w:color="000000"/>
        </w:rPr>
        <w:t>la garantie de prêt</w:t>
      </w:r>
      <w:r>
        <w:rPr>
          <w:color w:val="000000"/>
          <w:kern w:val="0"/>
          <w:u w:color="000000"/>
        </w:rPr>
        <w:t xml:space="preserve"> pour les entreprises en se rendant garant pour elles avec un prêt total de 300 mds€ (le plus élevé des deux soit 3 fois le CA de 2019 soit 2 années de masse salariale de 2019 aussi), </w:t>
      </w:r>
      <w:r>
        <w:rPr>
          <w:color w:val="000000"/>
          <w:kern w:val="0"/>
          <w:u w:val="single" w:color="000000"/>
        </w:rPr>
        <w:t>report de cotisations sociales</w:t>
      </w:r>
      <w:r>
        <w:rPr>
          <w:color w:val="000000"/>
          <w:kern w:val="0"/>
          <w:u w:color="000000"/>
        </w:rPr>
        <w:t xml:space="preserve"> (délai de paiement, secteurs les plus touchés (tourisme, sport, culture, transport, événementiel): exonérés d’une partie) et </w:t>
      </w:r>
      <w:r>
        <w:rPr>
          <w:color w:val="000000"/>
          <w:kern w:val="0"/>
          <w:u w:val="single" w:color="000000"/>
        </w:rPr>
        <w:t>mise en place d’un chômage partiel</w:t>
      </w:r>
      <w:r>
        <w:rPr>
          <w:color w:val="000000"/>
          <w:kern w:val="0"/>
          <w:u w:color="000000"/>
        </w:rPr>
        <w:t xml:space="preserve"> : l’état paye 85% des 85% de l’indemnité du salaire du chomeur. Pour être concerné : soit fermetures administratives, baisse d’activité ou difficulté d’approvisionnement, ne peut pas mettre en place les mesures de préventions </w:t>
      </w:r>
    </w:p>
    <w:p w14:paraId="1321B22C"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 fonds de solidarité pour les PME    ==&gt; </w:t>
      </w:r>
      <w:r>
        <w:rPr>
          <w:b/>
          <w:bCs/>
          <w:color w:val="000000"/>
          <w:kern w:val="0"/>
          <w:u w:val="single" w:color="000000"/>
        </w:rPr>
        <w:t xml:space="preserve">coûte 30 mds € à l’état </w:t>
      </w:r>
    </w:p>
    <w:p w14:paraId="0EBCEEF2" w14:textId="77777777" w:rsidR="00F270FB" w:rsidRDefault="00000000">
      <w:pPr>
        <w:keepNext/>
        <w:spacing w:before="120" w:after="40"/>
        <w:jc w:val="center"/>
      </w:pPr>
      <w:r>
        <w:rPr>
          <w:noProof/>
        </w:rPr>
        <w:lastRenderedPageBreak/>
        <w:drawing>
          <wp:inline distT="0" distB="0" distL="0" distR="0" wp14:anchorId="4ADFD182" wp14:editId="077556E6">
            <wp:extent cx="5580000" cy="3215142"/>
            <wp:effectExtent l="0" t="0" r="0" b="0"/>
            <wp:docPr id="7009" name="Illustration 7009" descr="Le plan France Relance et ses trois volets (diapo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slide_c2_22.png"/>
                    <pic:cNvPicPr/>
                  </pic:nvPicPr>
                  <pic:blipFill>
                    <a:blip r:embed="rId81"/>
                    <a:stretch>
                      <a:fillRect/>
                    </a:stretch>
                  </pic:blipFill>
                  <pic:spPr>
                    <a:xfrm>
                      <a:off x="0" y="0"/>
                      <a:ext cx="5580000" cy="3215142"/>
                    </a:xfrm>
                    <a:prstGeom prst="rect">
                      <a:avLst/>
                    </a:prstGeom>
                    <a:ln w="6350">
                      <a:solidFill>
                        <a:srgbClr val="BFBFBF"/>
                      </a:solidFill>
                    </a:ln>
                  </pic:spPr>
                </pic:pic>
              </a:graphicData>
            </a:graphic>
          </wp:inline>
        </w:drawing>
      </w:r>
    </w:p>
    <w:p w14:paraId="01276CCB" w14:textId="77777777" w:rsidR="00F270FB" w:rsidRDefault="00000000">
      <w:pPr>
        <w:spacing w:after="200"/>
        <w:jc w:val="center"/>
      </w:pPr>
      <w:r>
        <w:rPr>
          <w:i/>
          <w:color w:val="6B6B6B"/>
          <w:sz w:val="19"/>
          <w:szCs w:val="19"/>
        </w:rPr>
        <w:t>Le plan France Relance et ses trois volets (diapo 22).</w:t>
      </w:r>
    </w:p>
    <w:p w14:paraId="60856808" w14:textId="69479297" w:rsidR="002A6A1E" w:rsidRDefault="002A6A1E" w:rsidP="002A6A1E">
      <w:pPr>
        <w:numPr>
          <w:ilvl w:val="0"/>
          <w:numId w:val="16"/>
        </w:numPr>
        <w:tabs>
          <w:tab w:val="left" w:pos="20"/>
          <w:tab w:val="left" w:pos="240"/>
        </w:tabs>
        <w:autoSpaceDE w:val="0"/>
        <w:autoSpaceDN w:val="0"/>
        <w:adjustRightInd w:val="0"/>
        <w:spacing w:after="0" w:line="240" w:lineRule="auto"/>
        <w:ind w:left="240" w:hanging="240"/>
        <w:rPr>
          <w:color w:val="000000"/>
          <w:kern w:val="0"/>
          <w:u w:color="000000"/>
        </w:rPr>
      </w:pPr>
      <w:r>
        <w:rPr>
          <w:b/>
          <w:bCs/>
          <w:color w:val="000000"/>
          <w:kern w:val="0"/>
          <w:u w:val="single" w:color="000000"/>
        </w:rPr>
        <w:t>Plan de relance</w:t>
      </w:r>
      <w:r>
        <w:rPr>
          <w:color w:val="000000"/>
          <w:kern w:val="0"/>
          <w:u w:color="000000"/>
        </w:rPr>
        <w:t xml:space="preserve"> : état soutient l’économie avec des investissements publics. Il monte à 100 mds € sur 2 ans soit 9,5% du PIB de la France. Il est financé par l’UE sous forme de subventions comme vu au-dessus. Il contient 70 mesures regroupées en 3 grands volets :</w:t>
      </w:r>
    </w:p>
    <w:p w14:paraId="78F4F543"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ab/>
        <w:t xml:space="preserve">- </w:t>
      </w:r>
      <w:r>
        <w:rPr>
          <w:b/>
          <w:bCs/>
          <w:color w:val="000000"/>
          <w:kern w:val="0"/>
          <w:u w:color="000000"/>
        </w:rPr>
        <w:t>écologie</w:t>
      </w:r>
      <w:r>
        <w:rPr>
          <w:color w:val="000000"/>
          <w:kern w:val="0"/>
          <w:u w:color="000000"/>
        </w:rPr>
        <w:t xml:space="preserve"> : Rénovation énergétique avec des subventions pour les logements et </w:t>
        <w:tab/>
        <w:tab/>
        <w:tab/>
        <w:t xml:space="preserve">rénovation thermique des bâtiments publics (Lyon 3 par exemple). Et décarbonation dans </w:t>
        <w:tab/>
        <w:tab/>
        <w:t xml:space="preserve">l’industrie, bonus écologique et prime à la conversion et développement des transports en </w:t>
        <w:tab/>
        <w:tab/>
        <w:t xml:space="preserve">commun. </w:t>
      </w:r>
    </w:p>
    <w:p w14:paraId="68720865"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ab/>
        <w:t xml:space="preserve">- </w:t>
      </w:r>
      <w:r>
        <w:rPr>
          <w:b/>
          <w:bCs/>
          <w:color w:val="000000"/>
          <w:kern w:val="0"/>
          <w:u w:color="000000"/>
        </w:rPr>
        <w:t>compétitivité</w:t>
      </w:r>
      <w:r>
        <w:rPr>
          <w:color w:val="000000"/>
          <w:kern w:val="0"/>
          <w:u w:color="000000"/>
        </w:rPr>
        <w:t xml:space="preserve"> : financement des entreprises, aides à l’investissement et à la R&amp;D, </w:t>
        <w:tab/>
        <w:tab/>
        <w:tab/>
        <w:t xml:space="preserve">restauration des monuments du patrimoine </w:t>
      </w:r>
    </w:p>
    <w:p w14:paraId="79B8EAAC"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ab/>
        <w:t xml:space="preserve">- </w:t>
      </w:r>
      <w:r>
        <w:rPr>
          <w:b/>
          <w:bCs/>
          <w:color w:val="000000"/>
          <w:kern w:val="0"/>
          <w:u w:color="000000"/>
        </w:rPr>
        <w:t>cohésion</w:t>
      </w:r>
      <w:r>
        <w:rPr>
          <w:color w:val="000000"/>
          <w:kern w:val="0"/>
          <w:u w:color="000000"/>
        </w:rPr>
        <w:t xml:space="preserve"> : aides à l’embauche des jeunes, rachats des locaux vacants</w:t>
      </w:r>
    </w:p>
    <w:p w14:paraId="460FBC79" w14:textId="77777777" w:rsidR="002A6A1E" w:rsidRDefault="002A6A1E" w:rsidP="002A6A1E">
      <w:pPr>
        <w:autoSpaceDE w:val="0"/>
        <w:autoSpaceDN w:val="0"/>
        <w:adjustRightInd w:val="0"/>
        <w:spacing w:after="0" w:line="240" w:lineRule="auto"/>
        <w:rPr>
          <w:color w:val="000000"/>
          <w:kern w:val="0"/>
          <w:u w:color="000000"/>
        </w:rPr>
      </w:pPr>
    </w:p>
    <w:p w14:paraId="64BE4EB0" w14:textId="77777777" w:rsidR="002A6A1E" w:rsidRDefault="002A6A1E" w:rsidP="002A6A1E">
      <w:pPr>
        <w:autoSpaceDE w:val="0"/>
        <w:autoSpaceDN w:val="0"/>
        <w:adjustRightInd w:val="0"/>
        <w:spacing w:after="0" w:line="240" w:lineRule="auto"/>
        <w:rPr>
          <w:color w:val="000000"/>
          <w:kern w:val="0"/>
          <w:u w:color="000000"/>
        </w:rPr>
      </w:pPr>
    </w:p>
    <w:p w14:paraId="73DDA2E1" w14:textId="77777777" w:rsidR="002A6A1E" w:rsidRDefault="002A6A1E" w:rsidP="002A6A1E">
      <w:pPr>
        <w:autoSpaceDE w:val="0"/>
        <w:autoSpaceDN w:val="0"/>
        <w:adjustRightInd w:val="0"/>
        <w:spacing w:after="0" w:line="240" w:lineRule="auto"/>
        <w:rPr>
          <w:color w:val="000000"/>
          <w:kern w:val="0"/>
          <w:u w:color="000000"/>
        </w:rPr>
      </w:pPr>
    </w:p>
    <w:p w14:paraId="18BE95FD"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En 2021, grâce à ces mesures, le PIB a dépassé celui de l‘année précédente, la crise est passée ! </w:t>
      </w:r>
    </w:p>
    <w:p w14:paraId="628CD550" w14:textId="77777777" w:rsidR="002A6A1E" w:rsidRDefault="002A6A1E" w:rsidP="002A6A1E">
      <w:pPr>
        <w:autoSpaceDE w:val="0"/>
        <w:autoSpaceDN w:val="0"/>
        <w:adjustRightInd w:val="0"/>
        <w:spacing w:after="0" w:line="240" w:lineRule="auto"/>
        <w:rPr>
          <w:color w:val="000000"/>
          <w:kern w:val="0"/>
          <w:u w:color="000000"/>
        </w:rPr>
      </w:pPr>
    </w:p>
    <w:p w14:paraId="4FE04610" w14:textId="77777777" w:rsidR="002A6A1E" w:rsidRDefault="002A6A1E" w:rsidP="002A6A1E">
      <w:pPr>
        <w:pStyle w:val="Titre3"/>
      </w:pPr>
      <w:bookmarkStart w:id="27" w:name="_Toc243123150"/>
      <w:r>
        <w:t>3°) Les plans de relance aux USA</w:t>
      </w:r>
      <w:bookmarkEnd w:id="27"/>
    </w:p>
    <w:p w14:paraId="69ECB225" w14:textId="77777777" w:rsidR="002A6A1E" w:rsidRDefault="002A6A1E" w:rsidP="002A6A1E">
      <w:pPr>
        <w:autoSpaceDE w:val="0"/>
        <w:autoSpaceDN w:val="0"/>
        <w:adjustRightInd w:val="0"/>
        <w:spacing w:after="0" w:line="240" w:lineRule="auto"/>
        <w:rPr>
          <w:color w:val="000000"/>
          <w:kern w:val="0"/>
          <w:u w:color="000000"/>
        </w:rPr>
      </w:pPr>
    </w:p>
    <w:p w14:paraId="387B2995" w14:textId="77777777" w:rsidR="00F270FB" w:rsidRDefault="00000000">
      <w:pPr>
        <w:numPr>
          <w:ilvl w:val="0"/>
          <w:numId w:val="24"/>
        </w:numPr>
      </w:pPr>
      <w:r>
        <w:rPr>
          <w:b/>
        </w:rPr>
        <w:t>Mars 2020</w:t>
      </w:r>
      <w:r>
        <w:t xml:space="preserve"> : premier plan de relance de </w:t>
      </w:r>
      <w:r>
        <w:rPr>
          <w:b/>
        </w:rPr>
        <w:t>2 000 milliards de dollars</w:t>
      </w:r>
      <w:r>
        <w:t xml:space="preserve"> (10 % du PIB)</w:t>
      </w:r>
    </w:p>
    <w:p w14:paraId="67F7016F" w14:textId="77777777" w:rsidR="00F270FB" w:rsidRDefault="00000000">
      <w:pPr>
        <w:numPr>
          <w:ilvl w:val="0"/>
          <w:numId w:val="24"/>
        </w:numPr>
      </w:pPr>
      <w:r>
        <w:rPr>
          <w:b/>
        </w:rPr>
        <w:t>Avril 2020</w:t>
      </w:r>
      <w:r>
        <w:t xml:space="preserve"> : + 500 milliards de dollars</w:t>
      </w:r>
    </w:p>
    <w:p w14:paraId="09FEE408" w14:textId="77777777" w:rsidR="00F270FB" w:rsidRDefault="00000000">
      <w:pPr>
        <w:numPr>
          <w:ilvl w:val="0"/>
          <w:numId w:val="24"/>
        </w:numPr>
      </w:pPr>
      <w:r>
        <w:rPr>
          <w:b/>
        </w:rPr>
        <w:t>Décembre 2020</w:t>
      </w:r>
      <w:r>
        <w:t xml:space="preserve"> : deuxième plan de relance de </w:t>
      </w:r>
      <w:r>
        <w:rPr>
          <w:b/>
        </w:rPr>
        <w:t>908 milliards de dollars</w:t>
      </w:r>
    </w:p>
    <w:p w14:paraId="127EBF2E" w14:textId="77777777" w:rsidR="00F270FB" w:rsidRDefault="00000000">
      <w:pPr>
        <w:numPr>
          <w:ilvl w:val="0"/>
          <w:numId w:val="24"/>
        </w:numPr>
      </w:pPr>
      <w:r>
        <w:rPr>
          <w:b/>
        </w:rPr>
        <w:t>Mars 2021</w:t>
      </w:r>
      <w:r>
        <w:t xml:space="preserve"> : troisième plan de relance de </w:t>
      </w:r>
      <w:r>
        <w:rPr>
          <w:b/>
        </w:rPr>
        <w:t>1 900 milliards de dollars</w:t>
      </w:r>
    </w:p>
    <w:p w14:paraId="23790B00" w14:textId="77777777" w:rsidR="002A6A1E" w:rsidRDefault="002A6A1E" w:rsidP="002A6A1E">
      <w:pPr>
        <w:autoSpaceDE w:val="0"/>
        <w:autoSpaceDN w:val="0"/>
        <w:adjustRightInd w:val="0"/>
        <w:spacing w:after="0" w:line="240" w:lineRule="auto"/>
        <w:rPr>
          <w:color w:val="000000"/>
          <w:kern w:val="0"/>
          <w:u w:color="000000"/>
        </w:rPr>
      </w:pPr>
    </w:p>
    <w:p w14:paraId="75A7B6D2" w14:textId="77777777" w:rsidR="002A6A1E" w:rsidRPr="000725E3" w:rsidRDefault="002A6A1E" w:rsidP="002A6A1E">
      <w:pPr>
        <w:autoSpaceDE w:val="0"/>
        <w:autoSpaceDN w:val="0"/>
        <w:adjustRightInd w:val="0"/>
        <w:spacing w:after="0" w:line="240" w:lineRule="auto"/>
        <w:rPr>
          <w:b/>
          <w:bCs/>
          <w:color w:val="000000"/>
          <w:kern w:val="0"/>
          <w:u w:color="000000"/>
        </w:rPr>
      </w:pPr>
      <w:r>
        <w:rPr>
          <w:color w:val="000000"/>
          <w:kern w:val="0"/>
          <w:u w:color="000000"/>
        </w:rPr>
        <w:t xml:space="preserve">Des chèques ont été versés aux états-uniens de 1200$ (gagne - de 75000$ / an) = </w:t>
      </w:r>
      <w:r>
        <w:rPr>
          <w:b/>
          <w:bCs/>
          <w:color w:val="000000"/>
          <w:kern w:val="0"/>
          <w:u w:color="000000"/>
        </w:rPr>
        <w:t xml:space="preserve">la monnaie hélicoptère. </w:t>
      </w:r>
    </w:p>
    <w:p w14:paraId="3E1D7C7E" w14:textId="77777777" w:rsidR="002A6A1E" w:rsidRPr="000725E3" w:rsidRDefault="002A6A1E" w:rsidP="002A6A1E">
      <w:pPr>
        <w:autoSpaceDE w:val="0"/>
        <w:autoSpaceDN w:val="0"/>
        <w:adjustRightInd w:val="0"/>
        <w:spacing w:after="0" w:line="240" w:lineRule="auto"/>
        <w:rPr>
          <w:b/>
          <w:bCs/>
          <w:color w:val="000000"/>
          <w:kern w:val="0"/>
          <w:u w:color="000000"/>
        </w:rPr>
      </w:pPr>
    </w:p>
    <w:p w14:paraId="0C3DBE53"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Conclusion du 3 : tous les pays du monde ont mis des mesures similaires, dès 2021, la croissance est revenue partout dans le monde, et tout le monde a retrouvé son niveau de prod normale. Mais les dettes publiques des états ont largement augmenté…11% en France ! Gang </w:t>
      </w:r>
    </w:p>
    <w:p w14:paraId="37BB33BF" w14:textId="77777777" w:rsidR="00F270FB" w:rsidRDefault="00000000">
      <w:pPr>
        <w:keepNext/>
        <w:spacing w:before="120" w:after="40"/>
        <w:jc w:val="center"/>
      </w:pPr>
      <w:r>
        <w:rPr>
          <w:noProof/>
        </w:rPr>
        <w:drawing>
          <wp:inline distT="0" distB="0" distL="0" distR="0" wp14:anchorId="3B9373E5" wp14:editId="22D1F6D4">
            <wp:extent cx="4320000" cy="2430000"/>
            <wp:effectExtent l="0" t="0" r="0" b="0"/>
            <wp:docPr id="7010" name="Illustration 7010" descr="Dette publique en Europe en 2019 et 2020, en % du PIB (diapo 24, données Eur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slide_c2_24.png"/>
                    <pic:cNvPicPr/>
                  </pic:nvPicPr>
                  <pic:blipFill>
                    <a:blip r:embed="rId82"/>
                    <a:stretch>
                      <a:fillRect/>
                    </a:stretch>
                  </pic:blipFill>
                  <pic:spPr>
                    <a:xfrm>
                      <a:off x="0" y="0"/>
                      <a:ext cx="4320000" cy="2430000"/>
                    </a:xfrm>
                    <a:prstGeom prst="rect">
                      <a:avLst/>
                    </a:prstGeom>
                    <a:ln w="6350">
                      <a:solidFill>
                        <a:srgbClr val="BFBFBF"/>
                      </a:solidFill>
                    </a:ln>
                  </pic:spPr>
                </pic:pic>
              </a:graphicData>
            </a:graphic>
          </wp:inline>
        </w:drawing>
      </w:r>
    </w:p>
    <w:p w14:paraId="23BCE5B4" w14:textId="77777777" w:rsidR="00F270FB" w:rsidRDefault="00000000">
      <w:pPr>
        <w:spacing w:after="200"/>
        <w:jc w:val="center"/>
      </w:pPr>
      <w:r>
        <w:rPr>
          <w:i/>
          <w:color w:val="6B6B6B"/>
          <w:sz w:val="19"/>
          <w:szCs w:val="19"/>
        </w:rPr>
        <w:t>Dette publique en Europe en 2019 et 2020, en % du PIB (diapo 24, données Eurostat).</w:t>
      </w:r>
    </w:p>
    <w:p w14:paraId="20C4F087" w14:textId="77777777" w:rsidR="002A6A1E" w:rsidRDefault="002A6A1E" w:rsidP="002A6A1E">
      <w:pPr>
        <w:autoSpaceDE w:val="0"/>
        <w:autoSpaceDN w:val="0"/>
        <w:adjustRightInd w:val="0"/>
        <w:spacing w:after="0" w:line="240" w:lineRule="auto"/>
        <w:rPr>
          <w:color w:val="000000"/>
          <w:kern w:val="0"/>
          <w:u w:color="000000"/>
        </w:rPr>
      </w:pPr>
    </w:p>
    <w:p w14:paraId="3E4C1F1E" w14:textId="77777777" w:rsidR="002A6A1E" w:rsidRDefault="002A6A1E" w:rsidP="002A6A1E">
      <w:pPr>
        <w:pStyle w:val="Titre2"/>
      </w:pPr>
      <w:bookmarkStart w:id="28" w:name="_Toc243123151"/>
      <w:r>
        <w:t>IV – Les débats actuels sur la dette publique</w:t>
      </w:r>
      <w:bookmarkEnd w:id="28"/>
    </w:p>
    <w:p w14:paraId="0952A4F5" w14:textId="77777777" w:rsidR="002A6A1E" w:rsidRDefault="002A6A1E" w:rsidP="002A6A1E">
      <w:pPr>
        <w:autoSpaceDE w:val="0"/>
        <w:autoSpaceDN w:val="0"/>
        <w:adjustRightInd w:val="0"/>
        <w:spacing w:after="0" w:line="240" w:lineRule="auto"/>
        <w:rPr>
          <w:color w:val="000000"/>
          <w:kern w:val="0"/>
          <w:u w:color="000000"/>
        </w:rPr>
      </w:pPr>
    </w:p>
    <w:p w14:paraId="428F036D" w14:textId="77777777" w:rsidR="002A6A1E" w:rsidRDefault="002A6A1E" w:rsidP="002A6A1E">
      <w:pPr>
        <w:pStyle w:val="Titre3"/>
      </w:pPr>
      <w:bookmarkStart w:id="29" w:name="_Toc243123152"/>
      <w:r>
        <w:t>1°) La soutenabilité de la dette : enjeux et critères</w:t>
      </w:r>
      <w:bookmarkEnd w:id="29"/>
    </w:p>
    <w:p w14:paraId="03833DD3" w14:textId="77777777" w:rsidR="002A6A1E" w:rsidRDefault="002A6A1E" w:rsidP="002A6A1E">
      <w:pPr>
        <w:autoSpaceDE w:val="0"/>
        <w:autoSpaceDN w:val="0"/>
        <w:adjustRightInd w:val="0"/>
        <w:spacing w:after="0" w:line="240" w:lineRule="auto"/>
        <w:rPr>
          <w:color w:val="000000"/>
          <w:kern w:val="0"/>
          <w:u w:color="000000"/>
        </w:rPr>
      </w:pPr>
    </w:p>
    <w:p w14:paraId="5CE7773B" w14:textId="77777777" w:rsidR="002A6A1E" w:rsidRDefault="002A6A1E" w:rsidP="002A6A1E">
      <w:pPr>
        <w:autoSpaceDE w:val="0"/>
        <w:autoSpaceDN w:val="0"/>
        <w:adjustRightInd w:val="0"/>
        <w:spacing w:after="0" w:line="240" w:lineRule="auto"/>
        <w:rPr>
          <w:color w:val="000000"/>
          <w:kern w:val="0"/>
          <w:u w:color="000000"/>
        </w:rPr>
      </w:pPr>
      <w:r>
        <w:rPr>
          <w:b/>
          <w:bCs/>
          <w:color w:val="000000"/>
          <w:kern w:val="0"/>
          <w:u w:val="single" w:color="000000"/>
        </w:rPr>
        <w:t>Soutenabilité</w:t>
      </w:r>
      <w:r>
        <w:rPr>
          <w:color w:val="000000"/>
          <w:kern w:val="0"/>
          <w:u w:color="000000"/>
        </w:rPr>
        <w:t xml:space="preserve"> : capacité d’un état à honorer ses engagements financiers sans avoir à procéder à un ajustement budgétaire brutal.</w:t>
      </w:r>
    </w:p>
    <w:p w14:paraId="36D5F963"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Plusieurs ratios existent pour définir la dette d’un état : </w:t>
      </w:r>
    </w:p>
    <w:p w14:paraId="49CD1478" w14:textId="77777777" w:rsidR="002A6A1E" w:rsidRDefault="002A6A1E" w:rsidP="002A6A1E">
      <w:pPr>
        <w:numPr>
          <w:ilvl w:val="0"/>
          <w:numId w:val="17"/>
        </w:numPr>
        <w:tabs>
          <w:tab w:val="left" w:pos="20"/>
          <w:tab w:val="left" w:pos="240"/>
        </w:tabs>
        <w:autoSpaceDE w:val="0"/>
        <w:autoSpaceDN w:val="0"/>
        <w:adjustRightInd w:val="0"/>
        <w:spacing w:after="0" w:line="240" w:lineRule="auto"/>
        <w:ind w:left="240" w:hanging="240"/>
        <w:rPr>
          <w:color w:val="000000"/>
          <w:kern w:val="0"/>
          <w:u w:color="000000"/>
        </w:rPr>
      </w:pPr>
      <w:r>
        <w:rPr>
          <w:color w:val="000000"/>
          <w:kern w:val="0"/>
          <w:u w:color="000000"/>
        </w:rPr>
        <w:t xml:space="preserve">Exprimer la dette en pourcentage de PIB :  </w:t>
      </w:r>
      <w:r>
        <w:rPr>
          <w:noProof/>
          <w:color w:val="000000"/>
          <w:kern w:val="0"/>
          <w:position w:val="-1"/>
          <w:u w:color="000000"/>
        </w:rPr>
        <w:drawing>
          <wp:inline distT="0" distB="0" distL="0" distR="0" wp14:anchorId="513DCC83" wp14:editId="14174740">
            <wp:extent cx="662940" cy="100330"/>
            <wp:effectExtent l="0" t="0" r="0" b="1270"/>
            <wp:docPr id="30343838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62940" cy="100330"/>
                    </a:xfrm>
                    <a:prstGeom prst="rect">
                      <a:avLst/>
                    </a:prstGeom>
                    <a:noFill/>
                    <a:ln>
                      <a:noFill/>
                    </a:ln>
                  </pic:spPr>
                </pic:pic>
              </a:graphicData>
            </a:graphic>
          </wp:inline>
        </w:drawing>
      </w:r>
    </w:p>
    <w:p w14:paraId="5B9720B3" w14:textId="77777777" w:rsidR="002A6A1E" w:rsidRDefault="002A6A1E" w:rsidP="002A6A1E">
      <w:pPr>
        <w:numPr>
          <w:ilvl w:val="0"/>
          <w:numId w:val="17"/>
        </w:numPr>
        <w:tabs>
          <w:tab w:val="left" w:pos="20"/>
          <w:tab w:val="left" w:pos="240"/>
        </w:tabs>
        <w:autoSpaceDE w:val="0"/>
        <w:autoSpaceDN w:val="0"/>
        <w:adjustRightInd w:val="0"/>
        <w:spacing w:after="0" w:line="240" w:lineRule="auto"/>
        <w:ind w:left="240" w:hanging="240"/>
        <w:rPr>
          <w:i/>
          <w:iCs/>
          <w:color w:val="000000"/>
          <w:kern w:val="0"/>
          <w:u w:color="000000"/>
        </w:rPr>
      </w:pPr>
      <w:r>
        <w:rPr>
          <w:color w:val="000000"/>
          <w:kern w:val="0"/>
          <w:u w:color="000000"/>
        </w:rPr>
        <w:t xml:space="preserve">Exprimer le solde primaire en pourcentage du PIB : </w:t>
      </w:r>
      <w:r>
        <w:rPr>
          <w:i/>
          <w:iCs/>
          <w:color w:val="000000"/>
          <w:kern w:val="0"/>
          <w:u w:color="000000"/>
        </w:rPr>
        <w:t xml:space="preserve">solde primaire </w:t>
      </w:r>
    </w:p>
    <w:p w14:paraId="4FCE5C73" w14:textId="77777777" w:rsidR="002A6A1E" w:rsidRDefault="002A6A1E" w:rsidP="002A6A1E">
      <w:pPr>
        <w:numPr>
          <w:ilvl w:val="0"/>
          <w:numId w:val="17"/>
        </w:numPr>
        <w:tabs>
          <w:tab w:val="left" w:pos="20"/>
          <w:tab w:val="left" w:pos="240"/>
        </w:tabs>
        <w:autoSpaceDE w:val="0"/>
        <w:autoSpaceDN w:val="0"/>
        <w:adjustRightInd w:val="0"/>
        <w:spacing w:after="0" w:line="240" w:lineRule="auto"/>
        <w:ind w:left="240" w:hanging="240"/>
        <w:rPr>
          <w:i/>
          <w:iCs/>
          <w:color w:val="000000"/>
          <w:kern w:val="0"/>
          <w:u w:color="000000"/>
        </w:rPr>
      </w:pPr>
      <w:r>
        <w:rPr>
          <w:color w:val="000000"/>
          <w:kern w:val="0"/>
          <w:u w:color="000000"/>
        </w:rPr>
        <w:t xml:space="preserve">C’est le cout annuel de la dette : </w:t>
      </w:r>
      <w:r>
        <w:rPr>
          <w:i/>
          <w:iCs/>
          <w:color w:val="000000"/>
          <w:kern w:val="0"/>
          <w:u w:color="000000"/>
        </w:rPr>
        <w:t xml:space="preserve">charges d’intérêts (se mesure avec le tdi moyen) </w:t>
      </w:r>
    </w:p>
    <w:p w14:paraId="3ABD976C" w14:textId="77777777" w:rsidR="002A6A1E" w:rsidRDefault="002A6A1E" w:rsidP="002A6A1E">
      <w:pPr>
        <w:autoSpaceDE w:val="0"/>
        <w:autoSpaceDN w:val="0"/>
        <w:adjustRightInd w:val="0"/>
        <w:spacing w:after="0" w:line="240" w:lineRule="auto"/>
        <w:rPr>
          <w:i/>
          <w:iCs/>
          <w:color w:val="000000"/>
          <w:kern w:val="0"/>
          <w:u w:color="000000"/>
        </w:rPr>
      </w:pPr>
    </w:p>
    <w:p w14:paraId="1666D670" w14:textId="77777777" w:rsidR="00F270FB" w:rsidRDefault="00000000">
      <w:pPr>
        <w:keepNext/>
        <w:spacing w:before="120" w:after="40"/>
        <w:jc w:val="center"/>
      </w:pPr>
      <w:r>
        <w:rPr>
          <w:noProof/>
        </w:rPr>
        <w:lastRenderedPageBreak/>
        <w:drawing>
          <wp:inline distT="0" distB="0" distL="0" distR="0" wp14:anchorId="6BF6E64D" wp14:editId="79EDF628">
            <wp:extent cx="5580000" cy="2826270"/>
            <wp:effectExtent l="0" t="0" r="0" b="0"/>
            <wp:docPr id="7011" name="Illustration 7011" descr="Dette publique en Europe (en % du PIB) et carte de l’endettement des pays européens (diapo 26, Eurostat juillet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slide_c2_26.png"/>
                    <pic:cNvPicPr/>
                  </pic:nvPicPr>
                  <pic:blipFill>
                    <a:blip r:embed="rId84"/>
                    <a:stretch>
                      <a:fillRect/>
                    </a:stretch>
                  </pic:blipFill>
                  <pic:spPr>
                    <a:xfrm>
                      <a:off x="0" y="0"/>
                      <a:ext cx="5580000" cy="2826270"/>
                    </a:xfrm>
                    <a:prstGeom prst="rect">
                      <a:avLst/>
                    </a:prstGeom>
                    <a:ln w="6350">
                      <a:solidFill>
                        <a:srgbClr val="BFBFBF"/>
                      </a:solidFill>
                    </a:ln>
                  </pic:spPr>
                </pic:pic>
              </a:graphicData>
            </a:graphic>
          </wp:inline>
        </w:drawing>
      </w:r>
    </w:p>
    <w:p w14:paraId="023D561E" w14:textId="77777777" w:rsidR="00F270FB" w:rsidRDefault="00000000">
      <w:pPr>
        <w:spacing w:after="200"/>
        <w:jc w:val="center"/>
      </w:pPr>
      <w:r>
        <w:rPr>
          <w:i/>
          <w:color w:val="6B6B6B"/>
          <w:sz w:val="19"/>
          <w:szCs w:val="19"/>
        </w:rPr>
        <w:t>Dette publique en Europe (en % du PIB) et carte de l’endettement des pays européens (diapo 26, Eurostat juillet 2025).</w:t>
      </w:r>
    </w:p>
    <w:p w14:paraId="061D5EB2" w14:textId="77777777" w:rsidR="002A6A1E" w:rsidRDefault="002A6A1E" w:rsidP="002A6A1E">
      <w:pPr>
        <w:autoSpaceDE w:val="0"/>
        <w:autoSpaceDN w:val="0"/>
        <w:adjustRightInd w:val="0"/>
        <w:spacing w:after="0" w:line="240" w:lineRule="auto"/>
        <w:rPr>
          <w:color w:val="000000"/>
          <w:kern w:val="0"/>
          <w:u w:color="000000"/>
        </w:rPr>
      </w:pPr>
    </w:p>
    <w:p w14:paraId="2FC68312"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On estime qu’une dette est soutenable qd G &gt; R avec </w:t>
      </w:r>
      <w:r>
        <w:rPr>
          <w:i/>
          <w:iCs/>
          <w:color w:val="000000"/>
          <w:kern w:val="0"/>
          <w:u w:color="000000"/>
        </w:rPr>
        <w:t xml:space="preserve">G le taux de croissance et R le tdi</w:t>
      </w:r>
      <w:r>
        <w:rPr>
          <w:color w:val="000000"/>
          <w:kern w:val="0"/>
          <w:u w:color="000000"/>
        </w:rPr>
        <w:t xml:space="preserve"> qu’on paye sur la dette. Donc la croissance soit supérieur à l’intérêt. </w:t>
      </w:r>
    </w:p>
    <w:p w14:paraId="6D9F210C" w14:textId="77777777" w:rsidR="002A6A1E" w:rsidRDefault="002A6A1E" w:rsidP="002A6A1E">
      <w:pPr>
        <w:autoSpaceDE w:val="0"/>
        <w:autoSpaceDN w:val="0"/>
        <w:adjustRightInd w:val="0"/>
        <w:spacing w:after="0" w:line="240" w:lineRule="auto"/>
        <w:rPr>
          <w:color w:val="000000"/>
          <w:kern w:val="0"/>
          <w:u w:color="000000"/>
        </w:rPr>
      </w:pPr>
    </w:p>
    <w:p w14:paraId="0CC3C7EB" w14:textId="77777777" w:rsidR="002A6A1E" w:rsidRDefault="002A6A1E" w:rsidP="002A6A1E">
      <w:pPr>
        <w:pStyle w:val="Titre3"/>
      </w:pPr>
      <w:bookmarkStart w:id="30" w:name="_Toc243123153"/>
      <w:r>
        <w:t>2°) Les orientations possibles : rigueur ou relance</w:t>
      </w:r>
      <w:bookmarkEnd w:id="30"/>
    </w:p>
    <w:p w14:paraId="4DD92DE7" w14:textId="77777777" w:rsidR="002A6A1E" w:rsidRDefault="002A6A1E" w:rsidP="002A6A1E">
      <w:pPr>
        <w:autoSpaceDE w:val="0"/>
        <w:autoSpaceDN w:val="0"/>
        <w:adjustRightInd w:val="0"/>
        <w:spacing w:after="0" w:line="240" w:lineRule="auto"/>
        <w:rPr>
          <w:color w:val="000000"/>
          <w:kern w:val="0"/>
          <w:u w:color="000000"/>
        </w:rPr>
      </w:pPr>
    </w:p>
    <w:p w14:paraId="1FC2E537"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Arguments </w:t>
      </w:r>
      <w:r>
        <w:rPr>
          <w:b/>
          <w:bCs/>
          <w:color w:val="000000"/>
          <w:kern w:val="0"/>
          <w:u w:val="single" w:color="000000"/>
        </w:rPr>
        <w:t>en faveur</w:t>
      </w:r>
      <w:r>
        <w:rPr>
          <w:color w:val="000000"/>
          <w:kern w:val="0"/>
          <w:u w:color="000000"/>
        </w:rPr>
        <w:t xml:space="preserve"> d’une politique budgétaire restrictive : </w:t>
      </w:r>
    </w:p>
    <w:p w14:paraId="12E030D8" w14:textId="77777777" w:rsidR="002A6A1E" w:rsidRDefault="002A6A1E" w:rsidP="002A6A1E">
      <w:pPr>
        <w:numPr>
          <w:ilvl w:val="0"/>
          <w:numId w:val="18"/>
        </w:numPr>
        <w:tabs>
          <w:tab w:val="left" w:pos="20"/>
          <w:tab w:val="left" w:pos="240"/>
        </w:tabs>
        <w:autoSpaceDE w:val="0"/>
        <w:autoSpaceDN w:val="0"/>
        <w:adjustRightInd w:val="0"/>
        <w:spacing w:after="0" w:line="240" w:lineRule="auto"/>
        <w:ind w:left="240" w:hanging="240"/>
        <w:rPr>
          <w:color w:val="000000"/>
          <w:kern w:val="0"/>
          <w:u w:color="000000"/>
        </w:rPr>
      </w:pPr>
      <w:r>
        <w:rPr>
          <w:color w:val="EE0000"/>
          <w:kern w:val="0"/>
          <w:u w:color="000000"/>
        </w:rPr>
        <w:t xml:space="preserve">Crédibilité du pays </w:t>
      </w:r>
      <w:r>
        <w:rPr>
          <w:color w:val="000000"/>
          <w:kern w:val="0"/>
          <w:u w:color="000000"/>
        </w:rPr>
        <w:t>: état montre qu’il fait attention à la dette pour avoir la confiance des MF</w:t>
      </w:r>
    </w:p>
    <w:p w14:paraId="3DBE9B58" w14:textId="77777777" w:rsidR="002A6A1E" w:rsidRDefault="002A6A1E" w:rsidP="002A6A1E">
      <w:pPr>
        <w:numPr>
          <w:ilvl w:val="0"/>
          <w:numId w:val="18"/>
        </w:numPr>
        <w:tabs>
          <w:tab w:val="left" w:pos="20"/>
          <w:tab w:val="left" w:pos="240"/>
        </w:tabs>
        <w:autoSpaceDE w:val="0"/>
        <w:autoSpaceDN w:val="0"/>
        <w:adjustRightInd w:val="0"/>
        <w:spacing w:after="0" w:line="240" w:lineRule="auto"/>
        <w:ind w:left="240" w:hanging="240"/>
        <w:rPr>
          <w:color w:val="000000"/>
          <w:kern w:val="0"/>
          <w:u w:color="000000"/>
        </w:rPr>
      </w:pPr>
      <w:r>
        <w:rPr>
          <w:color w:val="EE0000"/>
          <w:kern w:val="0"/>
          <w:u w:color="000000"/>
        </w:rPr>
        <w:t xml:space="preserve">Effet boule de neige </w:t>
      </w:r>
      <w:r>
        <w:rPr>
          <w:color w:val="000000"/>
          <w:kern w:val="0"/>
          <w:u w:color="000000"/>
        </w:rPr>
        <w:t>: un état qui s’endette emprunte pour rembourser et continue de s’endetter</w:t>
      </w:r>
    </w:p>
    <w:p w14:paraId="545A66BE" w14:textId="77777777" w:rsidR="002A6A1E" w:rsidRDefault="002A6A1E" w:rsidP="002A6A1E">
      <w:pPr>
        <w:numPr>
          <w:ilvl w:val="0"/>
          <w:numId w:val="18"/>
        </w:numPr>
        <w:tabs>
          <w:tab w:val="left" w:pos="20"/>
          <w:tab w:val="left" w:pos="240"/>
        </w:tabs>
        <w:autoSpaceDE w:val="0"/>
        <w:autoSpaceDN w:val="0"/>
        <w:adjustRightInd w:val="0"/>
        <w:spacing w:after="0" w:line="240" w:lineRule="auto"/>
        <w:ind w:left="240" w:hanging="240"/>
        <w:rPr>
          <w:color w:val="000000"/>
          <w:kern w:val="0"/>
          <w:u w:color="000000"/>
        </w:rPr>
      </w:pPr>
      <w:r>
        <w:rPr>
          <w:color w:val="EE0000"/>
          <w:kern w:val="0"/>
          <w:u w:color="000000"/>
        </w:rPr>
        <w:t xml:space="preserve">Préparer l’avenir </w:t>
      </w:r>
      <w:r>
        <w:rPr>
          <w:color w:val="000000"/>
          <w:kern w:val="0"/>
          <w:u w:color="000000"/>
        </w:rPr>
        <w:t xml:space="preserve">: se désendetter en temps de croissance pour s’endetter en temps de crise. </w:t>
      </w:r>
    </w:p>
    <w:p w14:paraId="2B2476D1" w14:textId="77777777" w:rsidR="002A6A1E" w:rsidRDefault="002A6A1E" w:rsidP="002A6A1E">
      <w:pPr>
        <w:autoSpaceDE w:val="0"/>
        <w:autoSpaceDN w:val="0"/>
        <w:adjustRightInd w:val="0"/>
        <w:spacing w:after="0" w:line="240" w:lineRule="auto"/>
        <w:rPr>
          <w:color w:val="000000"/>
          <w:kern w:val="0"/>
          <w:u w:color="000000"/>
        </w:rPr>
      </w:pPr>
    </w:p>
    <w:p w14:paraId="30EF0A11" w14:textId="77777777" w:rsidR="002A6A1E" w:rsidRDefault="002A6A1E" w:rsidP="002A6A1E">
      <w:pPr>
        <w:autoSpaceDE w:val="0"/>
        <w:autoSpaceDN w:val="0"/>
        <w:adjustRightInd w:val="0"/>
        <w:spacing w:after="0" w:line="240" w:lineRule="auto"/>
        <w:rPr>
          <w:color w:val="000000"/>
          <w:kern w:val="0"/>
          <w:u w:color="000000"/>
        </w:rPr>
      </w:pPr>
      <w:r>
        <w:rPr>
          <w:color w:val="000000"/>
          <w:kern w:val="0"/>
          <w:u w:color="000000"/>
        </w:rPr>
        <w:t xml:space="preserve">Arguments </w:t>
      </w:r>
      <w:r>
        <w:rPr>
          <w:b/>
          <w:bCs/>
          <w:color w:val="000000"/>
          <w:kern w:val="0"/>
          <w:u w:val="single" w:color="000000"/>
        </w:rPr>
        <w:t>en faveur</w:t>
      </w:r>
      <w:r>
        <w:rPr>
          <w:color w:val="000000"/>
          <w:kern w:val="0"/>
          <w:u w:color="000000"/>
        </w:rPr>
        <w:t xml:space="preserve"> d’une politique de relance : </w:t>
      </w:r>
    </w:p>
    <w:p w14:paraId="5D61F55B" w14:textId="0F8A546F" w:rsidR="002A6A1E" w:rsidRDefault="000725E3" w:rsidP="002A6A1E">
      <w:pPr>
        <w:numPr>
          <w:ilvl w:val="0"/>
          <w:numId w:val="19"/>
        </w:numPr>
        <w:tabs>
          <w:tab w:val="left" w:pos="20"/>
          <w:tab w:val="left" w:pos="240"/>
        </w:tabs>
        <w:autoSpaceDE w:val="0"/>
        <w:autoSpaceDN w:val="0"/>
        <w:adjustRightInd w:val="0"/>
        <w:spacing w:after="0" w:line="240" w:lineRule="auto"/>
        <w:ind w:left="240" w:hanging="240"/>
        <w:rPr>
          <w:color w:val="000000"/>
          <w:kern w:val="0"/>
          <w:u w:color="000000"/>
        </w:rPr>
      </w:pPr>
      <w:r>
        <w:rPr>
          <w:color w:val="4EA72E" w:themeColor="accent6"/>
          <w:kern w:val="0"/>
          <w:u w:color="000000"/>
        </w:rPr>
        <w:t xml:space="preserve">Éviter le scénario post-2010</w:t>
      </w:r>
      <w:r>
        <w:rPr>
          <w:color w:val="EE0000"/>
          <w:kern w:val="0"/>
          <w:u w:color="000000"/>
        </w:rPr>
        <w:t xml:space="preserve"> </w:t>
      </w:r>
      <w:r>
        <w:rPr>
          <w:color w:val="000000"/>
          <w:kern w:val="0"/>
          <w:u w:color="000000"/>
        </w:rPr>
        <w:t xml:space="preserve">: en 2010, la politique d’austérité a été mise </w:t>
      </w:r>
      <w:r>
        <w:rPr>
          <w:color w:val="000000"/>
          <w:kern w:val="0"/>
          <w:u w:val="single" w:color="000000"/>
        </w:rPr>
        <w:t>trop tôt et trop fort</w:t>
      </w:r>
      <w:r>
        <w:rPr>
          <w:color w:val="000000"/>
          <w:kern w:val="0"/>
          <w:u w:color="000000"/>
        </w:rPr>
        <w:t xml:space="preserve">. </w:t>
      </w:r>
    </w:p>
    <w:p w14:paraId="3C9DDBD3" w14:textId="77777777" w:rsidR="000725E3" w:rsidRDefault="002A6A1E" w:rsidP="002A6A1E">
      <w:pPr>
        <w:numPr>
          <w:ilvl w:val="0"/>
          <w:numId w:val="19"/>
        </w:numPr>
        <w:tabs>
          <w:tab w:val="left" w:pos="20"/>
          <w:tab w:val="left" w:pos="240"/>
        </w:tabs>
        <w:autoSpaceDE w:val="0"/>
        <w:autoSpaceDN w:val="0"/>
        <w:adjustRightInd w:val="0"/>
        <w:spacing w:after="0" w:line="240" w:lineRule="auto"/>
        <w:ind w:left="240" w:hanging="240"/>
        <w:rPr>
          <w:color w:val="000000"/>
          <w:kern w:val="0"/>
          <w:u w:color="000000"/>
        </w:rPr>
      </w:pPr>
      <w:r>
        <w:rPr>
          <w:color w:val="4EA72E" w:themeColor="accent6"/>
          <w:kern w:val="0"/>
          <w:u w:color="000000"/>
        </w:rPr>
        <w:t xml:space="preserve">Soutenir la demande </w:t>
      </w:r>
      <w:r>
        <w:rPr>
          <w:color w:val="000000"/>
          <w:kern w:val="0"/>
          <w:u w:color="000000"/>
        </w:rPr>
        <w:t>: la croissance a tendance à ralentir (1% en Europe)</w:t>
      </w:r>
    </w:p>
    <w:p w14:paraId="5436CD3D" w14:textId="66C20745" w:rsidR="002A6A1E" w:rsidRPr="000725E3" w:rsidRDefault="002A6A1E" w:rsidP="002A6A1E">
      <w:pPr>
        <w:numPr>
          <w:ilvl w:val="0"/>
          <w:numId w:val="19"/>
        </w:numPr>
        <w:tabs>
          <w:tab w:val="left" w:pos="20"/>
          <w:tab w:val="left" w:pos="240"/>
        </w:tabs>
        <w:autoSpaceDE w:val="0"/>
        <w:autoSpaceDN w:val="0"/>
        <w:adjustRightInd w:val="0"/>
        <w:spacing w:after="0" w:line="240" w:lineRule="auto"/>
        <w:ind w:left="240" w:hanging="240"/>
        <w:rPr>
          <w:color w:val="000000"/>
          <w:kern w:val="0"/>
          <w:u w:color="000000"/>
        </w:rPr>
      </w:pPr>
      <w:r>
        <w:rPr>
          <w:color w:val="4EA72E" w:themeColor="accent6"/>
          <w:kern w:val="0"/>
          <w:u w:color="000000"/>
        </w:rPr>
        <w:t xml:space="preserve">Investissement productif </w:t>
      </w:r>
      <w:r>
        <w:rPr>
          <w:color w:val="000000"/>
          <w:kern w:val="0"/>
          <w:u w:color="000000"/>
        </w:rPr>
        <w:t>: grands défis comme la transition écologique ou numérique</w:t>
      </w:r>
    </w:p>
    <w:p w14:paraId="556C8130" w14:textId="77777777" w:rsidR="00C56467" w:rsidRDefault="00C56467" w:rsidP="002A6A1E">
      <w:pPr>
        <w:rPr>
          <w:color w:val="000000"/>
          <w:kern w:val="0"/>
          <w:u w:color="000000"/>
        </w:rPr>
      </w:pPr>
    </w:p>
    <w:p w14:paraId="4C5B724C" w14:textId="007D075B" w:rsidR="000725E3" w:rsidRDefault="000725E3" w:rsidP="000725E3">
      <w:pPr>
        <w:pStyle w:val="Titre3"/>
      </w:pPr>
      <w:r>
        <w:t xml:space="preserve">3°) Nouvelles perspectives : dette, BCE et transition écologique</w:t>
      </w:r>
    </w:p>
    <w:p w14:paraId="5A413D01" w14:textId="77777777" w:rsidR="00C56467" w:rsidRDefault="00C56467" w:rsidP="00C56467">
      <w:pPr>
        <w:autoSpaceDE w:val="0"/>
        <w:autoSpaceDN w:val="0"/>
        <w:adjustRightInd w:val="0"/>
        <w:spacing w:after="0" w:line="240" w:lineRule="auto"/>
        <w:rPr>
          <w:kern w:val="0"/>
        </w:rPr>
      </w:pPr>
    </w:p>
    <w:p w14:paraId="13CE2A2E" w14:textId="77777777" w:rsidR="00C56467" w:rsidRDefault="00C56467" w:rsidP="00C56467">
      <w:pPr>
        <w:numPr>
          <w:ilvl w:val="0"/>
          <w:numId w:val="15"/>
        </w:numPr>
        <w:autoSpaceDE w:val="0"/>
        <w:autoSpaceDN w:val="0"/>
        <w:adjustRightInd w:val="0"/>
        <w:spacing w:after="0" w:line="240" w:lineRule="auto"/>
        <w:ind w:left="0" w:firstLine="0"/>
        <w:rPr>
          <w:kern w:val="0"/>
        </w:rPr>
      </w:pPr>
      <w:r>
        <w:rPr>
          <w:kern w:val="0"/>
        </w:rPr>
        <w:t>Débat sur l’annulation de la dette détenue par la BCE. Voir TD7</w:t>
      </w:r>
    </w:p>
    <w:p w14:paraId="6734DFE1" w14:textId="6CD2C897" w:rsidR="00C56467" w:rsidRDefault="00C56467" w:rsidP="00C56467">
      <w:pPr>
        <w:numPr>
          <w:ilvl w:val="0"/>
          <w:numId w:val="15"/>
        </w:numPr>
        <w:autoSpaceDE w:val="0"/>
        <w:autoSpaceDN w:val="0"/>
        <w:adjustRightInd w:val="0"/>
        <w:spacing w:after="0" w:line="240" w:lineRule="auto"/>
        <w:ind w:left="0" w:firstLine="0"/>
        <w:rPr>
          <w:kern w:val="0"/>
        </w:rPr>
      </w:pPr>
      <w:r>
        <w:rPr>
          <w:kern w:val="0"/>
        </w:rPr>
        <w:t xml:space="preserve">Aujourd’hui 20% de la dette publique des États est détenue par la BCE. Or la BCE appartient aux États. La dette se rembourse par eux-mêmes. Ainsi autant annuler la </w:t>
        <w:lastRenderedPageBreak/>
        <w:t>part de dette que l’on se rembourse à nous-mêmes. Cela permet d’avoir des marges de manœuvre pour se désendetter plus facilement.</w:t>
      </w:r>
    </w:p>
    <w:p w14:paraId="727DAB47" w14:textId="77777777" w:rsidR="00C56467" w:rsidRDefault="00C56467" w:rsidP="00C56467">
      <w:pPr>
        <w:numPr>
          <w:ilvl w:val="0"/>
          <w:numId w:val="15"/>
        </w:numPr>
        <w:autoSpaceDE w:val="0"/>
        <w:autoSpaceDN w:val="0"/>
        <w:adjustRightInd w:val="0"/>
        <w:spacing w:after="0" w:line="240" w:lineRule="auto"/>
        <w:ind w:left="0" w:firstLine="0"/>
        <w:rPr>
          <w:kern w:val="0"/>
        </w:rPr>
      </w:pPr>
      <w:r>
        <w:rPr>
          <w:kern w:val="0"/>
        </w:rPr>
        <w:t>On n’a pas le droit de faire de différence entre prêteurs. Investisseurs risquent de perdre confiance</w:t>
      </w:r>
    </w:p>
    <w:p w14:paraId="5A20BC40" w14:textId="77777777" w:rsidR="00C56467" w:rsidRDefault="00C56467" w:rsidP="00C56467">
      <w:pPr>
        <w:numPr>
          <w:ilvl w:val="0"/>
          <w:numId w:val="15"/>
        </w:numPr>
        <w:autoSpaceDE w:val="0"/>
        <w:autoSpaceDN w:val="0"/>
        <w:adjustRightInd w:val="0"/>
        <w:spacing w:after="0" w:line="240" w:lineRule="auto"/>
        <w:ind w:left="0" w:firstLine="0"/>
        <w:rPr>
          <w:kern w:val="0"/>
        </w:rPr>
      </w:pPr>
      <w:r>
        <w:rPr>
          <w:kern w:val="0"/>
        </w:rPr>
        <w:t xml:space="preserve">Depuis 2023, la commission européenne et les états discutent pour réformer le pacte de stabilité et de croissance. Il y a des discussions en cours pour que chaque État ait ses propres objectifs en fonction de sa situation et permettrait aux États les plus endettés de progressivement se désendetter sans risquer de sanction. Il y a aussi des discussions pour qu’on compte moins les différents investissements liés à la technologie ou environnement </w:t>
      </w:r>
    </w:p>
    <w:p w14:paraId="34E2CE06" w14:textId="77777777" w:rsidR="00C56467" w:rsidRDefault="00C56467" w:rsidP="00C56467">
      <w:pPr>
        <w:autoSpaceDE w:val="0"/>
        <w:autoSpaceDN w:val="0"/>
        <w:adjustRightInd w:val="0"/>
        <w:spacing w:after="0" w:line="240" w:lineRule="auto"/>
        <w:rPr>
          <w:kern w:val="0"/>
        </w:rPr>
      </w:pPr>
    </w:p>
    <w:p w14:paraId="7C068FCC" w14:textId="77777777" w:rsidR="00C56467" w:rsidRDefault="00C56467" w:rsidP="00C56467">
      <w:pPr>
        <w:autoSpaceDE w:val="0"/>
        <w:autoSpaceDN w:val="0"/>
        <w:adjustRightInd w:val="0"/>
        <w:spacing w:after="0" w:line="240" w:lineRule="auto"/>
        <w:rPr>
          <w:kern w:val="0"/>
        </w:rPr>
      </w:pPr>
    </w:p>
    <w:p w14:paraId="22C77A39" w14:textId="77777777" w:rsidR="00C56467" w:rsidRDefault="00C56467" w:rsidP="00C56467">
      <w:pPr>
        <w:pStyle w:val="Titre1"/>
      </w:pPr>
      <w:bookmarkStart w:id="31" w:name="_Toc243123154"/>
      <w:r>
        <w:lastRenderedPageBreak/>
        <w:t>Chapitre 3 : Le rôle et l’organisation d’une banque centrale : l’exemple de la BCE</w:t>
      </w:r>
      <w:bookmarkEnd w:id="31"/>
    </w:p>
    <w:p w14:paraId="59A8B2F3" w14:textId="77777777" w:rsidR="00C56467" w:rsidRDefault="00C56467" w:rsidP="00C56467">
      <w:pPr>
        <w:autoSpaceDE w:val="0"/>
        <w:autoSpaceDN w:val="0"/>
        <w:adjustRightInd w:val="0"/>
        <w:spacing w:after="0" w:line="240" w:lineRule="auto"/>
        <w:rPr>
          <w:kern w:val="0"/>
        </w:rPr>
      </w:pPr>
    </w:p>
    <w:p w14:paraId="37E5F0BD" w14:textId="77777777" w:rsidR="00C56467" w:rsidRDefault="00C56467" w:rsidP="00C56467">
      <w:pPr>
        <w:autoSpaceDE w:val="0"/>
        <w:autoSpaceDN w:val="0"/>
        <w:adjustRightInd w:val="0"/>
        <w:spacing w:after="0" w:line="240" w:lineRule="auto"/>
        <w:rPr>
          <w:kern w:val="0"/>
        </w:rPr>
      </w:pPr>
    </w:p>
    <w:p w14:paraId="0B51620C" w14:textId="77777777" w:rsidR="00C56467" w:rsidRDefault="00C56467" w:rsidP="00C56467">
      <w:pPr>
        <w:pStyle w:val="Titre2"/>
      </w:pPr>
      <w:bookmarkStart w:id="32" w:name="_Toc243123155"/>
      <w:r>
        <w:t>I – Le cadre institutionnel de la politique monétaire</w:t>
      </w:r>
      <w:bookmarkEnd w:id="32"/>
    </w:p>
    <w:p w14:paraId="4C2B229A" w14:textId="77777777" w:rsidR="00C56467" w:rsidRDefault="00C56467" w:rsidP="00C56467">
      <w:pPr>
        <w:pStyle w:val="Titre3"/>
      </w:pPr>
      <w:bookmarkStart w:id="33" w:name="_Toc243123156"/>
      <w:r>
        <w:t>1°) L’intégration monétaire européenne</w:t>
      </w:r>
      <w:bookmarkEnd w:id="33"/>
    </w:p>
    <w:p w14:paraId="2DDB4949" w14:textId="77777777" w:rsidR="00C56467" w:rsidRDefault="00C56467" w:rsidP="00C56467">
      <w:pPr>
        <w:autoSpaceDE w:val="0"/>
        <w:autoSpaceDN w:val="0"/>
        <w:adjustRightInd w:val="0"/>
        <w:spacing w:after="0" w:line="240" w:lineRule="auto"/>
        <w:rPr>
          <w:kern w:val="0"/>
        </w:rPr>
      </w:pPr>
    </w:p>
    <w:p w14:paraId="5097391B" w14:textId="77777777" w:rsidR="00C56467" w:rsidRDefault="00C56467" w:rsidP="00C56467">
      <w:pPr>
        <w:autoSpaceDE w:val="0"/>
        <w:autoSpaceDN w:val="0"/>
        <w:adjustRightInd w:val="0"/>
        <w:spacing w:after="0" w:line="240" w:lineRule="auto"/>
        <w:rPr>
          <w:kern w:val="0"/>
        </w:rPr>
      </w:pPr>
      <w:r>
        <w:rPr>
          <w:kern w:val="0"/>
        </w:rPr>
        <w:t xml:space="preserve">Dès les débuts de la construction européenne, les États </w:t>
      </w:r>
      <w:r>
        <w:rPr>
          <w:kern w:val="0"/>
          <w:u w:val="single"/>
        </w:rPr>
        <w:t xml:space="preserve">remarquent qu’il est important d’avoir une </w:t>
      </w:r>
      <w:r>
        <w:rPr>
          <w:b/>
          <w:bCs/>
          <w:color w:val="2E74B5"/>
          <w:kern w:val="0"/>
          <w:u w:val="single"/>
        </w:rPr>
        <w:t>stabilité des taux de change</w:t>
      </w:r>
      <w:r>
        <w:rPr>
          <w:kern w:val="0"/>
        </w:rPr>
        <w:t xml:space="preserve">. Depuis 1944, les pays de l’UE avaient adopté le système de </w:t>
      </w:r>
      <w:r>
        <w:rPr>
          <w:b/>
          <w:color w:val="2E74B5"/>
          <w:kern w:val="0"/>
          <w:u w:val="single"/>
        </w:rPr>
        <w:t>Bretton Woods</w:t>
      </w:r>
      <w:r>
        <w:rPr>
          <w:kern w:val="0"/>
        </w:rPr>
        <w:t xml:space="preserve"> : système de </w:t>
      </w:r>
      <w:r>
        <w:rPr>
          <w:b/>
          <w:color w:val="2E74B5"/>
          <w:kern w:val="0"/>
          <w:u w:val="single"/>
        </w:rPr>
        <w:t>taux de change fixe</w:t>
      </w:r>
      <w:r>
        <w:rPr>
          <w:kern w:val="0"/>
        </w:rPr>
        <w:t xml:space="preserve"> entre le dollar américain et les pays alliés des USA. Chaque pays avait un taux de change fixe par rapport au dollar ; en échange le dollar était </w:t>
      </w:r>
      <w:r>
        <w:rPr>
          <w:b/>
          <w:color w:val="2E74B5"/>
          <w:kern w:val="0"/>
          <w:u w:val="single"/>
        </w:rPr>
        <w:t>convertible en or</w:t>
      </w:r>
      <w:r>
        <w:rPr>
          <w:kern w:val="0"/>
        </w:rPr>
        <w:t xml:space="preserve">. </w:t>
      </w:r>
    </w:p>
    <w:p w14:paraId="54769481" w14:textId="77777777" w:rsidR="00C56467" w:rsidRDefault="00C56467" w:rsidP="00C56467">
      <w:pPr>
        <w:autoSpaceDE w:val="0"/>
        <w:autoSpaceDN w:val="0"/>
        <w:adjustRightInd w:val="0"/>
        <w:spacing w:after="0" w:line="240" w:lineRule="auto"/>
        <w:rPr>
          <w:kern w:val="0"/>
        </w:rPr>
      </w:pPr>
    </w:p>
    <w:p w14:paraId="642BEE94" w14:textId="77777777" w:rsidR="00C56467" w:rsidRDefault="00C56467" w:rsidP="00C56467">
      <w:pPr>
        <w:autoSpaceDE w:val="0"/>
        <w:autoSpaceDN w:val="0"/>
        <w:adjustRightInd w:val="0"/>
        <w:spacing w:after="0" w:line="240" w:lineRule="auto"/>
        <w:rPr>
          <w:kern w:val="0"/>
        </w:rPr>
      </w:pPr>
    </w:p>
    <w:p w14:paraId="046C9C2E" w14:textId="627FF8E4" w:rsidR="00C56467" w:rsidRDefault="00C56467" w:rsidP="00C56467">
      <w:pPr>
        <w:autoSpaceDE w:val="0"/>
        <w:autoSpaceDN w:val="0"/>
        <w:adjustRightInd w:val="0"/>
        <w:spacing w:after="0" w:line="240" w:lineRule="auto"/>
        <w:rPr>
          <w:kern w:val="0"/>
        </w:rPr>
      </w:pPr>
      <w:r>
        <w:rPr>
          <w:kern w:val="0"/>
        </w:rPr>
        <w:t xml:space="preserve">En </w:t>
      </w:r>
      <w:r>
        <w:rPr>
          <w:b/>
          <w:color w:val="2E74B5"/>
          <w:kern w:val="0"/>
          <w:u w:val="single"/>
        </w:rPr>
        <w:t>1971</w:t>
      </w:r>
      <w:r>
        <w:rPr>
          <w:kern w:val="0"/>
        </w:rPr>
        <w:t xml:space="preserve">, le système s’écroule, les états adoptent un </w:t>
      </w:r>
      <w:r>
        <w:rPr>
          <w:b/>
          <w:color w:val="2E74B5"/>
          <w:kern w:val="0"/>
          <w:u w:val="single"/>
        </w:rPr>
        <w:t>taux de change flottant</w:t>
      </w:r>
      <w:r>
        <w:rPr>
          <w:kern w:val="0"/>
        </w:rPr>
        <w:t xml:space="preserve">. En </w:t>
      </w:r>
      <w:r>
        <w:rPr>
          <w:b/>
          <w:color w:val="2E74B5"/>
          <w:kern w:val="0"/>
          <w:u w:val="single"/>
        </w:rPr>
        <w:t>1972</w:t>
      </w:r>
      <w:r>
        <w:rPr>
          <w:kern w:val="0"/>
        </w:rPr>
        <w:t xml:space="preserve">, les pays européens mettent en place </w:t>
      </w:r>
      <w:r>
        <w:rPr>
          <w:b/>
          <w:bCs/>
          <w:kern w:val="0"/>
        </w:rPr>
        <w:t xml:space="preserve">le </w:t>
      </w:r>
      <w:r>
        <w:rPr>
          <w:b/>
          <w:bCs/>
          <w:color w:val="2E74B5"/>
          <w:kern w:val="0"/>
          <w:u w:val="single"/>
        </w:rPr>
        <w:t>serpent monétaire européen</w:t>
      </w:r>
      <w:r>
        <w:rPr>
          <w:kern w:val="0"/>
        </w:rPr>
        <w:t xml:space="preserve"> : chaque pays s’engage à ce que sa monnaie officielle puisse varier d’un taux de change avec une autre monnaie d’environ </w:t>
      </w:r>
      <w:r>
        <w:rPr>
          <w:b/>
          <w:color w:val="2E74B5"/>
          <w:kern w:val="0"/>
          <w:u w:val="single"/>
        </w:rPr>
        <w:t>2,5%</w:t>
      </w:r>
      <w:r>
        <w:rPr>
          <w:kern w:val="0"/>
        </w:rPr>
        <w:t xml:space="preserve"> maximum. </w:t>
      </w:r>
    </w:p>
    <w:p w14:paraId="55B04037" w14:textId="77777777" w:rsidR="00C56467" w:rsidRDefault="00C56467" w:rsidP="00C56467">
      <w:pPr>
        <w:autoSpaceDE w:val="0"/>
        <w:autoSpaceDN w:val="0"/>
        <w:adjustRightInd w:val="0"/>
        <w:spacing w:after="0" w:line="240" w:lineRule="auto"/>
        <w:rPr>
          <w:kern w:val="0"/>
        </w:rPr>
      </w:pPr>
    </w:p>
    <w:p w14:paraId="659C5DF6" w14:textId="77777777" w:rsidR="00C56467" w:rsidRDefault="00C56467" w:rsidP="00C56467">
      <w:pPr>
        <w:autoSpaceDE w:val="0"/>
        <w:autoSpaceDN w:val="0"/>
        <w:adjustRightInd w:val="0"/>
        <w:spacing w:after="0" w:line="240" w:lineRule="auto"/>
        <w:rPr>
          <w:kern w:val="0"/>
        </w:rPr>
      </w:pPr>
      <w:r>
        <w:rPr>
          <w:kern w:val="0"/>
        </w:rPr>
        <w:t xml:space="preserve">Avec les </w:t>
      </w:r>
      <w:r>
        <w:rPr>
          <w:b/>
          <w:color w:val="2E74B5"/>
          <w:kern w:val="0"/>
          <w:u w:val="single"/>
        </w:rPr>
        <w:t>chocs pétroliers</w:t>
      </w:r>
      <w:r>
        <w:rPr>
          <w:kern w:val="0"/>
        </w:rPr>
        <w:t xml:space="preserve">, les États ont du mal à maintenir le système. En </w:t>
      </w:r>
      <w:r>
        <w:rPr>
          <w:b/>
          <w:color w:val="2E74B5"/>
          <w:kern w:val="0"/>
          <w:u w:val="single"/>
        </w:rPr>
        <w:t>1979</w:t>
      </w:r>
      <w:r>
        <w:rPr>
          <w:kern w:val="0"/>
        </w:rPr>
        <w:t xml:space="preserve">, on crée le </w:t>
      </w:r>
      <w:r>
        <w:rPr>
          <w:b/>
          <w:color w:val="2E74B5"/>
          <w:kern w:val="0"/>
          <w:u w:val="single"/>
        </w:rPr>
        <w:t>SME</w:t>
      </w:r>
      <w:r>
        <w:rPr>
          <w:kern w:val="0"/>
        </w:rPr>
        <w:t xml:space="preserve"> (Système Monétaire Européen), on crée une monnaie virtuelle qui s’appelle l’</w:t>
      </w:r>
      <w:r>
        <w:rPr>
          <w:b/>
          <w:color w:val="2E74B5"/>
          <w:kern w:val="0"/>
          <w:u w:val="single"/>
        </w:rPr>
        <w:t>ECU</w:t>
      </w:r>
      <w:r>
        <w:rPr>
          <w:kern w:val="0"/>
        </w:rPr>
        <w:t xml:space="preserve"> (European Currency Unit). Les différents États déterminent un taux de change officiel par rapport à l’ECU </w:t>
      </w:r>
      <w:r>
        <w:rPr>
          <w:b/>
          <w:bCs/>
          <w:kern w:val="0"/>
        </w:rPr>
        <w:t>(+ ou - 2,5%).</w:t>
      </w:r>
      <w:r>
        <w:rPr>
          <w:kern w:val="0"/>
        </w:rPr>
        <w:t xml:space="preserve"> </w:t>
      </w:r>
    </w:p>
    <w:p w14:paraId="3ACD9A5B" w14:textId="77777777" w:rsidR="00C56467" w:rsidRDefault="00C56467" w:rsidP="00C56467">
      <w:pPr>
        <w:autoSpaceDE w:val="0"/>
        <w:autoSpaceDN w:val="0"/>
        <w:adjustRightInd w:val="0"/>
        <w:spacing w:after="0" w:line="240" w:lineRule="auto"/>
        <w:rPr>
          <w:kern w:val="0"/>
        </w:rPr>
      </w:pPr>
    </w:p>
    <w:p w14:paraId="7CA775CA" w14:textId="77777777" w:rsidR="00C56467" w:rsidRDefault="00C56467" w:rsidP="00C56467">
      <w:pPr>
        <w:autoSpaceDE w:val="0"/>
        <w:autoSpaceDN w:val="0"/>
        <w:adjustRightInd w:val="0"/>
        <w:spacing w:after="0" w:line="240" w:lineRule="auto"/>
        <w:rPr>
          <w:kern w:val="0"/>
        </w:rPr>
      </w:pPr>
      <w:r>
        <w:rPr>
          <w:b/>
          <w:color w:val="2E74B5"/>
          <w:kern w:val="0"/>
          <w:u w:val="single"/>
        </w:rPr>
        <w:t>Vers une monnaie unique</w:t>
      </w:r>
      <w:r>
        <w:rPr>
          <w:kern w:val="0"/>
        </w:rPr>
        <w:t xml:space="preserve"> : en 1989, </w:t>
      </w:r>
      <w:r>
        <w:rPr>
          <w:b/>
          <w:color w:val="2E74B5"/>
          <w:kern w:val="0"/>
          <w:u w:val="single"/>
        </w:rPr>
        <w:t>rapport Delors</w:t>
      </w:r>
      <w:r>
        <w:rPr>
          <w:kern w:val="0"/>
        </w:rPr>
        <w:t xml:space="preserve"> - il prévoit qu’on ait une </w:t>
      </w:r>
      <w:r>
        <w:rPr>
          <w:b/>
          <w:color w:val="2E74B5"/>
          <w:kern w:val="0"/>
          <w:u w:val="single"/>
        </w:rPr>
        <w:t>BC unique</w:t>
      </w:r>
      <w:r>
        <w:rPr>
          <w:kern w:val="0"/>
        </w:rPr>
        <w:t xml:space="preserve">. En 1992, les États créent le </w:t>
      </w:r>
      <w:r>
        <w:rPr>
          <w:b/>
          <w:color w:val="2E74B5"/>
          <w:kern w:val="0"/>
          <w:u w:val="single"/>
        </w:rPr>
        <w:t>traité de Maastricht</w:t>
      </w:r>
      <w:r>
        <w:rPr>
          <w:kern w:val="0"/>
        </w:rPr>
        <w:t xml:space="preserve"> et prévoient le passage à la monnaie unique. Il prévoit </w:t>
      </w:r>
      <w:r>
        <w:rPr>
          <w:b/>
          <w:color w:val="2E74B5"/>
          <w:kern w:val="0"/>
          <w:u w:val="single"/>
        </w:rPr>
        <w:t>3 étapes</w:t>
      </w:r>
      <w:r>
        <w:rPr>
          <w:kern w:val="0"/>
        </w:rPr>
        <w:t xml:space="preserve"> : </w:t>
      </w:r>
    </w:p>
    <w:p w14:paraId="3F5EB354" w14:textId="77777777" w:rsidR="00C56467" w:rsidRDefault="00C56467" w:rsidP="00C56467">
      <w:pPr>
        <w:numPr>
          <w:ilvl w:val="0"/>
          <w:numId w:val="17"/>
        </w:numPr>
        <w:autoSpaceDE w:val="0"/>
        <w:autoSpaceDN w:val="0"/>
        <w:adjustRightInd w:val="0"/>
        <w:spacing w:after="0" w:line="240" w:lineRule="auto"/>
        <w:ind w:left="0" w:firstLine="0"/>
        <w:rPr>
          <w:kern w:val="0"/>
        </w:rPr>
      </w:pPr>
      <w:r>
        <w:rPr>
          <w:b/>
          <w:color w:val="2E74B5"/>
          <w:kern w:val="0"/>
          <w:highlight w:val="yellow"/>
          <w:u w:val="single"/>
        </w:rPr>
        <w:t>1990</w:t>
      </w:r>
      <w:r>
        <w:rPr>
          <w:kern w:val="0"/>
        </w:rPr>
        <w:t xml:space="preserve"> : </w:t>
      </w:r>
      <w:r>
        <w:rPr>
          <w:b/>
          <w:color w:val="2E74B5"/>
          <w:kern w:val="0"/>
          <w:u w:val="single"/>
        </w:rPr>
        <w:t>libéralisation des mouvements de capitaux</w:t>
      </w:r>
      <w:r>
        <w:rPr>
          <w:kern w:val="0"/>
        </w:rPr>
        <w:t xml:space="preserve"> </w:t>
      </w:r>
    </w:p>
    <w:p w14:paraId="2F127B67" w14:textId="77777777" w:rsidR="00C56467" w:rsidRDefault="00C56467" w:rsidP="00C56467">
      <w:pPr>
        <w:numPr>
          <w:ilvl w:val="0"/>
          <w:numId w:val="17"/>
        </w:numPr>
        <w:autoSpaceDE w:val="0"/>
        <w:autoSpaceDN w:val="0"/>
        <w:adjustRightInd w:val="0"/>
        <w:spacing w:after="0" w:line="240" w:lineRule="auto"/>
        <w:ind w:left="0" w:firstLine="0"/>
        <w:rPr>
          <w:kern w:val="0"/>
        </w:rPr>
      </w:pPr>
      <w:r>
        <w:rPr>
          <w:b/>
          <w:color w:val="2E74B5"/>
          <w:kern w:val="0"/>
          <w:highlight w:val="yellow"/>
          <w:u w:val="single"/>
        </w:rPr>
        <w:t>1994</w:t>
      </w:r>
      <w:r>
        <w:rPr>
          <w:kern w:val="0"/>
          <w:highlight w:val="yellow"/>
        </w:rPr>
        <w:t xml:space="preserve"> </w:t>
      </w:r>
      <w:r>
        <w:rPr>
          <w:kern w:val="0"/>
        </w:rPr>
        <w:t>: Création de l’</w:t>
      </w:r>
      <w:r>
        <w:rPr>
          <w:b/>
          <w:color w:val="2E74B5"/>
          <w:kern w:val="0"/>
          <w:u w:val="single"/>
        </w:rPr>
        <w:t>Institut Monétaire Européen</w:t>
      </w:r>
      <w:r>
        <w:rPr>
          <w:kern w:val="0"/>
        </w:rPr>
        <w:t xml:space="preserve"> (ancêtre de la BCE). Chargé de renforcer la coopération entre les banques centrales nationales et de préparer la future politique monétaire commune. </w:t>
      </w:r>
    </w:p>
    <w:p w14:paraId="7314E8BE" w14:textId="77777777" w:rsidR="00C56467" w:rsidRDefault="00C56467" w:rsidP="00C56467">
      <w:pPr>
        <w:numPr>
          <w:ilvl w:val="0"/>
          <w:numId w:val="17"/>
        </w:numPr>
        <w:autoSpaceDE w:val="0"/>
        <w:autoSpaceDN w:val="0"/>
        <w:adjustRightInd w:val="0"/>
        <w:spacing w:after="0" w:line="240" w:lineRule="auto"/>
        <w:ind w:left="0" w:firstLine="0"/>
        <w:rPr>
          <w:kern w:val="0"/>
        </w:rPr>
      </w:pPr>
      <w:r>
        <w:rPr>
          <w:b/>
          <w:color w:val="2E74B5"/>
          <w:kern w:val="0"/>
          <w:highlight w:val="yellow"/>
          <w:u w:val="single"/>
        </w:rPr>
        <w:t>1999</w:t>
      </w:r>
      <w:r>
        <w:rPr>
          <w:kern w:val="0"/>
          <w:highlight w:val="yellow"/>
        </w:rPr>
        <w:t xml:space="preserve"> </w:t>
      </w:r>
      <w:r>
        <w:rPr>
          <w:kern w:val="0"/>
        </w:rPr>
        <w:t xml:space="preserve">: fixation des taux de change par rapport à l’euro et politique monétaire confiée à la </w:t>
      </w:r>
      <w:r>
        <w:rPr>
          <w:b/>
          <w:color w:val="2E74B5"/>
          <w:kern w:val="0"/>
          <w:u w:val="single"/>
        </w:rPr>
        <w:t>BCE</w:t>
      </w:r>
      <w:r>
        <w:rPr>
          <w:kern w:val="0"/>
        </w:rPr>
        <w:t xml:space="preserve">. L’euro devient la monnaie officielle de compte. </w:t>
      </w:r>
    </w:p>
    <w:p w14:paraId="0431C86C" w14:textId="77777777" w:rsidR="00C56467" w:rsidRDefault="00C56467" w:rsidP="00C56467">
      <w:pPr>
        <w:autoSpaceDE w:val="0"/>
        <w:autoSpaceDN w:val="0"/>
        <w:adjustRightInd w:val="0"/>
        <w:spacing w:after="0" w:line="240" w:lineRule="auto"/>
        <w:rPr>
          <w:kern w:val="0"/>
        </w:rPr>
      </w:pPr>
    </w:p>
    <w:p w14:paraId="04E29368" w14:textId="77777777" w:rsidR="00C56467" w:rsidRDefault="00C56467" w:rsidP="00C56467">
      <w:pPr>
        <w:autoSpaceDE w:val="0"/>
        <w:autoSpaceDN w:val="0"/>
        <w:adjustRightInd w:val="0"/>
        <w:spacing w:after="0" w:line="240" w:lineRule="auto"/>
        <w:rPr>
          <w:kern w:val="0"/>
        </w:rPr>
      </w:pPr>
      <w:r>
        <w:rPr>
          <w:kern w:val="0"/>
        </w:rPr>
        <w:t xml:space="preserve">Pour adopter l’euro, les pays doivent adopter les </w:t>
      </w:r>
      <w:r>
        <w:rPr>
          <w:b/>
          <w:color w:val="2E74B5"/>
          <w:kern w:val="0"/>
          <w:u w:val="single"/>
        </w:rPr>
        <w:t>critères de convergence</w:t>
      </w:r>
      <w:r>
        <w:rPr>
          <w:kern w:val="0"/>
        </w:rPr>
        <w:t xml:space="preserve"> : </w:t>
      </w:r>
    </w:p>
    <w:p w14:paraId="033DAACB" w14:textId="77777777" w:rsidR="00C56467" w:rsidRDefault="00C56467" w:rsidP="00C56467">
      <w:pPr>
        <w:numPr>
          <w:ilvl w:val="0"/>
          <w:numId w:val="18"/>
        </w:numPr>
        <w:autoSpaceDE w:val="0"/>
        <w:autoSpaceDN w:val="0"/>
        <w:adjustRightInd w:val="0"/>
        <w:spacing w:after="0" w:line="240" w:lineRule="auto"/>
        <w:ind w:left="0" w:firstLine="0"/>
        <w:rPr>
          <w:kern w:val="0"/>
        </w:rPr>
      </w:pPr>
      <w:r>
        <w:rPr>
          <w:b/>
          <w:color w:val="2E74B5"/>
          <w:kern w:val="0"/>
          <w:u w:val="single"/>
        </w:rPr>
        <w:t>Stabilité des prix</w:t>
      </w:r>
      <w:r>
        <w:rPr>
          <w:kern w:val="0"/>
        </w:rPr>
        <w:t xml:space="preserve">, taux d’inflation inférieur à </w:t>
      </w:r>
      <w:r>
        <w:rPr>
          <w:b/>
          <w:color w:val="2E74B5"/>
          <w:kern w:val="0"/>
          <w:u w:val="single"/>
        </w:rPr>
        <w:t>1,5 points</w:t>
      </w:r>
      <w:r>
        <w:rPr>
          <w:kern w:val="0"/>
        </w:rPr>
        <w:t xml:space="preserve"> de pourcentage </w:t>
      </w:r>
    </w:p>
    <w:p w14:paraId="6FCDCF16" w14:textId="77777777" w:rsidR="00C56467" w:rsidRDefault="00C56467" w:rsidP="00C56467">
      <w:pPr>
        <w:numPr>
          <w:ilvl w:val="0"/>
          <w:numId w:val="18"/>
        </w:numPr>
        <w:autoSpaceDE w:val="0"/>
        <w:autoSpaceDN w:val="0"/>
        <w:adjustRightInd w:val="0"/>
        <w:spacing w:after="0" w:line="240" w:lineRule="auto"/>
        <w:ind w:left="0" w:firstLine="0"/>
        <w:rPr>
          <w:kern w:val="0"/>
        </w:rPr>
      </w:pPr>
      <w:r>
        <w:rPr>
          <w:b/>
          <w:bCs/>
          <w:color w:val="0070C0"/>
          <w:kern w:val="0"/>
          <w:u w:val="single"/>
        </w:rPr>
        <w:t>Soutenabilité de la dette publique</w:t>
      </w:r>
      <w:r>
        <w:rPr>
          <w:kern w:val="0"/>
        </w:rPr>
        <w:t xml:space="preserve"> inférieur à </w:t>
      </w:r>
      <w:r>
        <w:rPr>
          <w:b/>
          <w:color w:val="2E74B5"/>
          <w:kern w:val="0"/>
          <w:u w:val="single"/>
        </w:rPr>
        <w:t>60% du PIB</w:t>
      </w:r>
      <w:r>
        <w:rPr>
          <w:kern w:val="0"/>
        </w:rPr>
        <w:t xml:space="preserve">, et </w:t>
      </w:r>
      <w:r>
        <w:rPr>
          <w:b/>
          <w:color w:val="2E74B5"/>
          <w:kern w:val="0"/>
          <w:u w:val="single"/>
        </w:rPr>
        <w:t>3% du déficit</w:t>
      </w:r>
      <w:r>
        <w:rPr>
          <w:kern w:val="0"/>
        </w:rPr>
        <w:t xml:space="preserve"> </w:t>
      </w:r>
    </w:p>
    <w:p w14:paraId="458E78AE" w14:textId="77777777" w:rsidR="00C56467" w:rsidRDefault="00C56467" w:rsidP="00C56467">
      <w:pPr>
        <w:numPr>
          <w:ilvl w:val="0"/>
          <w:numId w:val="18"/>
        </w:numPr>
        <w:autoSpaceDE w:val="0"/>
        <w:autoSpaceDN w:val="0"/>
        <w:adjustRightInd w:val="0"/>
        <w:spacing w:after="0" w:line="240" w:lineRule="auto"/>
        <w:ind w:left="0" w:firstLine="0"/>
        <w:rPr>
          <w:kern w:val="0"/>
        </w:rPr>
      </w:pPr>
      <w:r>
        <w:rPr>
          <w:b/>
          <w:color w:val="2E74B5"/>
          <w:kern w:val="0"/>
          <w:u w:val="single"/>
        </w:rPr>
        <w:t>Stabilité du taux de change</w:t>
      </w:r>
      <w:r>
        <w:rPr>
          <w:kern w:val="0"/>
        </w:rPr>
        <w:t xml:space="preserve"> pendant au moins </w:t>
      </w:r>
      <w:r>
        <w:rPr>
          <w:b/>
          <w:color w:val="2E74B5"/>
          <w:kern w:val="0"/>
          <w:u w:val="single"/>
        </w:rPr>
        <w:t>deux ans</w:t>
      </w:r>
      <w:r>
        <w:rPr>
          <w:kern w:val="0"/>
        </w:rPr>
        <w:t xml:space="preserve"> </w:t>
      </w:r>
    </w:p>
    <w:p w14:paraId="05B87505" w14:textId="77777777" w:rsidR="00C56467" w:rsidRDefault="00C56467" w:rsidP="00C56467">
      <w:pPr>
        <w:numPr>
          <w:ilvl w:val="0"/>
          <w:numId w:val="18"/>
        </w:numPr>
        <w:autoSpaceDE w:val="0"/>
        <w:autoSpaceDN w:val="0"/>
        <w:adjustRightInd w:val="0"/>
        <w:spacing w:after="0" w:line="240" w:lineRule="auto"/>
        <w:ind w:left="0" w:firstLine="0"/>
        <w:rPr>
          <w:kern w:val="0"/>
        </w:rPr>
      </w:pPr>
      <w:r>
        <w:rPr>
          <w:b/>
          <w:color w:val="2E74B5"/>
          <w:kern w:val="0"/>
          <w:u w:val="single"/>
        </w:rPr>
        <w:lastRenderedPageBreak/>
        <w:t>Convergence des taux d’intérêt</w:t>
      </w:r>
      <w:r>
        <w:rPr>
          <w:kern w:val="0"/>
        </w:rPr>
        <w:t xml:space="preserve"> : le taux d’intérêt ne doit pas dépasser de plus de </w:t>
      </w:r>
      <w:r>
        <w:rPr>
          <w:b/>
          <w:color w:val="2E74B5"/>
          <w:kern w:val="0"/>
          <w:u w:val="single"/>
        </w:rPr>
        <w:t>deux points</w:t>
      </w:r>
      <w:r>
        <w:rPr>
          <w:kern w:val="0"/>
        </w:rPr>
        <w:t xml:space="preserve"> les taux les plus bas des futurs pays de la zone euro. </w:t>
      </w:r>
    </w:p>
    <w:p w14:paraId="106DF113" w14:textId="77777777" w:rsidR="00C56467" w:rsidRDefault="00C56467" w:rsidP="00C56467">
      <w:pPr>
        <w:autoSpaceDE w:val="0"/>
        <w:autoSpaceDN w:val="0"/>
        <w:adjustRightInd w:val="0"/>
        <w:spacing w:after="0" w:line="240" w:lineRule="auto"/>
        <w:rPr>
          <w:kern w:val="0"/>
        </w:rPr>
      </w:pPr>
    </w:p>
    <w:p w14:paraId="64C6187A" w14:textId="77777777" w:rsidR="00C56467" w:rsidRDefault="00C56467" w:rsidP="00C56467">
      <w:pPr>
        <w:autoSpaceDE w:val="0"/>
        <w:autoSpaceDN w:val="0"/>
        <w:adjustRightInd w:val="0"/>
        <w:spacing w:after="0" w:line="240" w:lineRule="auto"/>
        <w:rPr>
          <w:kern w:val="0"/>
        </w:rPr>
      </w:pPr>
      <w:r>
        <w:rPr>
          <w:b/>
          <w:color w:val="2E74B5"/>
          <w:kern w:val="0"/>
          <w:u w:val="single"/>
        </w:rPr>
        <w:t>1er janvier 1999</w:t>
      </w:r>
      <w:r>
        <w:rPr>
          <w:kern w:val="0"/>
        </w:rPr>
        <w:t xml:space="preserve"> : </w:t>
      </w:r>
      <w:r>
        <w:rPr>
          <w:b/>
          <w:color w:val="2E74B5"/>
          <w:kern w:val="0"/>
          <w:u w:val="single"/>
        </w:rPr>
        <w:t>11 pays</w:t>
      </w:r>
      <w:r>
        <w:rPr>
          <w:kern w:val="0"/>
        </w:rPr>
        <w:t xml:space="preserve"> qui adoptent l’euro - la politique monétaire est commune. Aujourd’hui la zone euro contient </w:t>
      </w:r>
      <w:r>
        <w:rPr>
          <w:b/>
          <w:color w:val="2E74B5"/>
          <w:kern w:val="0"/>
          <w:u w:val="single"/>
        </w:rPr>
        <w:t>21 pays</w:t>
      </w:r>
      <w:r>
        <w:rPr>
          <w:kern w:val="0"/>
        </w:rPr>
        <w:t xml:space="preserve">. </w:t>
      </w:r>
    </w:p>
    <w:p w14:paraId="1EA5F177" w14:textId="77777777" w:rsidR="00C56467" w:rsidRDefault="00C56467" w:rsidP="00C56467">
      <w:pPr>
        <w:autoSpaceDE w:val="0"/>
        <w:autoSpaceDN w:val="0"/>
        <w:adjustRightInd w:val="0"/>
        <w:spacing w:after="0" w:line="240" w:lineRule="auto"/>
        <w:rPr>
          <w:kern w:val="0"/>
        </w:rPr>
      </w:pPr>
    </w:p>
    <w:p w14:paraId="5F2D2058" w14:textId="77777777" w:rsidR="00C56467" w:rsidRDefault="00C56467" w:rsidP="00C56467">
      <w:pPr>
        <w:autoSpaceDE w:val="0"/>
        <w:autoSpaceDN w:val="0"/>
        <w:adjustRightInd w:val="0"/>
        <w:spacing w:after="0" w:line="240" w:lineRule="auto"/>
        <w:rPr>
          <w:kern w:val="0"/>
        </w:rPr>
      </w:pPr>
      <w:r>
        <w:rPr>
          <w:kern w:val="0"/>
        </w:rPr>
        <w:t xml:space="preserve">La </w:t>
      </w:r>
      <w:r>
        <w:rPr>
          <w:b/>
          <w:color w:val="2E74B5"/>
          <w:kern w:val="0"/>
          <w:u w:val="single"/>
        </w:rPr>
        <w:t>politique budgétaire</w:t>
      </w:r>
      <w:r>
        <w:rPr>
          <w:kern w:val="0"/>
        </w:rPr>
        <w:t xml:space="preserve"> est tjrs menée par les </w:t>
      </w:r>
      <w:r>
        <w:rPr>
          <w:b/>
          <w:color w:val="2E74B5"/>
          <w:kern w:val="0"/>
          <w:u w:val="single"/>
        </w:rPr>
        <w:t>états</w:t>
      </w:r>
      <w:r>
        <w:rPr>
          <w:kern w:val="0"/>
        </w:rPr>
        <w:t xml:space="preserve"> alors que la </w:t>
      </w:r>
      <w:r>
        <w:rPr>
          <w:b/>
          <w:color w:val="2E74B5"/>
          <w:kern w:val="0"/>
          <w:u w:val="single"/>
        </w:rPr>
        <w:t>politique monétaire</w:t>
      </w:r>
      <w:r>
        <w:rPr>
          <w:kern w:val="0"/>
        </w:rPr>
        <w:t xml:space="preserve"> est gérée par la </w:t>
      </w:r>
      <w:r>
        <w:rPr>
          <w:b/>
          <w:color w:val="2E74B5"/>
          <w:kern w:val="0"/>
          <w:u w:val="single"/>
        </w:rPr>
        <w:t>BCE</w:t>
      </w:r>
      <w:r>
        <w:rPr>
          <w:kern w:val="0"/>
        </w:rPr>
        <w:t xml:space="preserve">. La BCE est à la tête du </w:t>
      </w:r>
      <w:r>
        <w:rPr>
          <w:b/>
          <w:color w:val="2E74B5"/>
          <w:kern w:val="0"/>
          <w:u w:val="single"/>
        </w:rPr>
        <w:t>SEBC</w:t>
      </w:r>
      <w:r>
        <w:rPr>
          <w:kern w:val="0"/>
        </w:rPr>
        <w:t xml:space="preserve">. </w:t>
      </w:r>
    </w:p>
    <w:p w14:paraId="613EC00F" w14:textId="77777777" w:rsidR="00C56467" w:rsidRDefault="00C56467" w:rsidP="00C56467">
      <w:pPr>
        <w:autoSpaceDE w:val="0"/>
        <w:autoSpaceDN w:val="0"/>
        <w:adjustRightInd w:val="0"/>
        <w:spacing w:after="0" w:line="240" w:lineRule="auto"/>
        <w:rPr>
          <w:kern w:val="0"/>
        </w:rPr>
      </w:pPr>
    </w:p>
    <w:p w14:paraId="3F5AF576" w14:textId="77777777" w:rsidR="00C56467" w:rsidRDefault="00C56467" w:rsidP="00C56467">
      <w:pPr>
        <w:pStyle w:val="Titre3"/>
      </w:pPr>
      <w:bookmarkStart w:id="34" w:name="_Toc243123157"/>
      <w:r>
        <w:t>2°) Fonctionnement du SEBC et de la zone euro</w:t>
      </w:r>
      <w:bookmarkEnd w:id="34"/>
    </w:p>
    <w:p w14:paraId="1F878CEE" w14:textId="77777777" w:rsidR="00C56467" w:rsidRDefault="00C56467" w:rsidP="00C56467">
      <w:pPr>
        <w:pStyle w:val="Titre4"/>
      </w:pPr>
      <w:r>
        <w:t>a) Organisation du SEBC</w:t>
      </w:r>
    </w:p>
    <w:p w14:paraId="2E3650DE" w14:textId="77777777" w:rsidR="00C56467" w:rsidRDefault="00C56467" w:rsidP="00C56467">
      <w:pPr>
        <w:autoSpaceDE w:val="0"/>
        <w:autoSpaceDN w:val="0"/>
        <w:adjustRightInd w:val="0"/>
        <w:spacing w:after="0" w:line="240" w:lineRule="auto"/>
        <w:rPr>
          <w:kern w:val="0"/>
        </w:rPr>
      </w:pPr>
      <w:r>
        <w:rPr>
          <w:kern w:val="0"/>
        </w:rPr>
        <w:t xml:space="preserve">Il est implanté à </w:t>
      </w:r>
      <w:r>
        <w:rPr>
          <w:b/>
          <w:color w:val="2E74B5"/>
          <w:kern w:val="0"/>
          <w:u w:val="single"/>
        </w:rPr>
        <w:t>Francfort</w:t>
      </w:r>
      <w:r>
        <w:rPr>
          <w:kern w:val="0"/>
        </w:rPr>
        <w:t xml:space="preserve">. C’est une filiale qu’ont en commun les </w:t>
      </w:r>
      <w:r>
        <w:rPr>
          <w:b/>
          <w:color w:val="2E74B5"/>
          <w:kern w:val="0"/>
          <w:u w:val="single"/>
        </w:rPr>
        <w:t>banques centrales nationales</w:t>
      </w:r>
      <w:r>
        <w:rPr>
          <w:kern w:val="0"/>
        </w:rPr>
        <w:t xml:space="preserve">  des pays européens. Pour savoir combien chaque banque nationale possède quel pourcentage de la BCE et comment répartir les bénéfices : on utilise des </w:t>
      </w:r>
      <w:r>
        <w:rPr>
          <w:b/>
          <w:color w:val="2E74B5"/>
          <w:kern w:val="0"/>
          <w:u w:val="single"/>
        </w:rPr>
        <w:t>clés de répartitions</w:t>
      </w:r>
      <w:r>
        <w:rPr>
          <w:kern w:val="0"/>
        </w:rPr>
        <w:t xml:space="preserve">: </w:t>
      </w:r>
    </w:p>
    <w:p w14:paraId="74C91648" w14:textId="77777777" w:rsidR="00C56467" w:rsidRDefault="00C56467" w:rsidP="00C56467">
      <w:pPr>
        <w:numPr>
          <w:ilvl w:val="0"/>
          <w:numId w:val="20"/>
        </w:numPr>
        <w:autoSpaceDE w:val="0"/>
        <w:autoSpaceDN w:val="0"/>
        <w:adjustRightInd w:val="0"/>
        <w:spacing w:after="0" w:line="240" w:lineRule="auto"/>
        <w:ind w:left="0" w:firstLine="0"/>
        <w:rPr>
          <w:kern w:val="0"/>
        </w:rPr>
      </w:pPr>
      <w:r>
        <w:rPr>
          <w:kern w:val="0"/>
        </w:rPr>
        <w:t xml:space="preserve">la </w:t>
      </w:r>
      <w:r>
        <w:rPr>
          <w:b/>
          <w:color w:val="2E74B5"/>
          <w:kern w:val="0"/>
          <w:u w:val="single"/>
        </w:rPr>
        <w:t>clé de répartition au capital de la BCE</w:t>
      </w:r>
      <w:r>
        <w:rPr>
          <w:kern w:val="0"/>
        </w:rPr>
        <w:t xml:space="preserve"> : calcul des parts de la contribution des banques centrales nationales. On prend la </w:t>
      </w:r>
      <w:r>
        <w:rPr>
          <w:b/>
          <w:color w:val="2E74B5"/>
          <w:kern w:val="0"/>
          <w:u w:val="single"/>
        </w:rPr>
        <w:t>population</w:t>
      </w:r>
      <w:r>
        <w:rPr>
          <w:kern w:val="0"/>
        </w:rPr>
        <w:t xml:space="preserve"> du pays par rapport à la population de l’UE et le </w:t>
      </w:r>
      <w:r>
        <w:rPr>
          <w:b/>
          <w:color w:val="2E74B5"/>
          <w:kern w:val="0"/>
          <w:u w:val="single"/>
        </w:rPr>
        <w:t>PIB</w:t>
      </w:r>
      <w:r>
        <w:rPr>
          <w:kern w:val="0"/>
        </w:rPr>
        <w:t xml:space="preserve"> du pays par rapport au PIB européen. Elle permet de calculer combien chaque BC doit contribuer au budget de la BCE. Par exemple, le pays qui possède 16% doit contribuer à 16% au budget de la BCE. les pays non-membres de l’Euro ne versent que </w:t>
      </w:r>
      <w:r>
        <w:rPr>
          <w:b/>
          <w:color w:val="2E74B5"/>
          <w:kern w:val="0"/>
          <w:u w:val="single"/>
        </w:rPr>
        <w:t>3%</w:t>
      </w:r>
      <w:r>
        <w:rPr>
          <w:kern w:val="0"/>
        </w:rPr>
        <w:t>.</w:t>
      </w:r>
    </w:p>
    <w:p w14:paraId="6168CCDA" w14:textId="77777777" w:rsidR="00C56467" w:rsidRDefault="00C56467" w:rsidP="00C56467">
      <w:pPr>
        <w:numPr>
          <w:ilvl w:val="0"/>
          <w:numId w:val="20"/>
        </w:numPr>
        <w:autoSpaceDE w:val="0"/>
        <w:autoSpaceDN w:val="0"/>
        <w:adjustRightInd w:val="0"/>
        <w:spacing w:after="0" w:line="240" w:lineRule="auto"/>
        <w:ind w:left="0" w:firstLine="0"/>
        <w:rPr>
          <w:kern w:val="0"/>
        </w:rPr>
      </w:pPr>
      <w:r>
        <w:rPr>
          <w:kern w:val="0"/>
        </w:rPr>
        <w:t xml:space="preserve">La </w:t>
      </w:r>
      <w:r>
        <w:rPr>
          <w:b/>
          <w:color w:val="2E74B5"/>
          <w:kern w:val="0"/>
          <w:u w:val="single"/>
        </w:rPr>
        <w:t>clé de répartition de l’Eurosystème</w:t>
      </w:r>
      <w:r>
        <w:rPr>
          <w:kern w:val="0"/>
        </w:rPr>
        <w:t xml:space="preserve"> : même méthode mais au lieu de prendre le total de l’UE, on prend le total de la </w:t>
      </w:r>
      <w:r>
        <w:rPr>
          <w:b/>
          <w:color w:val="2E74B5"/>
          <w:kern w:val="0"/>
          <w:u w:val="single"/>
        </w:rPr>
        <w:t>zone euro</w:t>
      </w:r>
      <w:r>
        <w:rPr>
          <w:kern w:val="0"/>
        </w:rPr>
        <w:t xml:space="preserve">. Cette clé ne s’applique que pour les pays de la zone euro. Elle permet de savoir comment seront </w:t>
      </w:r>
      <w:r>
        <w:rPr>
          <w:b/>
          <w:color w:val="2E74B5"/>
          <w:kern w:val="0"/>
          <w:u w:val="single"/>
        </w:rPr>
        <w:t>redistribués les bénéfices</w:t>
      </w:r>
      <w:r>
        <w:rPr>
          <w:kern w:val="0"/>
        </w:rPr>
        <w:t xml:space="preserve"> de la BCE. </w:t>
      </w:r>
    </w:p>
    <w:p w14:paraId="0C87BB6A" w14:textId="77777777" w:rsidR="00C56467" w:rsidRDefault="00C56467" w:rsidP="00C56467">
      <w:pPr>
        <w:autoSpaceDE w:val="0"/>
        <w:autoSpaceDN w:val="0"/>
        <w:adjustRightInd w:val="0"/>
        <w:spacing w:after="0" w:line="240" w:lineRule="auto"/>
        <w:rPr>
          <w:kern w:val="0"/>
        </w:rPr>
      </w:pPr>
      <w:r>
        <w:rPr>
          <w:kern w:val="0"/>
        </w:rPr>
        <w:t xml:space="preserve">Les deux clés sont mises à jour </w:t>
      </w:r>
      <w:r>
        <w:rPr>
          <w:b/>
          <w:color w:val="2E74B5"/>
          <w:kern w:val="0"/>
          <w:u w:val="single"/>
        </w:rPr>
        <w:t>tous les 5 ans</w:t>
      </w:r>
      <w:r>
        <w:rPr>
          <w:kern w:val="0"/>
        </w:rPr>
        <w:t xml:space="preserve">, ou quand un pays sort ou entre dans la zone euro. </w:t>
      </w:r>
    </w:p>
    <w:p w14:paraId="4E2D7A6B" w14:textId="77777777" w:rsidR="00C56467" w:rsidRDefault="00C56467" w:rsidP="00C56467">
      <w:pPr>
        <w:autoSpaceDE w:val="0"/>
        <w:autoSpaceDN w:val="0"/>
        <w:adjustRightInd w:val="0"/>
        <w:spacing w:after="0" w:line="240" w:lineRule="auto"/>
        <w:rPr>
          <w:kern w:val="0"/>
        </w:rPr>
      </w:pPr>
    </w:p>
    <w:p w14:paraId="41BE3B74" w14:textId="77777777" w:rsidR="00C56467" w:rsidRDefault="00C56467" w:rsidP="00C56467">
      <w:pPr>
        <w:autoSpaceDE w:val="0"/>
        <w:autoSpaceDN w:val="0"/>
        <w:adjustRightInd w:val="0"/>
        <w:spacing w:after="0" w:line="240" w:lineRule="auto"/>
        <w:rPr>
          <w:kern w:val="0"/>
        </w:rPr>
      </w:pPr>
      <w:r>
        <w:rPr>
          <w:kern w:val="0"/>
        </w:rPr>
        <w:t xml:space="preserve">Ce qu’on peut remarquer, c’est que les </w:t>
      </w:r>
      <w:r>
        <w:rPr>
          <w:b/>
          <w:color w:val="2E74B5"/>
          <w:kern w:val="0"/>
          <w:u w:val="single"/>
        </w:rPr>
        <w:t>4 principales puissances</w:t>
      </w:r>
      <w:r>
        <w:rPr>
          <w:kern w:val="0"/>
        </w:rPr>
        <w:t xml:space="preserve"> économiques européennes (Allemagne, France, Italie, Espagne) se partagent </w:t>
      </w:r>
      <w:r>
        <w:rPr>
          <w:b/>
          <w:color w:val="2E74B5"/>
          <w:kern w:val="0"/>
          <w:u w:val="single"/>
        </w:rPr>
        <w:t>75% des bénéfices</w:t>
      </w:r>
      <w:r>
        <w:rPr>
          <w:kern w:val="0"/>
        </w:rPr>
        <w:t xml:space="preserve">. </w:t>
      </w:r>
    </w:p>
    <w:p w14:paraId="39FBB027" w14:textId="77777777" w:rsidR="00F270FB" w:rsidRDefault="00000000">
      <w:pPr>
        <w:keepNext/>
        <w:spacing w:before="120" w:after="40"/>
        <w:jc w:val="center"/>
      </w:pPr>
      <w:r>
        <w:rPr>
          <w:noProof/>
        </w:rPr>
        <w:lastRenderedPageBreak/>
        <w:drawing>
          <wp:inline distT="0" distB="0" distL="0" distR="0" wp14:anchorId="390942CF" wp14:editId="3354D6CB">
            <wp:extent cx="5580000" cy="3208500"/>
            <wp:effectExtent l="0" t="0" r="0" b="0"/>
            <wp:docPr id="7012" name="Illustration 7012" descr="Clés de répartition de la BCE au 1er janvier 2024 (dia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slide_c3_5.png"/>
                    <pic:cNvPicPr/>
                  </pic:nvPicPr>
                  <pic:blipFill>
                    <a:blip r:embed="rId85"/>
                    <a:stretch>
                      <a:fillRect/>
                    </a:stretch>
                  </pic:blipFill>
                  <pic:spPr>
                    <a:xfrm>
                      <a:off x="0" y="0"/>
                      <a:ext cx="5580000" cy="3208500"/>
                    </a:xfrm>
                    <a:prstGeom prst="rect">
                      <a:avLst/>
                    </a:prstGeom>
                    <a:ln w="6350">
                      <a:solidFill>
                        <a:srgbClr val="BFBFBF"/>
                      </a:solidFill>
                    </a:ln>
                  </pic:spPr>
                </pic:pic>
              </a:graphicData>
            </a:graphic>
          </wp:inline>
        </w:drawing>
      </w:r>
    </w:p>
    <w:p w14:paraId="07A187F0" w14:textId="77777777" w:rsidR="00F270FB" w:rsidRDefault="00000000">
      <w:pPr>
        <w:spacing w:after="200"/>
        <w:jc w:val="center"/>
      </w:pPr>
      <w:r>
        <w:rPr>
          <w:i/>
          <w:color w:val="6B6B6B"/>
          <w:sz w:val="19"/>
          <w:szCs w:val="19"/>
        </w:rPr>
        <w:t>Clés de répartition de la BCE au 1er janvier 2024 (diapo 5).</w:t>
      </w:r>
    </w:p>
    <w:p w14:paraId="5AE8A567" w14:textId="77777777" w:rsidR="00C56467" w:rsidRDefault="00C56467" w:rsidP="00C56467">
      <w:pPr>
        <w:autoSpaceDE w:val="0"/>
        <w:autoSpaceDN w:val="0"/>
        <w:adjustRightInd w:val="0"/>
        <w:spacing w:after="0" w:line="240" w:lineRule="auto"/>
        <w:rPr>
          <w:kern w:val="0"/>
        </w:rPr>
      </w:pPr>
    </w:p>
    <w:p w14:paraId="2A1E487F" w14:textId="77777777" w:rsidR="00C56467" w:rsidRDefault="00C56467" w:rsidP="00C56467">
      <w:pPr>
        <w:pStyle w:val="Titre4"/>
      </w:pPr>
      <w:r>
        <w:t>b) Les instances de décision</w:t>
      </w:r>
    </w:p>
    <w:p w14:paraId="66CFEF13" w14:textId="77777777" w:rsidR="00C56467" w:rsidRDefault="00C56467" w:rsidP="00C56467">
      <w:pPr>
        <w:autoSpaceDE w:val="0"/>
        <w:autoSpaceDN w:val="0"/>
        <w:adjustRightInd w:val="0"/>
        <w:spacing w:after="0" w:line="240" w:lineRule="auto"/>
        <w:rPr>
          <w:kern w:val="0"/>
        </w:rPr>
      </w:pPr>
      <w:r>
        <w:rPr>
          <w:kern w:val="0"/>
        </w:rPr>
        <w:t xml:space="preserve">Mandat de 8 ans non renouvelable. Qui prend les décisions à la BCE et quelles sont les instances de chacun </w:t>
      </w:r>
    </w:p>
    <w:p w14:paraId="52139BEB" w14:textId="77777777" w:rsidR="00C56467" w:rsidRDefault="00C56467" w:rsidP="00C56467">
      <w:pPr>
        <w:autoSpaceDE w:val="0"/>
        <w:autoSpaceDN w:val="0"/>
        <w:adjustRightInd w:val="0"/>
        <w:spacing w:after="0" w:line="240" w:lineRule="auto"/>
        <w:rPr>
          <w:kern w:val="0"/>
        </w:rPr>
      </w:pPr>
      <w:r>
        <w:rPr>
          <w:kern w:val="0"/>
        </w:rPr>
        <w:t xml:space="preserve">Il y a 3 instances de décision :  Conseil des gouverneurs, directoire, conseil général. </w:t>
      </w:r>
    </w:p>
    <w:p w14:paraId="5551756A" w14:textId="77777777" w:rsidR="00F270FB" w:rsidRDefault="00000000">
      <w:pPr>
        <w:keepNext/>
        <w:spacing w:before="120" w:after="40"/>
        <w:jc w:val="center"/>
      </w:pPr>
      <w:r>
        <w:rPr>
          <w:noProof/>
        </w:rPr>
        <w:drawing>
          <wp:inline distT="0" distB="0" distL="0" distR="0" wp14:anchorId="58C0EA2F" wp14:editId="7BE4EF01">
            <wp:extent cx="4680000" cy="2388976"/>
            <wp:effectExtent l="0" t="0" r="0" b="0"/>
            <wp:docPr id="7013" name="Illustration 7013" descr="Les instances de décision du SEBC (dia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slide_c3_7.png"/>
                    <pic:cNvPicPr/>
                  </pic:nvPicPr>
                  <pic:blipFill>
                    <a:blip r:embed="rId86"/>
                    <a:stretch>
                      <a:fillRect/>
                    </a:stretch>
                  </pic:blipFill>
                  <pic:spPr>
                    <a:xfrm>
                      <a:off x="0" y="0"/>
                      <a:ext cx="4680000" cy="2388976"/>
                    </a:xfrm>
                    <a:prstGeom prst="rect">
                      <a:avLst/>
                    </a:prstGeom>
                    <a:ln w="6350">
                      <a:solidFill>
                        <a:srgbClr val="BFBFBF"/>
                      </a:solidFill>
                    </a:ln>
                  </pic:spPr>
                </pic:pic>
              </a:graphicData>
            </a:graphic>
          </wp:inline>
        </w:drawing>
      </w:r>
    </w:p>
    <w:p w14:paraId="311244B1" w14:textId="77777777" w:rsidR="00F270FB" w:rsidRDefault="00000000">
      <w:pPr>
        <w:spacing w:after="200"/>
        <w:jc w:val="center"/>
      </w:pPr>
      <w:r>
        <w:rPr>
          <w:i/>
          <w:color w:val="6B6B6B"/>
          <w:sz w:val="19"/>
          <w:szCs w:val="19"/>
        </w:rPr>
        <w:t>Les instances de décision du SEBC (diapo 7).</w:t>
      </w:r>
    </w:p>
    <w:p w14:paraId="24E20455" w14:textId="77777777" w:rsidR="00C56467" w:rsidRDefault="00C56467" w:rsidP="00C56467">
      <w:pPr>
        <w:autoSpaceDE w:val="0"/>
        <w:autoSpaceDN w:val="0"/>
        <w:adjustRightInd w:val="0"/>
        <w:spacing w:after="0" w:line="240" w:lineRule="auto"/>
        <w:rPr>
          <w:kern w:val="0"/>
        </w:rPr>
      </w:pPr>
    </w:p>
    <w:p w14:paraId="0DCCF60B" w14:textId="4EFF1637" w:rsidR="00C56467" w:rsidRDefault="00C56467" w:rsidP="00C56467">
      <w:pPr>
        <w:autoSpaceDE w:val="0"/>
        <w:autoSpaceDN w:val="0"/>
        <w:adjustRightInd w:val="0"/>
        <w:spacing w:after="0" w:line="240" w:lineRule="auto"/>
        <w:rPr>
          <w:kern w:val="0"/>
        </w:rPr>
      </w:pPr>
      <w:r>
        <w:rPr>
          <w:kern w:val="0"/>
        </w:rPr>
        <w:t xml:space="preserve">Le </w:t>
      </w:r>
      <w:r>
        <w:rPr>
          <w:b/>
          <w:bCs/>
          <w:kern w:val="0"/>
          <w:u w:val="single"/>
        </w:rPr>
        <w:t>directoire</w:t>
      </w:r>
      <w:r>
        <w:rPr>
          <w:kern w:val="0"/>
        </w:rPr>
        <w:t xml:space="preserve"> comprend 6 membres : le président de la BCE, le vice-président de la BCE et 4 autres membres. Ils sont nommés par le Conseil européen qui regroupe les 27 chefs d’État</w:t>
      </w:r>
      <w:r>
        <w:rPr>
          <w:rFonts w:ascii="Aptos" w:hAnsi="Aptos"/>
          <w:kern w:val="0"/>
        </w:rPr>
        <w:t xml:space="preserve"> ou de gouvernement de l’UE, le président du Conseil européen et la présidente de la Commission européenne. La nomination se fait sur recommandation du Conseil de l’UE, après consultation du Parlement européen et du Conseil des gouverneurs de la BCE. Mandat : 8 ans, non renouvelable.</w:t>
      </w:r>
    </w:p>
    <w:p w14:paraId="0B07AA37" w14:textId="687E0E78" w:rsidR="00C56467" w:rsidRDefault="00C56467" w:rsidP="00C56467">
      <w:pPr>
        <w:autoSpaceDE w:val="0"/>
        <w:autoSpaceDN w:val="0"/>
        <w:adjustRightInd w:val="0"/>
        <w:spacing w:after="0" w:line="240" w:lineRule="auto"/>
        <w:rPr>
          <w:kern w:val="0"/>
        </w:rPr>
      </w:pPr>
      <w:r>
        <w:rPr>
          <w:kern w:val="0"/>
        </w:rPr>
        <w:lastRenderedPageBreak/>
        <w:t xml:space="preserve">Ils sont choisis </w:t>
      </w:r>
      <w:r>
        <w:rPr>
          <w:rFonts w:ascii="Aptos" w:hAnsi="Aptos"/>
          <w:kern w:val="0"/>
        </w:rPr>
        <w:t>parmi des personnalités dont l’autorité et l’expérience professionnelle dans le domaine monétaire ou bancaire sont reconnues. Ils sont nommés à la majorité qualifiée : au moins 55 % des États doivent voter pour la personne, et ces États doivent représenter au moins 65 % de la population. Seuls les États de la zone euro participent au vote.</w:t>
      </w:r>
    </w:p>
    <w:p w14:paraId="4019A585" w14:textId="77777777" w:rsidR="00C56467" w:rsidRDefault="00C56467" w:rsidP="00C56467">
      <w:pPr>
        <w:autoSpaceDE w:val="0"/>
        <w:autoSpaceDN w:val="0"/>
        <w:adjustRightInd w:val="0"/>
        <w:spacing w:after="0" w:line="240" w:lineRule="auto"/>
        <w:rPr>
          <w:kern w:val="0"/>
        </w:rPr>
      </w:pPr>
      <w:r>
        <w:rPr>
          <w:kern w:val="0"/>
        </w:rPr>
        <w:t xml:space="preserve">Fonctions : </w:t>
      </w:r>
    </w:p>
    <w:p w14:paraId="32EFB93B" w14:textId="77777777" w:rsidR="00C56467" w:rsidRDefault="00C56467" w:rsidP="00C56467">
      <w:pPr>
        <w:numPr>
          <w:ilvl w:val="0"/>
          <w:numId w:val="21"/>
        </w:numPr>
        <w:autoSpaceDE w:val="0"/>
        <w:autoSpaceDN w:val="0"/>
        <w:adjustRightInd w:val="0"/>
        <w:spacing w:after="0" w:line="240" w:lineRule="auto"/>
        <w:ind w:left="0" w:firstLine="0"/>
        <w:rPr>
          <w:kern w:val="0"/>
        </w:rPr>
      </w:pPr>
      <w:r>
        <w:rPr>
          <w:kern w:val="0"/>
        </w:rPr>
        <w:t xml:space="preserve">prépare les réunions du conseil des gouverneurs </w:t>
      </w:r>
    </w:p>
    <w:p w14:paraId="31A1E513" w14:textId="696012CD" w:rsidR="00C56467" w:rsidRDefault="00C56467" w:rsidP="00C56467">
      <w:pPr>
        <w:numPr>
          <w:ilvl w:val="0"/>
          <w:numId w:val="21"/>
        </w:numPr>
        <w:autoSpaceDE w:val="0"/>
        <w:autoSpaceDN w:val="0"/>
        <w:adjustRightInd w:val="0"/>
        <w:spacing w:after="0" w:line="240" w:lineRule="auto"/>
        <w:ind w:left="0" w:firstLine="0"/>
        <w:rPr>
          <w:kern w:val="0"/>
        </w:rPr>
      </w:pPr>
      <w:r>
        <w:rPr>
          <w:kern w:val="0"/>
        </w:rPr>
        <w:t xml:space="preserve">Met en œuvre la politique monétaire décidée par le Conseil des gouverneurs et donne les instructions nécessaires aux banques centrales nationales</w:t>
      </w:r>
    </w:p>
    <w:p w14:paraId="2ADDDF2C" w14:textId="77777777" w:rsidR="00C56467" w:rsidRDefault="00C56467" w:rsidP="00C56467">
      <w:pPr>
        <w:numPr>
          <w:ilvl w:val="0"/>
          <w:numId w:val="21"/>
        </w:numPr>
        <w:autoSpaceDE w:val="0"/>
        <w:autoSpaceDN w:val="0"/>
        <w:adjustRightInd w:val="0"/>
        <w:spacing w:after="0" w:line="240" w:lineRule="auto"/>
        <w:ind w:left="0" w:firstLine="0"/>
        <w:rPr>
          <w:kern w:val="0"/>
        </w:rPr>
      </w:pPr>
      <w:r>
        <w:rPr>
          <w:kern w:val="0"/>
        </w:rPr>
        <w:t xml:space="preserve">Gestion courante de la BCE  </w:t>
      </w:r>
    </w:p>
    <w:p w14:paraId="1CC76996" w14:textId="77777777" w:rsidR="00C56467" w:rsidRDefault="00C56467" w:rsidP="00C56467">
      <w:pPr>
        <w:autoSpaceDE w:val="0"/>
        <w:autoSpaceDN w:val="0"/>
        <w:adjustRightInd w:val="0"/>
        <w:spacing w:after="0" w:line="240" w:lineRule="auto"/>
        <w:rPr>
          <w:kern w:val="0"/>
        </w:rPr>
      </w:pPr>
    </w:p>
    <w:p w14:paraId="292A67BA" w14:textId="77777777" w:rsidR="00C56467" w:rsidRDefault="00C56467" w:rsidP="00C56467">
      <w:pPr>
        <w:autoSpaceDE w:val="0"/>
        <w:autoSpaceDN w:val="0"/>
        <w:adjustRightInd w:val="0"/>
        <w:spacing w:after="0" w:line="240" w:lineRule="auto"/>
        <w:rPr>
          <w:kern w:val="0"/>
        </w:rPr>
      </w:pPr>
      <w:r>
        <w:rPr>
          <w:b/>
          <w:bCs/>
          <w:kern w:val="0"/>
          <w:u w:val="single"/>
        </w:rPr>
        <w:t>Conseil</w:t>
      </w:r>
      <w:r>
        <w:rPr>
          <w:kern w:val="0"/>
        </w:rPr>
        <w:t xml:space="preserve"> </w:t>
      </w:r>
      <w:r>
        <w:rPr>
          <w:b/>
          <w:bCs/>
          <w:kern w:val="0"/>
          <w:u w:val="single"/>
        </w:rPr>
        <w:t>des</w:t>
      </w:r>
      <w:r>
        <w:rPr>
          <w:kern w:val="0"/>
        </w:rPr>
        <w:t xml:space="preserve"> </w:t>
      </w:r>
      <w:r>
        <w:rPr>
          <w:b/>
          <w:bCs/>
          <w:kern w:val="0"/>
          <w:u w:val="single"/>
        </w:rPr>
        <w:t>gouverneurs</w:t>
      </w:r>
      <w:r>
        <w:rPr>
          <w:kern w:val="0"/>
        </w:rPr>
        <w:t xml:space="preserve"> : </w:t>
      </w:r>
    </w:p>
    <w:p w14:paraId="5ADA01F1" w14:textId="41ABC8DF" w:rsidR="00C56467" w:rsidRDefault="00C56467" w:rsidP="00C56467">
      <w:pPr>
        <w:numPr>
          <w:ilvl w:val="0"/>
          <w:numId w:val="22"/>
        </w:numPr>
        <w:autoSpaceDE w:val="0"/>
        <w:autoSpaceDN w:val="0"/>
        <w:adjustRightInd w:val="0"/>
        <w:spacing w:after="0" w:line="240" w:lineRule="auto"/>
        <w:ind w:left="0" w:firstLine="0"/>
        <w:rPr>
          <w:kern w:val="0"/>
        </w:rPr>
      </w:pPr>
      <w:r>
        <w:rPr>
          <w:kern w:val="0"/>
        </w:rPr>
        <w:t xml:space="preserve">Responsable de la formulation de la politique monétaire. Dans toutes les banques centrales, il y a cette instance </w:t>
      </w:r>
      <w:r>
        <w:rPr>
          <w:rFonts w:ascii="Aptos" w:hAnsi="Aptos"/>
          <w:kern w:val="0"/>
        </w:rPr>
        <w:t>: c’est le comité de politique monétaire (ex. : le FOMC pour la Fed, le MPC pour la Banque d’Angleterre). C’est le principal organe de décision de la BCE : il fixe notamment les taux directeurs.</w:t>
      </w:r>
    </w:p>
    <w:p w14:paraId="78895D4E" w14:textId="7423A1B4" w:rsidR="00C56467" w:rsidRDefault="00C56467" w:rsidP="00C56467">
      <w:pPr>
        <w:numPr>
          <w:ilvl w:val="0"/>
          <w:numId w:val="22"/>
        </w:numPr>
        <w:autoSpaceDE w:val="0"/>
        <w:autoSpaceDN w:val="0"/>
        <w:adjustRightInd w:val="0"/>
        <w:spacing w:after="0" w:line="240" w:lineRule="auto"/>
        <w:ind w:left="0" w:firstLine="0"/>
        <w:rPr>
          <w:kern w:val="0"/>
        </w:rPr>
      </w:pPr>
      <w:r>
        <w:rPr>
          <w:kern w:val="0"/>
        </w:rPr>
        <w:t>Membres : Directoire + Gouverneurs des banques centrales nationales des 21 pays de la zone euro</w:t>
      </w:r>
      <w:r>
        <w:rPr>
          <w:rFonts w:ascii="Aptos" w:hAnsi="Aptos"/>
          <w:kern w:val="0"/>
        </w:rPr>
        <w:t>, soit 6 + 21 = 27 membres (la Bulgarie est le 21e pays, entré le 1er janvier 2026).</w:t>
      </w:r>
    </w:p>
    <w:p w14:paraId="48CD629C" w14:textId="77777777" w:rsidR="00C56467" w:rsidRDefault="00C56467" w:rsidP="00C56467">
      <w:pPr>
        <w:numPr>
          <w:ilvl w:val="0"/>
          <w:numId w:val="22"/>
        </w:numPr>
        <w:autoSpaceDE w:val="0"/>
        <w:autoSpaceDN w:val="0"/>
        <w:adjustRightInd w:val="0"/>
        <w:spacing w:after="0" w:line="240" w:lineRule="auto"/>
        <w:ind w:left="0" w:firstLine="0"/>
        <w:rPr>
          <w:kern w:val="0"/>
        </w:rPr>
      </w:pPr>
      <w:r>
        <w:rPr>
          <w:kern w:val="0"/>
        </w:rPr>
        <w:t xml:space="preserve">Les membres du conseil doivent défendre les intérêts de la zone euro et pas de leur pays national. </w:t>
      </w:r>
    </w:p>
    <w:p w14:paraId="0A4CDC75" w14:textId="79454EF9" w:rsidR="00C56467" w:rsidRDefault="00C56467" w:rsidP="00C56467">
      <w:pPr>
        <w:numPr>
          <w:ilvl w:val="0"/>
          <w:numId w:val="22"/>
        </w:numPr>
        <w:autoSpaceDE w:val="0"/>
        <w:autoSpaceDN w:val="0"/>
        <w:adjustRightInd w:val="0"/>
        <w:spacing w:after="0" w:line="240" w:lineRule="auto"/>
        <w:ind w:left="0" w:firstLine="0"/>
        <w:rPr>
          <w:kern w:val="0"/>
        </w:rPr>
      </w:pPr>
      <w:r>
        <w:rPr>
          <w:kern w:val="0"/>
        </w:rPr>
        <w:t xml:space="preserve">Décision à la majorité </w:t>
      </w:r>
      <w:r>
        <w:rPr>
          <w:rFonts w:ascii="Aptos" w:hAnsi="Aptos"/>
          <w:kern w:val="0"/>
        </w:rPr>
        <w:t>simple des membres ayant le droit de vote (1 membre = 1 voix) : en cas d’égalité, la voix du président est prépondérante</w:t>
      </w:r>
    </w:p>
    <w:p w14:paraId="3FD771EC" w14:textId="77777777" w:rsidR="006657A8" w:rsidRPr="006657A8" w:rsidRDefault="00C56467" w:rsidP="00C56467">
      <w:pPr>
        <w:numPr>
          <w:ilvl w:val="0"/>
          <w:numId w:val="22"/>
        </w:numPr>
        <w:autoSpaceDE w:val="0"/>
        <w:autoSpaceDN w:val="0"/>
        <w:adjustRightInd w:val="0"/>
        <w:spacing w:after="0" w:line="240" w:lineRule="auto"/>
        <w:ind w:left="0" w:firstLine="0"/>
        <w:rPr>
          <w:rFonts w:ascii="Aptos" w:hAnsi="Aptos"/>
          <w:kern w:val="0"/>
        </w:rPr>
      </w:pPr>
      <w:r>
        <w:rPr>
          <w:kern w:val="0"/>
        </w:rPr>
        <w:t>Système de rotation des droits de vote : tous les gouverneurs ne votent pas</w:t>
      </w:r>
      <w:r>
        <w:rPr>
          <w:rFonts w:ascii="Aptos" w:hAnsi="Aptos"/>
          <w:kern w:val="0"/>
        </w:rPr>
        <w:t xml:space="preserve"> en même temps (système en place depuis 2015, quand la zone euro a dépassé 18 pays). Les 6 membres du directoire votent toujours. Les gouverneurs sont répartis en 2 groupes, avec une rotation chaque mois :</w:t>
      </w:r>
    </w:p>
    <w:p w14:paraId="41F61D4F" w14:textId="77777777" w:rsidR="006657A8" w:rsidRPr="006657A8" w:rsidRDefault="006657A8" w:rsidP="006657A8">
      <w:pPr>
        <w:numPr>
          <w:ilvl w:val="1"/>
          <w:numId w:val="22"/>
        </w:numPr>
        <w:autoSpaceDE w:val="0"/>
        <w:autoSpaceDN w:val="0"/>
        <w:adjustRightInd w:val="0"/>
        <w:spacing w:after="0" w:line="240" w:lineRule="auto"/>
        <w:rPr>
          <w:rFonts w:ascii="Aptos" w:hAnsi="Aptos"/>
          <w:kern w:val="0"/>
        </w:rPr>
      </w:pPr>
      <w:r>
        <w:rPr>
          <w:rFonts w:ascii="Aptos" w:hAnsi="Aptos"/>
          <w:kern w:val="0"/>
        </w:rPr>
        <w:t>1er groupe : les 5 plus grandes économies (Allemagne, France, Italie, Espagne, Pays-Bas) se partagent 4 voix, donc chaque mois un des 5 ne vote pas ;</w:t>
      </w:r>
    </w:p>
    <w:p w14:paraId="403AD9A6" w14:textId="77777777" w:rsidR="006657A8" w:rsidRPr="006657A8" w:rsidRDefault="006657A8" w:rsidP="006657A8">
      <w:pPr>
        <w:numPr>
          <w:ilvl w:val="1"/>
          <w:numId w:val="22"/>
        </w:numPr>
        <w:autoSpaceDE w:val="0"/>
        <w:autoSpaceDN w:val="0"/>
        <w:adjustRightInd w:val="0"/>
        <w:spacing w:after="0" w:line="240" w:lineRule="auto"/>
        <w:rPr>
          <w:rFonts w:ascii="Aptos" w:hAnsi="Aptos"/>
          <w:kern w:val="0"/>
        </w:rPr>
      </w:pPr>
      <w:r>
        <w:rPr>
          <w:rFonts w:ascii="Aptos" w:hAnsi="Aptos"/>
          <w:kern w:val="0"/>
        </w:rPr>
        <w:t>2e groupe : les 16 autres gouverneurs se partagent 11 voix ;</w:t>
      </w:r>
    </w:p>
    <w:p w14:paraId="41B2298E" w14:textId="4359756F" w:rsidR="00C56467" w:rsidRDefault="006657A8" w:rsidP="006657A8">
      <w:pPr>
        <w:numPr>
          <w:ilvl w:val="1"/>
          <w:numId w:val="22"/>
        </w:numPr>
        <w:autoSpaceDE w:val="0"/>
        <w:autoSpaceDN w:val="0"/>
        <w:adjustRightInd w:val="0"/>
        <w:spacing w:after="0" w:line="240" w:lineRule="auto"/>
        <w:rPr>
          <w:kern w:val="0"/>
        </w:rPr>
      </w:pPr>
      <w:r>
        <w:rPr>
          <w:rFonts w:ascii="Aptos" w:hAnsi="Aptos"/>
          <w:kern w:val="0"/>
        </w:rPr>
        <w:t>Total : 6 + 4 + 11 = 21 droits de vote à chaque réunion.</w:t>
      </w:r>
    </w:p>
    <w:p w14:paraId="6AF0F723" w14:textId="175C0C5B" w:rsidR="00C56467" w:rsidRDefault="006657A8" w:rsidP="00C56467">
      <w:pPr>
        <w:numPr>
          <w:ilvl w:val="0"/>
          <w:numId w:val="22"/>
        </w:numPr>
        <w:autoSpaceDE w:val="0"/>
        <w:autoSpaceDN w:val="0"/>
        <w:adjustRightInd w:val="0"/>
        <w:spacing w:after="0" w:line="240" w:lineRule="auto"/>
        <w:ind w:left="0" w:firstLine="0"/>
        <w:rPr>
          <w:kern w:val="0"/>
        </w:rPr>
      </w:pPr>
      <w:r>
        <w:rPr>
          <w:rFonts w:ascii="Aptos" w:hAnsi="Aptos"/>
          <w:kern w:val="0"/>
        </w:rPr>
        <w:t>Réunions : en général deux par mois. Les décisions de politique monétaire sont prises toutes les 6 semaines (suivies d’une conférence de presse) ; les autres réunions portent sur les autres missions de la BCE.</w:t>
      </w:r>
    </w:p>
    <w:p w14:paraId="3945EFA7" w14:textId="77777777" w:rsidR="00C56467" w:rsidRDefault="00C56467" w:rsidP="00C56467">
      <w:pPr>
        <w:autoSpaceDE w:val="0"/>
        <w:autoSpaceDN w:val="0"/>
        <w:adjustRightInd w:val="0"/>
        <w:spacing w:after="0" w:line="240" w:lineRule="auto"/>
        <w:rPr>
          <w:kern w:val="0"/>
        </w:rPr>
      </w:pPr>
    </w:p>
    <w:p w14:paraId="4B07AFC3" w14:textId="77777777" w:rsidR="00C56467" w:rsidRDefault="00C56467" w:rsidP="00C56467">
      <w:pPr>
        <w:autoSpaceDE w:val="0"/>
        <w:autoSpaceDN w:val="0"/>
        <w:adjustRightInd w:val="0"/>
        <w:spacing w:after="0" w:line="240" w:lineRule="auto"/>
        <w:rPr>
          <w:kern w:val="0"/>
        </w:rPr>
      </w:pPr>
    </w:p>
    <w:p w14:paraId="00EE9A5E" w14:textId="71792B23" w:rsidR="00C56467" w:rsidRDefault="00C56467" w:rsidP="00C56467">
      <w:pPr>
        <w:autoSpaceDE w:val="0"/>
        <w:autoSpaceDN w:val="0"/>
        <w:adjustRightInd w:val="0"/>
        <w:spacing w:after="0" w:line="240" w:lineRule="auto"/>
        <w:rPr>
          <w:kern w:val="0"/>
        </w:rPr>
      </w:pPr>
      <w:r>
        <w:rPr>
          <w:b/>
          <w:bCs/>
          <w:kern w:val="0"/>
          <w:u w:val="single"/>
        </w:rPr>
        <w:t>Conseil</w:t>
      </w:r>
      <w:r>
        <w:rPr>
          <w:kern w:val="0"/>
        </w:rPr>
        <w:t xml:space="preserve"> </w:t>
      </w:r>
      <w:r>
        <w:rPr>
          <w:b/>
          <w:bCs/>
          <w:kern w:val="0"/>
          <w:u w:val="single"/>
        </w:rPr>
        <w:t>général</w:t>
      </w:r>
      <w:r>
        <w:rPr>
          <w:kern w:val="0"/>
        </w:rPr>
        <w:t xml:space="preserve"> : </w:t>
      </w:r>
    </w:p>
    <w:p w14:paraId="5CA4C969" w14:textId="2D8ABD40" w:rsidR="00C56467" w:rsidRDefault="00C56467" w:rsidP="00C56467">
      <w:pPr>
        <w:numPr>
          <w:ilvl w:val="0"/>
          <w:numId w:val="23"/>
        </w:numPr>
        <w:autoSpaceDE w:val="0"/>
        <w:autoSpaceDN w:val="0"/>
        <w:adjustRightInd w:val="0"/>
        <w:spacing w:after="0" w:line="240" w:lineRule="auto"/>
        <w:ind w:left="0" w:firstLine="0"/>
        <w:rPr>
          <w:kern w:val="0"/>
        </w:rPr>
      </w:pPr>
      <w:r>
        <w:rPr>
          <w:kern w:val="0"/>
        </w:rPr>
        <w:t>Membres : président, vice-président et gouverneurs des banques centrales nationales de toute l’Union européenne</w:t>
      </w:r>
      <w:r>
        <w:rPr>
          <w:rFonts w:ascii="Aptos" w:hAnsi="Aptos"/>
          <w:kern w:val="0"/>
        </w:rPr>
        <w:t xml:space="preserve"> (27 pays). Les 4 autres membres du directoire peuvent y assister, sans droit de vote.</w:t>
      </w:r>
    </w:p>
    <w:p w14:paraId="38CFA301" w14:textId="348E3407" w:rsidR="00C56467" w:rsidRDefault="00C56467" w:rsidP="00C56467">
      <w:pPr>
        <w:numPr>
          <w:ilvl w:val="0"/>
          <w:numId w:val="23"/>
        </w:numPr>
      </w:pPr>
      <w:r>
        <w:t>Fonctions : préparer l</w:t>
      </w:r>
      <w:r>
        <w:rPr>
          <w:rFonts w:ascii="Aptos" w:hAnsi="Aptos"/>
        </w:rPr>
        <w:t>’entrée des pays candidats dans la zone euro (rapports de convergence) et coordonner les politiques monétaires entre pays membres et non membres de l’euro. C’est un organe transitoire : il existera tant que tous les pays de l’UE n’auront pas adopté</w:t>
      </w:r>
      <w:r>
        <w:t xml:space="preserve"> l’euro.</w:t>
      </w:r>
    </w:p>
    <w:p w14:paraId="10AD24D9" w14:textId="77777777" w:rsidR="00F270FB" w:rsidRDefault="00000000">
      <w:pPr>
        <w:pStyle w:val="Titre3"/>
      </w:pPr>
      <w:bookmarkStart w:id="35" w:name="_Toc243123158"/>
      <w:r>
        <w:lastRenderedPageBreak/>
        <w:t>3°) La question de l'indépendance des banques centrales</w:t>
      </w:r>
      <w:bookmarkEnd w:id="35"/>
    </w:p>
    <w:p w14:paraId="5D6B573F" w14:textId="77777777" w:rsidR="00F270FB" w:rsidRDefault="00000000">
      <w:r>
        <w:rPr>
          <w:i/>
          <w:color w:val="6B6B6B"/>
        </w:rPr>
        <w:t>Cette sous-partie n'est pas au programme du semi : elle sera au programme du final.</w:t>
      </w:r>
    </w:p>
    <w:p w14:paraId="79FEF17C" w14:textId="77777777" w:rsidR="00F270FB" w:rsidRDefault="00000000">
      <w:pPr>
        <w:pStyle w:val="Titre4"/>
      </w:pPr>
      <w:r>
        <w:t>a) Les critères « officiels » de l'indépendance des banques centrales</w:t>
      </w:r>
    </w:p>
    <w:p w14:paraId="44832DF0" w14:textId="77777777" w:rsidR="00F270FB" w:rsidRDefault="00000000">
      <w:r>
        <w:rPr>
          <w:b/>
        </w:rPr>
        <w:t>Jusque dans les années 1980</w:t>
      </w:r>
      <w:r>
        <w:t xml:space="preserve">, la majorité des banques centrales ne sont </w:t>
      </w:r>
      <w:r>
        <w:rPr>
          <w:b/>
        </w:rPr>
        <w:t>pas indépendantes</w:t>
      </w:r>
      <w:r>
        <w:t xml:space="preserve"> des gouvernements (sauf quelques exceptions, notamment la Banque centrale allemande). C'est le gouvernement, c'est-à-dire le ministère de l'Économie, qui est en charge de la politique monétaire : le président de la banque centrale obéit au ministre de l'Économie.</w:t>
      </w:r>
    </w:p>
    <w:p w14:paraId="77862ED2" w14:textId="77777777" w:rsidR="00F270FB" w:rsidRDefault="00000000">
      <w:r>
        <w:t xml:space="preserve">Mais dans les années 1970, il y a la </w:t>
      </w:r>
      <w:r>
        <w:rPr>
          <w:b/>
        </w:rPr>
        <w:t>stagflation</w:t>
      </w:r>
      <w:r>
        <w:t xml:space="preserve"> (vue au chapitre 1) : une situation où l'on a à la fois du </w:t>
      </w:r>
      <w:r>
        <w:rPr>
          <w:b/>
        </w:rPr>
        <w:t>chômage et de l'inflation</w:t>
      </w:r>
      <w:r>
        <w:t>. Elle entraîne une remise en cause des théories keynésiennes, pour la politique budgétaire mais aussi pour la politique monétaire. La politique monétaire menée jusque-là cherchait à soutenir la croissance et l'emploi ; désormais, la priorité devient de stopper l'inflation.</w:t>
      </w:r>
    </w:p>
    <w:p w14:paraId="71BF17EF" w14:textId="77777777" w:rsidR="00F270FB" w:rsidRDefault="00000000">
      <w:r>
        <w:t xml:space="preserve">À partir des années 1980, les banques centrales changent, sous l'influence de la </w:t>
      </w:r>
      <w:r>
        <w:rPr>
          <w:b/>
        </w:rPr>
        <w:t>nouvelle économie classique</w:t>
      </w:r>
      <w:r>
        <w:t>, qui défend deux idées :</w:t>
      </w:r>
    </w:p>
    <w:p w14:paraId="4B06305F" w14:textId="77777777" w:rsidR="00F270FB" w:rsidRDefault="00000000">
      <w:pPr>
        <w:numPr>
          <w:ilvl w:val="0"/>
          <w:numId w:val="24"/>
        </w:numPr>
      </w:pPr>
      <w:r>
        <w:rPr>
          <w:b/>
        </w:rPr>
        <w:t>Les banques centrales doivent être indépendantes du pouvoir politique</w:t>
      </w:r>
      <w:r>
        <w:t xml:space="preserve"> : les banquiers centraux doivent pouvoir prendre leurs décisions librement, sans devoir faire ce que leur disent les gouvernements. C'est la même logique que pour la politique budgétaire : il ne faut pas laisser trop de liberté aux hommes politiques.</w:t>
      </w:r>
    </w:p>
    <w:p w14:paraId="477A92CA" w14:textId="77777777" w:rsidR="00F270FB" w:rsidRDefault="00000000">
      <w:pPr>
        <w:numPr>
          <w:ilvl w:val="0"/>
          <w:numId w:val="24"/>
        </w:numPr>
      </w:pPr>
      <w:r>
        <w:rPr>
          <w:b/>
        </w:rPr>
        <w:t>La banque centrale doit avoir un objectif de stabilité des prix.</w:t>
      </w:r>
    </w:p>
    <w:p w14:paraId="445E26E6" w14:textId="77777777" w:rsidR="00F270FB" w:rsidRDefault="00000000">
      <w:r>
        <w:t xml:space="preserve">Plusieurs économistes montrent qu'il existe un </w:t>
      </w:r>
      <w:r>
        <w:rPr>
          <w:b/>
        </w:rPr>
        <w:t>lien entre indépendance de la banque centrale et faible inflation</w:t>
      </w:r>
      <w:r>
        <w:t>. Quatre études importantes :</w:t>
      </w:r>
    </w:p>
    <w:p w14:paraId="6B072563" w14:textId="77777777" w:rsidR="00F270FB" w:rsidRDefault="00000000">
      <w:pPr>
        <w:numPr>
          <w:ilvl w:val="0"/>
          <w:numId w:val="24"/>
        </w:numPr>
      </w:pPr>
      <w:r>
        <w:rPr>
          <w:b/>
          <w:u w:val="single"/>
        </w:rPr>
        <w:t>Rogoff (1985)</w:t>
      </w:r>
      <w:r>
        <w:t xml:space="preserve"> : quand une banque centrale accorde un </w:t>
      </w:r>
      <w:r>
        <w:rPr>
          <w:b/>
        </w:rPr>
        <w:t>poids important à l'inflation</w:t>
      </w:r>
      <w:r>
        <w:t xml:space="preserve"> (elle privilégie la lutte contre l'inflation plutôt que, par exemple, la lutte contre le chômage), elle devient </w:t>
      </w:r>
      <w:r>
        <w:rPr>
          <w:b/>
        </w:rPr>
        <w:t>plus crédible</w:t>
      </w:r>
      <w:r>
        <w:t xml:space="preserve"> aux yeux des agents économiques, c'est-à-dire qu'ils lui accordent une plus grande confiance. Grâce à cette confiance, la banque centrale a </w:t>
      </w:r>
      <w:r>
        <w:rPr>
          <w:b/>
        </w:rPr>
        <w:t>plus de facilité à réduire l'inflation</w:t>
      </w:r>
      <w:r>
        <w:t>.</w:t>
      </w:r>
    </w:p>
    <w:p w14:paraId="0C322D05" w14:textId="77777777" w:rsidR="00F270FB" w:rsidRDefault="00000000">
      <w:pPr>
        <w:numPr>
          <w:ilvl w:val="1"/>
          <w:numId w:val="24"/>
        </w:numPr>
      </w:pPr>
      <w:r>
        <w:t>C'est le même Rogoff que dans l'étude Reinhart et Rogoff (chapitre 2), celle sur la dette et la croissance qui contenait des erreurs et qui justifiait l'austérité.</w:t>
      </w:r>
    </w:p>
    <w:p w14:paraId="7BF5DB6D" w14:textId="77777777" w:rsidR="00F270FB" w:rsidRDefault="00000000">
      <w:pPr>
        <w:numPr>
          <w:ilvl w:val="0"/>
          <w:numId w:val="24"/>
        </w:numPr>
      </w:pPr>
      <w:r>
        <w:rPr>
          <w:b/>
          <w:u w:val="single"/>
        </w:rPr>
        <w:t xml:space="preserve">Alesina et Summers (1993)</w:t>
      </w:r>
      <w:r>
        <w:t xml:space="preserve"> (Alberto Alesina et Lawrence Summers) : il existe une </w:t>
      </w:r>
      <w:r>
        <w:rPr>
          <w:b/>
        </w:rPr>
        <w:t>corrélation négative</w:t>
      </w:r>
      <w:r>
        <w:t xml:space="preserve"> entre le degré d'indépendance et le taux d'inflation.</w:t>
      </w:r>
    </w:p>
    <w:p w14:paraId="21EFD0CC" w14:textId="77777777" w:rsidR="00F270FB" w:rsidRDefault="00000000">
      <w:pPr>
        <w:numPr>
          <w:ilvl w:val="1"/>
          <w:numId w:val="24"/>
        </w:numPr>
      </w:pPr>
      <w:r>
        <w:rPr>
          <w:b/>
        </w:rPr>
        <w:t>Corrélation négative</w:t>
      </w:r>
      <w:r>
        <w:t xml:space="preserve"> : plus l'un des deux est élevé, plus l'autre est faible.</w:t>
      </w:r>
    </w:p>
    <w:p w14:paraId="0829E0AE" w14:textId="77777777" w:rsidR="00F270FB" w:rsidRDefault="00000000">
      <w:pPr>
        <w:numPr>
          <w:ilvl w:val="1"/>
          <w:numId w:val="24"/>
        </w:numPr>
      </w:pPr>
      <w:r>
        <w:lastRenderedPageBreak/>
        <w:t xml:space="preserve">Les banques centrales </w:t>
      </w:r>
      <w:r>
        <w:rPr>
          <w:b/>
        </w:rPr>
        <w:t>très indépendantes</w:t>
      </w:r>
      <w:r>
        <w:t xml:space="preserve"> (Suisse, Allemagne) sont dans des pays où l'inflation est plutôt </w:t>
      </w:r>
      <w:r>
        <w:rPr>
          <w:b/>
        </w:rPr>
        <w:t>faible</w:t>
      </w:r>
      <w:r>
        <w:t xml:space="preserve">. Les banques centrales </w:t>
      </w:r>
      <w:r>
        <w:rPr>
          <w:b/>
        </w:rPr>
        <w:t>peu indépendantes</w:t>
      </w:r>
      <w:r>
        <w:t xml:space="preserve"> (Nouvelle-Zélande, Espagne) sont dans des pays où l'inflation est plus </w:t>
      </w:r>
      <w:r>
        <w:rPr>
          <w:b/>
        </w:rPr>
        <w:t>forte</w:t>
      </w:r>
      <w:r>
        <w:t>.</w:t>
      </w:r>
    </w:p>
    <w:p w14:paraId="499D1A06" w14:textId="77777777" w:rsidR="00F270FB" w:rsidRDefault="00000000">
      <w:pPr>
        <w:keepNext/>
        <w:spacing w:before="120" w:after="40"/>
        <w:jc w:val="center"/>
      </w:pPr>
      <w:r>
        <w:rPr>
          <w:noProof/>
        </w:rPr>
        <w:drawing>
          <wp:inline distT="0" distB="0" distL="0" distR="0" wp14:anchorId="18B1E2B7" wp14:editId="7B5348CA">
            <wp:extent cx="3060000" cy="2089542"/>
            <wp:effectExtent l="0" t="0" r="0" b="0"/>
            <wp:docPr id="7001" name="Illustration 7001" descr="Indépendance de la banque centrale (axe horizontal) et inflation moyenne (axe vertical) : plus on va vers la droite, plus l'inflation est basse. Source : Alesina et Summers (1993), diap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slide_c3_11.png"/>
                    <pic:cNvPicPr/>
                  </pic:nvPicPr>
                  <pic:blipFill>
                    <a:blip r:embed="rId87"/>
                    <a:stretch>
                      <a:fillRect/>
                    </a:stretch>
                  </pic:blipFill>
                  <pic:spPr>
                    <a:xfrm>
                      <a:off x="0" y="0"/>
                      <a:ext cx="3060000" cy="2089542"/>
                    </a:xfrm>
                    <a:prstGeom prst="rect">
                      <a:avLst/>
                    </a:prstGeom>
                    <a:ln w="6350">
                      <a:solidFill>
                        <a:srgbClr val="BFBFBF"/>
                      </a:solidFill>
                    </a:ln>
                  </pic:spPr>
                </pic:pic>
              </a:graphicData>
            </a:graphic>
          </wp:inline>
        </w:drawing>
      </w:r>
    </w:p>
    <w:p w14:paraId="2AFC3578" w14:textId="77777777" w:rsidR="00F270FB" w:rsidRDefault="00000000">
      <w:pPr>
        <w:spacing w:after="200"/>
        <w:jc w:val="center"/>
      </w:pPr>
      <w:r>
        <w:rPr>
          <w:i/>
          <w:color w:val="6B6B6B"/>
          <w:sz w:val="19"/>
          <w:szCs w:val="19"/>
        </w:rPr>
        <w:t xml:space="preserve">Indépendance de la banque centrale (axe horizontal) et inflation moyenne (axe vertical) : plus on va vers la droite, plus l'inflation est basse. Source : Alesina et Summers (1993), diapo 11.</w:t>
      </w:r>
    </w:p>
    <w:p w14:paraId="289BF58A" w14:textId="77777777" w:rsidR="00F270FB" w:rsidRDefault="00000000">
      <w:pPr>
        <w:numPr>
          <w:ilvl w:val="0"/>
          <w:numId w:val="24"/>
        </w:numPr>
      </w:pPr>
      <w:r>
        <w:rPr>
          <w:b/>
          <w:u w:val="single"/>
        </w:rPr>
        <w:t>Bénassy-Quéré, Boone et Coudert (2015)</w:t>
      </w:r>
      <w:r>
        <w:t xml:space="preserve"> (Agnès Bénassy-Quéré, Laurence Boone, Virginie Coudert, économistes françaises) : le </w:t>
      </w:r>
      <w:r>
        <w:rPr>
          <w:b/>
        </w:rPr>
        <w:t>simple fait d'annoncer</w:t>
      </w:r>
      <w:r>
        <w:t xml:space="preserve"> qu'une banque centrale va devenir plus indépendante </w:t>
      </w:r>
      <w:r>
        <w:rPr>
          <w:b/>
        </w:rPr>
        <w:t>réduit les anticipations d'inflation</w:t>
      </w:r>
      <w:r>
        <w:t xml:space="preserve"> des agents économiques.</w:t>
      </w:r>
    </w:p>
    <w:p w14:paraId="02278AC6" w14:textId="77777777" w:rsidR="00F270FB" w:rsidRDefault="00000000">
      <w:pPr>
        <w:numPr>
          <w:ilvl w:val="0"/>
          <w:numId w:val="24"/>
        </w:numPr>
      </w:pPr>
      <w:r>
        <w:rPr>
          <w:b/>
          <w:u w:val="single"/>
        </w:rPr>
        <w:t>Sargent et Wallace (1981)</w:t>
      </w:r>
      <w:r>
        <w:t xml:space="preserve"> : une banque centrale plus indépendante est associée à des gouvernements qui ont une </w:t>
      </w:r>
      <w:r>
        <w:rPr>
          <w:b/>
        </w:rPr>
        <w:t>dette publique plus faible</w:t>
      </w:r>
      <w:r>
        <w:t xml:space="preserve"> en moyenne.</w:t>
      </w:r>
    </w:p>
    <w:p w14:paraId="42038706" w14:textId="77777777" w:rsidR="00F270FB" w:rsidRDefault="00000000">
      <w:r>
        <w:rPr>
          <w:i/>
          <w:color w:val="6B6B6B"/>
        </w:rPr>
        <w:t>NB : le prof a parlé de « deux prix Nobel », mais seul Thomas Sargent a reçu le prix Nobel d'économie (2011), pas Neil Wallace.</w:t>
      </w:r>
    </w:p>
    <w:p w14:paraId="1C5FDAC2" w14:textId="77777777" w:rsidR="00F270FB" w:rsidRDefault="00000000">
      <w:r>
        <w:t xml:space="preserve">Conclusion : pour la nouvelle économie classique, les banques centrales doivent être </w:t>
      </w:r>
      <w:r>
        <w:rPr>
          <w:b/>
        </w:rPr>
        <w:t>indépendantes</w:t>
      </w:r>
      <w:r>
        <w:t xml:space="preserve"> et </w:t>
      </w:r>
      <w:r>
        <w:rPr>
          <w:b/>
        </w:rPr>
        <w:t>privilégier la lutte contre l'inflation</w:t>
      </w:r>
      <w:r>
        <w:t>.</w:t>
      </w:r>
    </w:p>
    <w:p w14:paraId="24580C56" w14:textId="77777777" w:rsidR="00F270FB" w:rsidRDefault="00000000">
      <w:r>
        <w:rPr>
          <w:b/>
          <w:u w:val="single"/>
        </w:rPr>
        <w:t>L'ordolibéralisme allemand</w:t>
      </w:r>
    </w:p>
    <w:p w14:paraId="60DDFA22" w14:textId="77777777" w:rsidR="00F270FB" w:rsidRDefault="00000000">
      <w:r>
        <w:t xml:space="preserve">C'est un autre courant de pensée, qui a beaucoup influencé la BCE (mais beaucoup moins le reste du monde). Il s'est développé </w:t>
      </w:r>
      <w:r>
        <w:rPr>
          <w:b/>
        </w:rPr>
        <w:t>en Allemagne après la Seconde Guerre mondiale</w:t>
      </w:r>
      <w:r>
        <w:t xml:space="preserve">. Attention : ce n'est </w:t>
      </w:r>
      <w:r>
        <w:rPr>
          <w:b/>
        </w:rPr>
        <w:t>ni un courant néoclassique, ni un courant keynésien</w:t>
      </w:r>
      <w:r>
        <w:t>, c'est un courant à part.</w:t>
      </w:r>
    </w:p>
    <w:p w14:paraId="3ED1E1B6" w14:textId="77777777" w:rsidR="00F270FB" w:rsidRDefault="00000000">
      <w:pPr>
        <w:numPr>
          <w:ilvl w:val="0"/>
          <w:numId w:val="24"/>
        </w:numPr>
      </w:pPr>
      <w:r>
        <w:t xml:space="preserve">Pour les ordolibéraux, le plus important en économie est la </w:t>
      </w:r>
      <w:r>
        <w:rPr>
          <w:b/>
        </w:rPr>
        <w:t>stabilité monétaire</w:t>
      </w:r>
      <w:r>
        <w:t>.</w:t>
      </w:r>
    </w:p>
    <w:p w14:paraId="14CCEA85" w14:textId="77777777" w:rsidR="00F270FB" w:rsidRDefault="00000000">
      <w:pPr>
        <w:numPr>
          <w:ilvl w:val="0"/>
          <w:numId w:val="24"/>
        </w:numPr>
      </w:pPr>
      <w:r>
        <w:t xml:space="preserve">Pour l'obtenir, la banque centrale ne doit pas être dominée par l'État : elle doit être </w:t>
      </w:r>
      <w:r>
        <w:rPr>
          <w:b/>
        </w:rPr>
        <w:t>indépendante de l'État</w:t>
      </w:r>
      <w:r>
        <w:t>.</w:t>
      </w:r>
    </w:p>
    <w:p w14:paraId="144DBD45" w14:textId="77777777" w:rsidR="00F270FB" w:rsidRDefault="00000000">
      <w:r>
        <w:t xml:space="preserve">Ce courant a d'abord influencé l'Allemagne : la banque centrale allemande, la </w:t>
      </w:r>
      <w:r>
        <w:rPr>
          <w:b/>
        </w:rPr>
        <w:t>Bundesbank</w:t>
      </w:r>
      <w:r>
        <w:t xml:space="preserve">, devient indépendante du pouvoir politique </w:t>
      </w:r>
      <w:r>
        <w:rPr>
          <w:b/>
        </w:rPr>
        <w:t>dès 1957</w:t>
      </w:r>
      <w:r>
        <w:t xml:space="preserve">, bien avant les </w:t>
        <w:lastRenderedPageBreak/>
        <w:t>autres (qui le deviennent plutôt dans les années 1980). Le modèle de la Bundesbank a ensuite beaucoup influencé la création de la BCE.</w:t>
      </w:r>
    </w:p>
    <w:p w14:paraId="0562C873" w14:textId="77777777" w:rsidR="00F270FB" w:rsidRDefault="00000000">
      <w:r>
        <w:t xml:space="preserve">La </w:t>
      </w:r>
      <w:r>
        <w:rPr>
          <w:b/>
        </w:rPr>
        <w:t>BCE</w:t>
      </w:r>
      <w:r>
        <w:t xml:space="preserve">, créée en 1998, s'inspire donc de l'ordolibéralisme et est, dès sa création, une banque centrale </w:t>
      </w:r>
      <w:r>
        <w:rPr>
          <w:b/>
        </w:rPr>
        <w:t>assez indépendante</w:t>
      </w:r>
      <w:r>
        <w:t xml:space="preserve"> :</w:t>
      </w:r>
    </w:p>
    <w:p w14:paraId="39B0A916" w14:textId="77777777" w:rsidR="00F270FB" w:rsidRDefault="00000000">
      <w:pPr>
        <w:numPr>
          <w:ilvl w:val="0"/>
          <w:numId w:val="24"/>
        </w:numPr>
      </w:pPr>
      <w:r>
        <w:t xml:space="preserve">Elle </w:t>
      </w:r>
      <w:r>
        <w:rPr>
          <w:b/>
        </w:rPr>
        <w:t>dispose de son propre budget</w:t>
      </w:r>
      <w:r>
        <w:t>, séparé et indépendant de celui de l'Union européenne et de ceux des États.</w:t>
      </w:r>
    </w:p>
    <w:p w14:paraId="49538B81" w14:textId="77777777" w:rsidR="00F270FB" w:rsidRDefault="00000000">
      <w:pPr>
        <w:numPr>
          <w:ilvl w:val="0"/>
          <w:numId w:val="24"/>
        </w:numPr>
      </w:pPr>
      <w:r>
        <w:t xml:space="preserve">Les banquiers centraux (membres du directoire, gouverneurs des banques centrales nationales…) ont des </w:t>
      </w:r>
      <w:r>
        <w:rPr>
          <w:b/>
        </w:rPr>
        <w:t>mandats longs et non renouvelables</w:t>
      </w:r>
      <w:r>
        <w:t xml:space="preserve"> (par exemple 8 ans pour les membres du directoire).</w:t>
      </w:r>
    </w:p>
    <w:p w14:paraId="251BBDE4" w14:textId="77777777" w:rsidR="00F270FB" w:rsidRDefault="00000000">
      <w:pPr>
        <w:numPr>
          <w:ilvl w:val="1"/>
          <w:numId w:val="24"/>
        </w:numPr>
      </w:pPr>
      <w:r>
        <w:t xml:space="preserve">Mandat </w:t>
      </w:r>
      <w:r>
        <w:rPr>
          <w:b/>
        </w:rPr>
        <w:t>long</w:t>
      </w:r>
      <w:r>
        <w:t xml:space="preserve"> : ils ont le temps d'appliquer la politique qu'ils souhaitent.</w:t>
      </w:r>
    </w:p>
    <w:p w14:paraId="34508821" w14:textId="77777777" w:rsidR="00F270FB" w:rsidRDefault="00000000">
      <w:pPr>
        <w:numPr>
          <w:ilvl w:val="1"/>
          <w:numId w:val="24"/>
        </w:numPr>
      </w:pPr>
      <w:r>
        <w:t xml:space="preserve">Mandat </w:t>
      </w:r>
      <w:r>
        <w:rPr>
          <w:b/>
        </w:rPr>
        <w:t>non renouvelable</w:t>
      </w:r>
      <w:r>
        <w:t xml:space="preserve"> : ils n'ont pas à chercher à faire plaisir aux gouvernements pour garder leur place, puisqu'ils savent qu'ils ne seront pas renouvelés.</w:t>
      </w:r>
    </w:p>
    <w:p w14:paraId="10832B97" w14:textId="77777777" w:rsidR="00F270FB" w:rsidRDefault="00000000">
      <w:pPr>
        <w:numPr>
          <w:ilvl w:val="0"/>
          <w:numId w:val="24"/>
        </w:numPr>
      </w:pPr>
      <w:r>
        <w:t xml:space="preserve">Elle </w:t>
      </w:r>
      <w:r>
        <w:rPr>
          <w:b/>
        </w:rPr>
        <w:t>définit ses propres instruments</w:t>
      </w:r>
      <w:r>
        <w:t xml:space="preserve"> de politique monétaire : elle mène la politique monétaire de la manière qu'elle souhaite (les instruments seront vus au chapitre 4).</w:t>
      </w:r>
    </w:p>
    <w:p w14:paraId="132BEBEB" w14:textId="77777777" w:rsidR="00F270FB" w:rsidRDefault="00000000">
      <w:pPr>
        <w:pStyle w:val="Titre4"/>
      </w:pPr>
      <w:r>
        <w:t>b) Les différents types d'indépendance</w:t>
      </w:r>
    </w:p>
    <w:p w14:paraId="1706425B" w14:textId="77777777" w:rsidR="00F270FB" w:rsidRDefault="00000000">
      <w:r>
        <w:t xml:space="preserve">À partir des années 1980-1990, les banques centrales deviennent indépendantes : quasiment </w:t>
      </w:r>
      <w:r>
        <w:rPr>
          <w:b/>
        </w:rPr>
        <w:t>toutes dans les pays de l'OCDE</w:t>
      </w:r>
      <w:r>
        <w:t xml:space="preserve"> (pays développés), et une partie dans les pays émergents et en développement. Mais l'« indépendance » d'une banque centrale peut renvoyer à </w:t>
      </w:r>
      <w:r>
        <w:rPr>
          <w:b/>
        </w:rPr>
        <w:t>quatre éléments différents</w:t>
      </w:r>
      <w:r>
        <w:t>.</w:t>
      </w:r>
    </w:p>
    <w:p w14:paraId="662C686F" w14:textId="77777777" w:rsidR="00F270FB" w:rsidRDefault="00000000">
      <w:r>
        <w:rPr>
          <w:b/>
        </w:rPr>
        <w:t>1. L'indépendance des dirigeants</w:t>
      </w:r>
      <w:r>
        <w:t xml:space="preserve"> (ou </w:t>
      </w:r>
      <w:r>
        <w:rPr>
          <w:b/>
        </w:rPr>
        <w:t>indépendance politique</w:t>
      </w:r>
      <w:r>
        <w:t>)</w:t>
      </w:r>
    </w:p>
    <w:p w14:paraId="50AF6030" w14:textId="77777777" w:rsidR="00F270FB" w:rsidRDefault="00000000">
      <w:pPr>
        <w:numPr>
          <w:ilvl w:val="0"/>
          <w:numId w:val="24"/>
        </w:numPr>
      </w:pPr>
      <w:r>
        <w:rPr>
          <w:b/>
          <w:u w:val="single"/>
        </w:rPr>
        <w:t>Définition</w:t>
      </w:r>
      <w:r>
        <w:t xml:space="preserve"> : elle concerne la </w:t>
      </w:r>
      <w:r>
        <w:rPr>
          <w:b/>
        </w:rPr>
        <w:t>nomination des instances dirigeantes</w:t>
      </w:r>
      <w:r>
        <w:t xml:space="preserve"> et les </w:t>
      </w:r>
      <w:r>
        <w:rPr>
          <w:b/>
        </w:rPr>
        <w:t>relations des dirigeants avec le gouvernement</w:t>
      </w:r>
      <w:r>
        <w:t>.</w:t>
      </w:r>
    </w:p>
    <w:p w14:paraId="7309E08F" w14:textId="77777777" w:rsidR="00F270FB" w:rsidRDefault="00000000">
      <w:pPr>
        <w:numPr>
          <w:ilvl w:val="0"/>
          <w:numId w:val="24"/>
        </w:numPr>
      </w:pPr>
      <w:r>
        <w:rPr>
          <w:b/>
          <w:u w:val="single"/>
        </w:rPr>
        <w:t>BCE</w:t>
      </w:r>
      <w:r>
        <w:t xml:space="preserve"> : indépendance </w:t>
      </w:r>
      <w:r>
        <w:rPr>
          <w:b/>
        </w:rPr>
        <w:t>forte</w:t>
      </w:r>
      <w:r>
        <w:t>.</w:t>
      </w:r>
    </w:p>
    <w:p w14:paraId="5CF8C6F5" w14:textId="77777777" w:rsidR="00F270FB" w:rsidRDefault="00000000">
      <w:pPr>
        <w:numPr>
          <w:ilvl w:val="1"/>
          <w:numId w:val="24"/>
        </w:numPr>
      </w:pPr>
      <w:r>
        <w:t>Les dirigeants sont nommés pour un mandat long et non renouvelable.</w:t>
      </w:r>
    </w:p>
    <w:p w14:paraId="4EF58C54" w14:textId="77777777" w:rsidR="00F270FB" w:rsidRDefault="00000000">
      <w:pPr>
        <w:numPr>
          <w:ilvl w:val="1"/>
          <w:numId w:val="24"/>
        </w:numPr>
      </w:pPr>
      <w:r>
        <w:t xml:space="preserve">Des représentants de la Commission européenne ou des États peuvent assister aux réunions des instances de la BCE, mais ils n'ont </w:t>
      </w:r>
      <w:r>
        <w:rPr>
          <w:b/>
        </w:rPr>
        <w:t>ni le droit de parler, ni le droit de voter</w:t>
      </w:r>
      <w:r>
        <w:t>.</w:t>
      </w:r>
    </w:p>
    <w:p w14:paraId="3D155EDD" w14:textId="77777777" w:rsidR="00F270FB" w:rsidRDefault="00000000">
      <w:pPr>
        <w:numPr>
          <w:ilvl w:val="1"/>
          <w:numId w:val="24"/>
        </w:numPr>
      </w:pPr>
      <w:r>
        <w:t>Les dirigeants n'ont pas de comptes à rendre : leur objectif est de limiter l'inflation, mais qu'ils y arrivent ou non, les gouvernements ne peuvent pas les sanctionner ni raccourcir leur mandat.</w:t>
      </w:r>
    </w:p>
    <w:p w14:paraId="77E510C9" w14:textId="77777777" w:rsidR="00F270FB" w:rsidRDefault="00000000">
      <w:r>
        <w:rPr>
          <w:b/>
        </w:rPr>
        <w:t>2. L'indépendance financière</w:t>
      </w:r>
    </w:p>
    <w:p w14:paraId="29C1DA52" w14:textId="77777777" w:rsidR="00F270FB" w:rsidRDefault="00000000">
      <w:pPr>
        <w:numPr>
          <w:ilvl w:val="0"/>
          <w:numId w:val="24"/>
        </w:numPr>
      </w:pPr>
      <w:r>
        <w:rPr>
          <w:b/>
          <w:u w:val="single"/>
        </w:rPr>
        <w:lastRenderedPageBreak/>
        <w:t>Définition</w:t>
      </w:r>
      <w:r>
        <w:t xml:space="preserve"> : la </w:t>
      </w:r>
      <w:r>
        <w:rPr>
          <w:b/>
        </w:rPr>
        <w:t>facilité ou non pour la banque centrale de prêter de l'argent au gouvernement</w:t>
      </w:r>
      <w:r>
        <w:t>.</w:t>
      </w:r>
    </w:p>
    <w:p w14:paraId="0CE13377" w14:textId="77777777" w:rsidR="00F270FB" w:rsidRDefault="00000000">
      <w:pPr>
        <w:numPr>
          <w:ilvl w:val="0"/>
          <w:numId w:val="24"/>
        </w:numPr>
      </w:pPr>
      <w:r>
        <w:t xml:space="preserve">⚠️ Attention, c'est l'inverse de ce qu'on pourrait penser : une forte indépendance financière signifie que la banque centrale </w:t>
      </w:r>
      <w:r>
        <w:rPr>
          <w:b/>
        </w:rPr>
        <w:t>ne peut pas prêter directement aux États</w:t>
      </w:r>
      <w:r>
        <w:t xml:space="preserve">, ou que les États </w:t>
      </w:r>
      <w:r>
        <w:rPr>
          <w:b/>
        </w:rPr>
        <w:t>ne peuvent pas l'obliger à leur prêter</w:t>
      </w:r>
      <w:r>
        <w:t>. Les finances de la banque centrale et celles de l'État sont complètement séparées : l'une ne peut pas aider l'autre. Si la banque centrale avait le choix de prêter, ses dirigeants pourraient être influencés d'une manière ou d'une autre.</w:t>
      </w:r>
    </w:p>
    <w:p w14:paraId="36800E22" w14:textId="77777777" w:rsidR="00F270FB" w:rsidRDefault="00000000">
      <w:pPr>
        <w:numPr>
          <w:ilvl w:val="0"/>
          <w:numId w:val="24"/>
        </w:numPr>
      </w:pPr>
      <w:r>
        <w:rPr>
          <w:b/>
          <w:u w:val="single"/>
        </w:rPr>
        <w:t>BCE</w:t>
      </w:r>
      <w:r>
        <w:t xml:space="preserve"> : indépendance </w:t>
      </w:r>
      <w:r>
        <w:rPr>
          <w:b/>
        </w:rPr>
        <w:t>forte</w:t>
      </w:r>
      <w:r>
        <w:t xml:space="preserve">. Le </w:t>
      </w:r>
      <w:r>
        <w:rPr>
          <w:b/>
        </w:rPr>
        <w:t>traité de Maastricht</w:t>
      </w:r>
      <w:r>
        <w:t xml:space="preserve"> interdit à la BCE de prêter directement de l'argent aux États : elle ne peut pas intervenir sur le </w:t>
      </w:r>
      <w:r>
        <w:rPr>
          <w:b/>
        </w:rPr>
        <w:t>marché primaire</w:t>
      </w:r>
      <w:r>
        <w:t xml:space="preserve"> de la dette publique. Par exemple, si la France n'arrive pas à emprunter, elle ne peut pas demander à la BCE de lui prêter.</w:t>
      </w:r>
    </w:p>
    <w:p w14:paraId="69AB0724" w14:textId="77777777" w:rsidR="00F270FB" w:rsidRDefault="00000000">
      <w:r>
        <w:rPr>
          <w:b/>
        </w:rPr>
        <w:t>3. L'indépendance des instruments</w:t>
      </w:r>
      <w:r>
        <w:t xml:space="preserve"> (ou </w:t>
      </w:r>
      <w:r>
        <w:rPr>
          <w:b/>
        </w:rPr>
        <w:t>indépendance opérationnelle</w:t>
      </w:r>
      <w:r>
        <w:t>)</w:t>
      </w:r>
    </w:p>
    <w:p w14:paraId="613DD348" w14:textId="77777777" w:rsidR="00F270FB" w:rsidRDefault="00000000">
      <w:pPr>
        <w:numPr>
          <w:ilvl w:val="0"/>
          <w:numId w:val="24"/>
        </w:numPr>
      </w:pPr>
      <w:r>
        <w:rPr>
          <w:b/>
          <w:u w:val="single"/>
        </w:rPr>
        <w:t>Définition</w:t>
      </w:r>
      <w:r>
        <w:t xml:space="preserve"> : la </w:t>
      </w:r>
      <w:r>
        <w:rPr>
          <w:b/>
        </w:rPr>
        <w:t>facilité ou non à créer, utiliser ou adapter ses propres instruments</w:t>
      </w:r>
      <w:r>
        <w:t xml:space="preserve"> de politique monétaire.</w:t>
      </w:r>
    </w:p>
    <w:p w14:paraId="1BDF5DE1" w14:textId="77777777" w:rsidR="00F270FB" w:rsidRDefault="00000000">
      <w:pPr>
        <w:numPr>
          <w:ilvl w:val="0"/>
          <w:numId w:val="24"/>
        </w:numPr>
      </w:pPr>
      <w:r>
        <w:rPr>
          <w:b/>
          <w:u w:val="single"/>
        </w:rPr>
        <w:t>BCE</w:t>
      </w:r>
      <w:r>
        <w:t xml:space="preserve"> : indépendance </w:t>
      </w:r>
      <w:r>
        <w:rPr>
          <w:b/>
        </w:rPr>
        <w:t>forte</w:t>
      </w:r>
      <w:r>
        <w:t>, elle définit elle-même ses instruments (voir chapitre 4).</w:t>
      </w:r>
    </w:p>
    <w:p w14:paraId="632149B7" w14:textId="77777777" w:rsidR="00F270FB" w:rsidRDefault="00000000">
      <w:r>
        <w:rPr>
          <w:b/>
        </w:rPr>
        <w:t>4. L'indépendance des objectifs</w:t>
      </w:r>
    </w:p>
    <w:p w14:paraId="0F15EE8A" w14:textId="77777777" w:rsidR="00F270FB" w:rsidRDefault="00000000">
      <w:pPr>
        <w:numPr>
          <w:ilvl w:val="0"/>
          <w:numId w:val="24"/>
        </w:numPr>
      </w:pPr>
      <w:r>
        <w:rPr>
          <w:b/>
          <w:u w:val="single"/>
        </w:rPr>
        <w:t>Définition</w:t>
      </w:r>
      <w:r>
        <w:t xml:space="preserve"> : la </w:t>
      </w:r>
      <w:r>
        <w:rPr>
          <w:b/>
        </w:rPr>
        <w:t>possibilité ou non pour une banque centrale de définir ses propres objectifs</w:t>
      </w:r>
      <w:r>
        <w:t>.</w:t>
      </w:r>
    </w:p>
    <w:p w14:paraId="576CDDAD" w14:textId="77777777" w:rsidR="00F270FB" w:rsidRDefault="00000000">
      <w:pPr>
        <w:numPr>
          <w:ilvl w:val="0"/>
          <w:numId w:val="24"/>
        </w:numPr>
      </w:pPr>
      <w:r>
        <w:rPr>
          <w:b/>
          <w:u w:val="single"/>
        </w:rPr>
        <w:t>BCE</w:t>
      </w:r>
      <w:r>
        <w:t xml:space="preserve"> : indépendance </w:t>
      </w:r>
      <w:r>
        <w:rPr>
          <w:b/>
        </w:rPr>
        <w:t>assez élevée</w:t>
      </w:r>
      <w:r>
        <w:t>, pour deux raisons :</w:t>
      </w:r>
    </w:p>
    <w:p w14:paraId="068122DF" w14:textId="77777777" w:rsidR="00F270FB" w:rsidRDefault="00000000">
      <w:pPr>
        <w:numPr>
          <w:ilvl w:val="1"/>
          <w:numId w:val="24"/>
        </w:numPr>
      </w:pPr>
      <w:r>
        <w:t xml:space="preserve">Son objectif principal, la </w:t>
      </w:r>
      <w:r>
        <w:rPr>
          <w:b/>
        </w:rPr>
        <w:t>stabilité des prix</w:t>
      </w:r>
      <w:r>
        <w:t xml:space="preserve">, est inscrit dans le </w:t>
      </w:r>
      <w:r>
        <w:rPr>
          <w:b/>
        </w:rPr>
        <w:t>traité de Maastricht</w:t>
      </w:r>
      <w:r>
        <w:t>. Les gouvernements ne peuvent donc pas le modifier facilement : il faudrait l'</w:t>
      </w:r>
      <w:r>
        <w:rPr>
          <w:b/>
        </w:rPr>
        <w:t>unanimité des 27 pays</w:t>
      </w:r>
      <w:r>
        <w:t xml:space="preserve"> de l'Union européenne. Au contraire, dans certains pays (au Brésil, par exemple), le Parlement vote chaque année une loi qui fixe l'objectif de la banque centrale : il est donc facile à changer.</w:t>
      </w:r>
    </w:p>
    <w:p w14:paraId="23238381" w14:textId="77777777" w:rsidR="00F270FB" w:rsidRDefault="00000000">
      <w:pPr>
        <w:numPr>
          <w:ilvl w:val="1"/>
          <w:numId w:val="24"/>
        </w:numPr>
      </w:pPr>
      <w:r>
        <w:t xml:space="preserve">Le traité dit seulement que l'objectif est la stabilité des prix : c'est </w:t>
      </w:r>
      <w:r>
        <w:rPr>
          <w:b/>
        </w:rPr>
        <w:t>la BCE elle-même qui chiffre</w:t>
      </w:r>
      <w:r>
        <w:t xml:space="preserve"> ce qu'elle appelle stabilité des prix (aujourd'hui, une inflation autour de 2 %).</w:t>
      </w:r>
    </w:p>
    <w:p w14:paraId="2478B213" w14:textId="77777777" w:rsidR="00F270FB" w:rsidRDefault="00000000">
      <w:r>
        <w:rPr>
          <w:b/>
        </w:rPr>
        <w:t>Conclusion</w:t>
      </w:r>
      <w:r>
        <w:t xml:space="preserve"> : la BCE a un degré d'indépendance élevé sur les quatre types d'indépendance. C'est donc </w:t>
      </w:r>
      <w:r>
        <w:rPr>
          <w:b/>
        </w:rPr>
        <w:t>l'une des banques centrales les plus indépendantes du monde</w:t>
      </w:r>
      <w:r>
        <w:t>.</w:t>
      </w:r>
    </w:p>
    <w:p w14:paraId="45543DF2" w14:textId="77777777" w:rsidR="00F270FB" w:rsidRDefault="00000000">
      <w:pPr>
        <w:numPr>
          <w:ilvl w:val="0"/>
          <w:numId w:val="24"/>
        </w:numPr>
      </w:pPr>
      <w:r>
        <w:t xml:space="preserve">Idéalement, une banque centrale indépendante l'est sur les quatre plans. Si elle n'est indépendante que sur certains, on dira qu'elle est globalement </w:t>
      </w:r>
      <w:r>
        <w:rPr>
          <w:b/>
        </w:rPr>
        <w:lastRenderedPageBreak/>
        <w:t>moyennement indépendante</w:t>
      </w:r>
      <w:r>
        <w:t>, puis on précisera sur quels points elle ne l'est pas (par exemple, pas d'indépendance financière).</w:t>
      </w:r>
    </w:p>
    <w:p w14:paraId="4BD94BD9" w14:textId="77777777" w:rsidR="00F270FB" w:rsidRDefault="00000000">
      <w:pPr>
        <w:keepNext/>
        <w:spacing w:before="120" w:after="40"/>
        <w:jc w:val="center"/>
      </w:pPr>
      <w:r>
        <w:rPr>
          <w:noProof/>
        </w:rPr>
        <w:drawing>
          <wp:inline distT="0" distB="0" distL="0" distR="0" wp14:anchorId="451C6412" wp14:editId="6D37D596">
            <wp:extent cx="5040000" cy="2494800"/>
            <wp:effectExtent l="0" t="0" r="0" b="0"/>
            <wp:docPr id="7002" name="Illustration 7002" descr="Récapitulatif des quatre types d'indépendance (diap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slide_c3_12.png"/>
                    <pic:cNvPicPr/>
                  </pic:nvPicPr>
                  <pic:blipFill>
                    <a:blip r:embed="rId88"/>
                    <a:stretch>
                      <a:fillRect/>
                    </a:stretch>
                  </pic:blipFill>
                  <pic:spPr>
                    <a:xfrm>
                      <a:off x="0" y="0"/>
                      <a:ext cx="5040000" cy="2494800"/>
                    </a:xfrm>
                    <a:prstGeom prst="rect">
                      <a:avLst/>
                    </a:prstGeom>
                    <a:ln w="6350">
                      <a:solidFill>
                        <a:srgbClr val="BFBFBF"/>
                      </a:solidFill>
                    </a:ln>
                  </pic:spPr>
                </pic:pic>
              </a:graphicData>
            </a:graphic>
          </wp:inline>
        </w:drawing>
      </w:r>
    </w:p>
    <w:p w14:paraId="6A3FA2FD" w14:textId="77777777" w:rsidR="00F270FB" w:rsidRDefault="00000000">
      <w:pPr>
        <w:spacing w:after="200"/>
        <w:jc w:val="center"/>
      </w:pPr>
      <w:r>
        <w:rPr>
          <w:i/>
          <w:color w:val="6B6B6B"/>
          <w:sz w:val="19"/>
          <w:szCs w:val="19"/>
        </w:rPr>
        <w:t>Récapitulatif des quatre types d'indépendance (diapo 12).</w:t>
      </w:r>
    </w:p>
    <w:p w14:paraId="265CB7FA" w14:textId="77777777" w:rsidR="00F270FB" w:rsidRDefault="00000000">
      <w:r>
        <w:rPr>
          <w:i/>
          <w:color w:val="6B6B6B"/>
        </w:rPr>
        <w:t>Pour aller plus loin (facultatif d'après le prof) : cette « indépendance à tout prix » est critiquée. Une banque centrale indépendante n'obtient pas forcément la stabilité des prix, et inversement, certaines banques centrales maîtrisent l'inflation sans être indépendantes.</w:t>
      </w:r>
    </w:p>
    <w:p w14:paraId="4E0AB328" w14:textId="77777777" w:rsidR="00F270FB" w:rsidRDefault="00000000">
      <w:pPr>
        <w:pStyle w:val="Titre2"/>
      </w:pPr>
      <w:bookmarkStart w:id="36" w:name="_Toc243123159"/>
      <w:r>
        <w:t>II – Objectifs de la politique monétaire</w:t>
      </w:r>
      <w:bookmarkEnd w:id="36"/>
    </w:p>
    <w:p w14:paraId="0B87EE5C" w14:textId="77777777" w:rsidR="00F270FB" w:rsidRDefault="00000000">
      <w:pPr>
        <w:pStyle w:val="Titre3"/>
      </w:pPr>
      <w:bookmarkStart w:id="37" w:name="_Toc243123160"/>
      <w:r>
        <w:t>1°) Les objectifs des banques centrales</w:t>
      </w:r>
      <w:bookmarkEnd w:id="37"/>
    </w:p>
    <w:p w14:paraId="78CFF751" w14:textId="77777777" w:rsidR="00F270FB" w:rsidRDefault="00000000">
      <w:pPr>
        <w:pStyle w:val="Titre4"/>
      </w:pPr>
      <w:r>
        <w:t>a) Les différents objectifs</w:t>
      </w:r>
    </w:p>
    <w:p w14:paraId="5D4FCB98" w14:textId="77777777" w:rsidR="00F270FB" w:rsidRDefault="00000000">
      <w:r>
        <w:t xml:space="preserve">Chaque banque centrale a des objectifs qui peuvent être différents, mais on retrouve souvent </w:t>
      </w:r>
      <w:r>
        <w:rPr>
          <w:b/>
        </w:rPr>
        <w:t>cinq objectifs</w:t>
      </w:r>
      <w:r>
        <w:t xml:space="preserve"> :</w:t>
      </w:r>
    </w:p>
    <w:p w14:paraId="59427915" w14:textId="77777777" w:rsidR="00F270FB" w:rsidRDefault="00000000">
      <w:r>
        <w:rPr>
          <w:b/>
        </w:rPr>
        <w:t>1. La stabilité des prix</w:t>
      </w:r>
      <w:r>
        <w:t xml:space="preserve"> (l'objectif le plus important)</w:t>
      </w:r>
    </w:p>
    <w:p w14:paraId="662C05ED" w14:textId="77777777" w:rsidR="00F270FB" w:rsidRDefault="00000000">
      <w:pPr>
        <w:numPr>
          <w:ilvl w:val="0"/>
          <w:numId w:val="24"/>
        </w:numPr>
      </w:pPr>
      <w:r>
        <w:t xml:space="preserve">Aujourd'hui, </w:t>
      </w:r>
      <w:r>
        <w:rPr>
          <w:b/>
        </w:rPr>
        <w:t>toutes les banques centrales du monde</w:t>
      </w:r>
      <w:r>
        <w:t xml:space="preserve"> ont un objectif de stabilité des prix. C'est l'objectif premier.</w:t>
      </w:r>
    </w:p>
    <w:p w14:paraId="41EC3322" w14:textId="77777777" w:rsidR="00F270FB" w:rsidRDefault="00000000">
      <w:pPr>
        <w:numPr>
          <w:ilvl w:val="0"/>
          <w:numId w:val="24"/>
        </w:numPr>
      </w:pPr>
      <w:r>
        <w:t xml:space="preserve">Stabilité des prix = </w:t>
      </w:r>
      <w:r>
        <w:rPr>
          <w:b/>
        </w:rPr>
        <w:t>inflation limitée</w:t>
      </w:r>
      <w:r>
        <w:t xml:space="preserve">. Ce n'est pas une inflation égale à 0 % : dans la majorité des cas, c'est une </w:t>
      </w:r>
      <w:r>
        <w:rPr>
          <w:b/>
        </w:rPr>
        <w:t>inflation autour de 2 % par an</w:t>
      </w:r>
      <w:r>
        <w:t xml:space="preserve"> (Europe, États-Unis, Nouvelle-Zélande, Angleterre…). Certaines visent plus, par exemple la Russie : 4 %.</w:t>
      </w:r>
    </w:p>
    <w:p w14:paraId="1D72779F" w14:textId="77777777" w:rsidR="00F270FB" w:rsidRDefault="00000000">
      <w:pPr>
        <w:numPr>
          <w:ilvl w:val="0"/>
          <w:numId w:val="24"/>
        </w:numPr>
      </w:pPr>
      <w:r>
        <w:rPr>
          <w:b/>
          <w:u w:val="single"/>
        </w:rPr>
        <w:t>Pourquoi une faible inflation ?</w:t>
      </w:r>
      <w:r>
        <w:t xml:space="preserve"> Parce qu'elle favorise la </w:t>
      </w:r>
      <w:r>
        <w:rPr>
          <w:b/>
        </w:rPr>
        <w:t>confiance des entreprises et des consommateurs</w:t>
      </w:r>
      <w:r>
        <w:t xml:space="preserve"> :</w:t>
      </w:r>
    </w:p>
    <w:p w14:paraId="4B63C130" w14:textId="77777777" w:rsidR="00F270FB" w:rsidRDefault="00000000">
      <w:pPr>
        <w:numPr>
          <w:ilvl w:val="1"/>
          <w:numId w:val="24"/>
        </w:numPr>
      </w:pPr>
      <w:r>
        <w:rPr>
          <w:b/>
        </w:rPr>
        <w:lastRenderedPageBreak/>
        <w:t>Entreprises</w:t>
      </w:r>
      <w:r>
        <w:t xml:space="preserve"> : si l'inflation reste faible, elles peuvent bien prévoir le coût et les revenus futurs d'un investissement. Elles voient plus facilement s'il sera rentable, donc elles hésitent moins à investir.</w:t>
      </w:r>
    </w:p>
    <w:p w14:paraId="4CF731A4" w14:textId="77777777" w:rsidR="00F270FB" w:rsidRDefault="00000000">
      <w:pPr>
        <w:numPr>
          <w:ilvl w:val="1"/>
          <w:numId w:val="24"/>
        </w:numPr>
      </w:pPr>
      <w:r>
        <w:rPr>
          <w:b/>
        </w:rPr>
        <w:t>Consommateurs</w:t>
      </w:r>
      <w:r>
        <w:t xml:space="preserve"> : si les prix restent stables, ils savent que leur pouvoir d'achat ne se réduit pas, donc ils hésitent moins à dépenser.</w:t>
      </w:r>
    </w:p>
    <w:p w14:paraId="42384D4D" w14:textId="77777777" w:rsidR="00F270FB" w:rsidRDefault="00000000">
      <w:pPr>
        <w:numPr>
          <w:ilvl w:val="1"/>
          <w:numId w:val="24"/>
        </w:numPr>
      </w:pPr>
      <w:r>
        <w:t xml:space="preserve">Au final, cette confiance </w:t>
      </w:r>
      <w:r>
        <w:rPr>
          <w:b/>
        </w:rPr>
        <w:t>favorise indirectement la croissance</w:t>
      </w:r>
      <w:r>
        <w:t xml:space="preserve"> (les gens dépensent, ce qui soutient la production).</w:t>
      </w:r>
    </w:p>
    <w:p w14:paraId="04FA4BF5" w14:textId="77777777" w:rsidR="00F270FB" w:rsidRDefault="00000000">
      <w:pPr>
        <w:numPr>
          <w:ilvl w:val="0"/>
          <w:numId w:val="24"/>
        </w:numPr>
      </w:pPr>
      <w:r>
        <w:rPr>
          <w:b/>
          <w:u w:val="single"/>
        </w:rPr>
        <w:t>Pourquoi 2 % et pas 0 % ?</w:t>
      </w:r>
      <w:r>
        <w:t xml:space="preserve"> Pour se laisser une </w:t>
      </w:r>
      <w:r>
        <w:rPr>
          <w:b/>
        </w:rPr>
        <w:t>marge de manœuvre</w:t>
      </w:r>
      <w:r>
        <w:t xml:space="preserve"> si l'inflation est plus basse que prévu, et éviter la </w:t>
      </w:r>
      <w:r>
        <w:rPr>
          <w:b/>
        </w:rPr>
        <w:t>déflation</w:t>
      </w:r>
      <w:r>
        <w:t xml:space="preserve"> (inflation négative, c'est-à-dire baisse des prix).</w:t>
      </w:r>
    </w:p>
    <w:p w14:paraId="1140A656" w14:textId="77777777" w:rsidR="00F270FB" w:rsidRDefault="00000000">
      <w:pPr>
        <w:numPr>
          <w:ilvl w:val="1"/>
          <w:numId w:val="24"/>
        </w:numPr>
      </w:pPr>
      <w:r>
        <w:t>La déflation est très mauvaise pour l'économie : elle provoque une grosse crise, et on ne sait pas vraiment comment en sortir (voir TD 5).</w:t>
      </w:r>
    </w:p>
    <w:p w14:paraId="7839EAC9" w14:textId="77777777" w:rsidR="00F270FB" w:rsidRDefault="00000000">
      <w:pPr>
        <w:numPr>
          <w:ilvl w:val="1"/>
          <w:numId w:val="24"/>
        </w:numPr>
      </w:pPr>
      <w:r>
        <w:t xml:space="preserve">Exemple : le </w:t>
      </w:r>
      <w:r>
        <w:rPr>
          <w:b/>
        </w:rPr>
        <w:t>Japon</w:t>
      </w:r>
      <w:r>
        <w:t>. À la fin des années 1990, une crise due à la déflation éclate. Le pays n'en est jamais vraiment sorti : il traverse une crise depuis plus de 20 ans et ne commence à aller mieux que depuis un ou deux ans.</w:t>
      </w:r>
    </w:p>
    <w:p w14:paraId="60F10E0A" w14:textId="77777777" w:rsidR="00F270FB" w:rsidRDefault="00000000">
      <w:r>
        <w:rPr>
          <w:b/>
        </w:rPr>
        <w:t>2. Le plein emploi</w:t>
      </w:r>
    </w:p>
    <w:p w14:paraId="1AB47A90" w14:textId="77777777" w:rsidR="00F270FB" w:rsidRDefault="00000000">
      <w:r>
        <w:rPr>
          <w:b/>
        </w:rPr>
        <w:t>3. La stabilité financière</w:t>
      </w:r>
    </w:p>
    <w:p w14:paraId="18CEB37E" w14:textId="77777777" w:rsidR="00F270FB" w:rsidRDefault="00000000">
      <w:r>
        <w:rPr>
          <w:b/>
        </w:rPr>
        <w:t>4. La stabilité du taux de change</w:t>
      </w:r>
      <w:r>
        <w:t xml:space="preserve"> : pour les pays qui ont un </w:t>
      </w:r>
      <w:r>
        <w:rPr>
          <w:b/>
        </w:rPr>
        <w:t>taux de change fixe</w:t>
      </w:r>
      <w:r>
        <w:t>, c'est la banque centrale qui fait en sorte que le taux de change reste fixe.</w:t>
      </w:r>
    </w:p>
    <w:p w14:paraId="4CC89FB2" w14:textId="77777777" w:rsidR="00F270FB" w:rsidRDefault="00000000">
      <w:r>
        <w:rPr>
          <w:b/>
        </w:rPr>
        <w:t>5. La croissance économique</w:t>
      </w:r>
    </w:p>
    <w:p w14:paraId="47A34EF9" w14:textId="77777777" w:rsidR="00F270FB" w:rsidRDefault="00000000">
      <w:r>
        <w:t xml:space="preserve">Les banques centrales ont des </w:t>
      </w:r>
      <w:r>
        <w:rPr>
          <w:b/>
        </w:rPr>
        <w:t>mandats plus ou moins larges</w:t>
      </w:r>
      <w:r>
        <w:t xml:space="preserve"> : certaines n'ont qu'un seul objectif, d'autres en ont plusieurs. On distingue trois types :</w:t>
      </w:r>
    </w:p>
    <w:tbl>
      <w:tblPr>
        <w:tblW w:w="90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60" w:type="dxa"/>
          <w:left w:w="100" w:type="dxa"/>
          <w:bottom w:w="60" w:type="dxa"/>
          <w:right w:w="100" w:type="dxa"/>
        </w:tblCellMar>
        <w:tblLook w:val="04A0" w:firstRow="1" w:lastRow="0" w:firstColumn="1" w:lastColumn="0" w:noHBand="0" w:noVBand="1"/>
      </w:tblPr>
      <w:tblGrid>
        <w:gridCol w:w="2000"/>
        <w:gridCol w:w="3536"/>
        <w:gridCol w:w="3536"/>
      </w:tblGrid>
      <w:tr w:rsidR="00F270FB" w14:paraId="3BB3A207" w14:textId="77777777">
        <w:trPr>
          <w:tblHeader/>
        </w:trPr>
        <w:tc>
          <w:tcPr>
            <w:tcW w:w="2000" w:type="dxa"/>
            <w:shd w:val="clear" w:color="auto" w:fill="DEEAF6"/>
          </w:tcPr>
          <w:p w14:paraId="5F198218" w14:textId="77777777" w:rsidR="00F270FB" w:rsidRDefault="00000000">
            <w:pPr>
              <w:spacing w:after="0" w:line="252" w:lineRule="auto"/>
            </w:pPr>
            <w:r>
              <w:rPr>
                <w:b/>
                <w:sz w:val="21"/>
                <w:szCs w:val="21"/>
              </w:rPr>
              <w:t>Type de banque centrale</w:t>
            </w:r>
          </w:p>
        </w:tc>
        <w:tc>
          <w:tcPr>
            <w:tcW w:w="3536" w:type="dxa"/>
            <w:shd w:val="clear" w:color="auto" w:fill="DEEAF6"/>
          </w:tcPr>
          <w:p w14:paraId="70A0B22D" w14:textId="77777777" w:rsidR="00F270FB" w:rsidRDefault="00000000">
            <w:pPr>
              <w:spacing w:after="0" w:line="252" w:lineRule="auto"/>
            </w:pPr>
            <w:r>
              <w:rPr>
                <w:b/>
                <w:sz w:val="21"/>
                <w:szCs w:val="21"/>
              </w:rPr>
              <w:t>Description</w:t>
            </w:r>
          </w:p>
        </w:tc>
        <w:tc>
          <w:tcPr>
            <w:tcW w:w="3536" w:type="dxa"/>
            <w:shd w:val="clear" w:color="auto" w:fill="DEEAF6"/>
          </w:tcPr>
          <w:p w14:paraId="5FE051EC" w14:textId="77777777" w:rsidR="00F270FB" w:rsidRDefault="00000000">
            <w:pPr>
              <w:spacing w:after="0" w:line="252" w:lineRule="auto"/>
            </w:pPr>
            <w:r>
              <w:rPr>
                <w:b/>
                <w:sz w:val="21"/>
                <w:szCs w:val="21"/>
              </w:rPr>
              <w:t>Exemples</w:t>
            </w:r>
          </w:p>
        </w:tc>
      </w:tr>
      <w:tr w:rsidR="00F270FB" w14:paraId="67BB1508" w14:textId="77777777">
        <w:tc>
          <w:tcPr>
            <w:tcW w:w="2000" w:type="dxa"/>
            <w:shd w:val="clear" w:color="auto" w:fill="F2F7FC"/>
          </w:tcPr>
          <w:p w14:paraId="755BB178" w14:textId="77777777" w:rsidR="00F270FB" w:rsidRDefault="00000000">
            <w:pPr>
              <w:spacing w:after="0" w:line="252" w:lineRule="auto"/>
            </w:pPr>
            <w:r>
              <w:rPr>
                <w:b/>
                <w:sz w:val="21"/>
                <w:szCs w:val="21"/>
              </w:rPr>
              <w:t>Un seul objectif</w:t>
            </w:r>
          </w:p>
        </w:tc>
        <w:tc>
          <w:tcPr>
            <w:tcW w:w="3536" w:type="dxa"/>
          </w:tcPr>
          <w:p w14:paraId="59B43B02" w14:textId="77777777" w:rsidR="00F270FB" w:rsidRDefault="00000000">
            <w:pPr>
              <w:spacing w:after="0" w:line="252" w:lineRule="auto"/>
            </w:pPr>
            <w:r>
              <w:rPr>
                <w:sz w:val="21"/>
                <w:szCs w:val="21"/>
              </w:rPr>
              <w:t>Cet objectif unique est toujours la stabilité des prix.</w:t>
            </w:r>
          </w:p>
        </w:tc>
        <w:tc>
          <w:tcPr>
            <w:tcW w:w="3536" w:type="dxa"/>
          </w:tcPr>
          <w:p w14:paraId="7248A3A6" w14:textId="77777777" w:rsidR="00F270FB" w:rsidRDefault="00000000">
            <w:pPr>
              <w:spacing w:after="0" w:line="252" w:lineRule="auto"/>
            </w:pPr>
            <w:r>
              <w:rPr>
                <w:sz w:val="21"/>
                <w:szCs w:val="21"/>
              </w:rPr>
              <w:t>Afrique du Sud, Brésil, Ouganda</w:t>
            </w:r>
          </w:p>
        </w:tc>
      </w:tr>
      <w:tr w:rsidR="00F270FB" w14:paraId="1D0C0AA8" w14:textId="77777777">
        <w:tc>
          <w:tcPr>
            <w:tcW w:w="2000" w:type="dxa"/>
            <w:shd w:val="clear" w:color="auto" w:fill="F2F7FC"/>
          </w:tcPr>
          <w:p w14:paraId="0F22CC2B" w14:textId="77777777" w:rsidR="00F270FB" w:rsidRDefault="00000000">
            <w:pPr>
              <w:spacing w:after="0" w:line="252" w:lineRule="auto"/>
            </w:pPr>
            <w:r>
              <w:rPr>
                <w:b/>
                <w:sz w:val="21"/>
                <w:szCs w:val="21"/>
              </w:rPr>
              <w:t>Plusieurs objectifs égaux</w:t>
            </w:r>
          </w:p>
        </w:tc>
        <w:tc>
          <w:tcPr>
            <w:tcW w:w="3536" w:type="dxa"/>
          </w:tcPr>
          <w:p w14:paraId="44FF558D" w14:textId="77777777" w:rsidR="00F270FB" w:rsidRDefault="00000000">
            <w:pPr>
              <w:spacing w:after="0" w:line="252" w:lineRule="auto"/>
            </w:pPr>
            <w:r>
              <w:rPr>
                <w:sz w:val="21"/>
                <w:szCs w:val="21"/>
              </w:rPr>
              <w:t>Aucun objectif n'est prioritaire : il faut atteindre autant l'un que l'autre.</w:t>
            </w:r>
          </w:p>
        </w:tc>
        <w:tc>
          <w:tcPr>
            <w:tcW w:w="3536" w:type="dxa"/>
          </w:tcPr>
          <w:p w14:paraId="1281EA73" w14:textId="77777777" w:rsidR="00F270FB" w:rsidRDefault="00000000">
            <w:pPr>
              <w:spacing w:after="0" w:line="252" w:lineRule="auto"/>
            </w:pPr>
            <w:r>
              <w:rPr>
                <w:sz w:val="21"/>
                <w:szCs w:val="21"/>
              </w:rPr>
              <w:t>Argentine (prix + taux de change stable) ; États-Unis (prix + plein emploi + un 3e objectif) ; Inde (prix + taux de change stable + croissance) ; Nouvelle-Zélande (prix + plein emploi)</w:t>
            </w:r>
          </w:p>
        </w:tc>
      </w:tr>
      <w:tr w:rsidR="00F270FB" w14:paraId="4CC29DDA" w14:textId="77777777">
        <w:tc>
          <w:tcPr>
            <w:tcW w:w="2000" w:type="dxa"/>
            <w:shd w:val="clear" w:color="auto" w:fill="F2F7FC"/>
          </w:tcPr>
          <w:p w14:paraId="72019071" w14:textId="77777777" w:rsidR="00F270FB" w:rsidRDefault="00000000">
            <w:pPr>
              <w:spacing w:after="0" w:line="252" w:lineRule="auto"/>
            </w:pPr>
            <w:r>
              <w:rPr>
                <w:b/>
                <w:sz w:val="21"/>
                <w:szCs w:val="21"/>
              </w:rPr>
              <w:t>Un objectif principal + des objectifs secondaires</w:t>
            </w:r>
          </w:p>
        </w:tc>
        <w:tc>
          <w:tcPr>
            <w:tcW w:w="3536" w:type="dxa"/>
          </w:tcPr>
          <w:p w14:paraId="410F2ED8" w14:textId="77777777" w:rsidR="00F270FB" w:rsidRDefault="00000000">
            <w:pPr>
              <w:spacing w:after="0" w:line="252" w:lineRule="auto"/>
            </w:pPr>
            <w:r>
              <w:rPr>
                <w:sz w:val="21"/>
                <w:szCs w:val="21"/>
              </w:rPr>
              <w:t>Objectif prioritaire : la stabilité des prix. Les objectifs secondaires ne sont recherchés que si l'inflation est maîtrisée.</w:t>
            </w:r>
          </w:p>
        </w:tc>
        <w:tc>
          <w:tcPr>
            <w:tcW w:w="3536" w:type="dxa"/>
          </w:tcPr>
          <w:p w14:paraId="7E84EE9B" w14:textId="77777777" w:rsidR="00F270FB" w:rsidRDefault="00000000">
            <w:pPr>
              <w:spacing w:after="0" w:line="252" w:lineRule="auto"/>
            </w:pPr>
            <w:r>
              <w:rPr>
                <w:sz w:val="21"/>
                <w:szCs w:val="21"/>
              </w:rPr>
              <w:t>Angleterre (secondaire : plein emploi) ; BCE (secondaires : plein emploi, croissance…)</w:t>
            </w:r>
          </w:p>
        </w:tc>
      </w:tr>
    </w:tbl>
    <w:p w14:paraId="612EA376" w14:textId="77777777" w:rsidR="00F270FB" w:rsidRDefault="00F270FB">
      <w:pPr>
        <w:spacing w:after="0"/>
      </w:pPr>
    </w:p>
    <w:p w14:paraId="5541DBF4" w14:textId="77777777" w:rsidR="00F270FB" w:rsidRDefault="00000000">
      <w:r>
        <w:rPr>
          <w:b/>
          <w:u w:val="single"/>
        </w:rPr>
        <w:lastRenderedPageBreak/>
        <w:t>Fourchette ou cible d'inflation ?</w:t>
      </w:r>
    </w:p>
    <w:p w14:paraId="5AA003AB" w14:textId="77777777" w:rsidR="00F270FB" w:rsidRDefault="00000000">
      <w:r>
        <w:t xml:space="preserve">Pour leur objectif de stabilité des prix, les banques centrales peuvent avoir soit une </w:t>
      </w:r>
      <w:r>
        <w:rPr>
          <w:b/>
        </w:rPr>
        <w:t>fourchette</w:t>
      </w:r>
      <w:r>
        <w:t xml:space="preserve"> d'inflation, soit une </w:t>
      </w:r>
      <w:r>
        <w:rPr>
          <w:b/>
        </w:rPr>
        <w:t>cible</w:t>
      </w:r>
      <w:r>
        <w:t xml:space="preserve"> d'inflation.</w:t>
      </w:r>
    </w:p>
    <w:tbl>
      <w:tblPr>
        <w:tblW w:w="90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60" w:type="dxa"/>
          <w:left w:w="100" w:type="dxa"/>
          <w:bottom w:w="60" w:type="dxa"/>
          <w:right w:w="100" w:type="dxa"/>
        </w:tblCellMar>
        <w:tblLook w:val="04A0" w:firstRow="1" w:lastRow="0" w:firstColumn="1" w:lastColumn="0" w:noHBand="0" w:noVBand="1"/>
      </w:tblPr>
      <w:tblGrid>
        <w:gridCol w:w="2200"/>
        <w:gridCol w:w="3436"/>
        <w:gridCol w:w="3436"/>
      </w:tblGrid>
      <w:tr w:rsidR="00F270FB" w14:paraId="74A1E34C" w14:textId="77777777">
        <w:trPr>
          <w:tblHeader/>
        </w:trPr>
        <w:tc>
          <w:tcPr>
            <w:tcW w:w="2200" w:type="dxa"/>
            <w:shd w:val="clear" w:color="auto" w:fill="DEEAF6"/>
          </w:tcPr>
          <w:p w14:paraId="47B9A3C4" w14:textId="77777777" w:rsidR="00F270FB" w:rsidRDefault="00F270FB">
            <w:pPr>
              <w:spacing w:after="0" w:line="252" w:lineRule="auto"/>
            </w:pPr>
          </w:p>
        </w:tc>
        <w:tc>
          <w:tcPr>
            <w:tcW w:w="3436" w:type="dxa"/>
            <w:shd w:val="clear" w:color="auto" w:fill="DEEAF6"/>
          </w:tcPr>
          <w:p w14:paraId="37CC7E94" w14:textId="77777777" w:rsidR="00F270FB" w:rsidRDefault="00000000">
            <w:pPr>
              <w:spacing w:after="0" w:line="252" w:lineRule="auto"/>
            </w:pPr>
            <w:r>
              <w:rPr>
                <w:b/>
                <w:sz w:val="21"/>
                <w:szCs w:val="21"/>
              </w:rPr>
              <w:t>Fourchette d'inflation</w:t>
            </w:r>
          </w:p>
        </w:tc>
        <w:tc>
          <w:tcPr>
            <w:tcW w:w="3436" w:type="dxa"/>
            <w:shd w:val="clear" w:color="auto" w:fill="DEEAF6"/>
          </w:tcPr>
          <w:p w14:paraId="3B20CE94" w14:textId="77777777" w:rsidR="00F270FB" w:rsidRDefault="00000000">
            <w:pPr>
              <w:spacing w:after="0" w:line="252" w:lineRule="auto"/>
            </w:pPr>
            <w:r>
              <w:rPr>
                <w:b/>
                <w:sz w:val="21"/>
                <w:szCs w:val="21"/>
              </w:rPr>
              <w:t>Cible d'inflation</w:t>
            </w:r>
          </w:p>
        </w:tc>
      </w:tr>
      <w:tr w:rsidR="00F270FB" w14:paraId="794392C8" w14:textId="77777777">
        <w:tc>
          <w:tcPr>
            <w:tcW w:w="2200" w:type="dxa"/>
            <w:shd w:val="clear" w:color="auto" w:fill="F2F7FC"/>
          </w:tcPr>
          <w:p w14:paraId="0199CB28" w14:textId="77777777" w:rsidR="00F270FB" w:rsidRDefault="00000000">
            <w:pPr>
              <w:spacing w:after="0" w:line="252" w:lineRule="auto"/>
            </w:pPr>
            <w:r>
              <w:rPr>
                <w:b/>
                <w:sz w:val="21"/>
                <w:szCs w:val="21"/>
              </w:rPr>
              <w:t>Définition</w:t>
            </w:r>
          </w:p>
        </w:tc>
        <w:tc>
          <w:tcPr>
            <w:tcW w:w="3436" w:type="dxa"/>
          </w:tcPr>
          <w:p w14:paraId="04136A44" w14:textId="77777777" w:rsidR="00F270FB" w:rsidRDefault="00000000">
            <w:pPr>
              <w:spacing w:after="0" w:line="252" w:lineRule="auto"/>
            </w:pPr>
            <w:r>
              <w:rPr>
                <w:sz w:val="21"/>
                <w:szCs w:val="21"/>
              </w:rPr>
              <w:t>La banque centrale recherche une inflation comprise entre deux taux.</w:t>
            </w:r>
          </w:p>
        </w:tc>
        <w:tc>
          <w:tcPr>
            <w:tcW w:w="3436" w:type="dxa"/>
          </w:tcPr>
          <w:p w14:paraId="77E07709" w14:textId="77777777" w:rsidR="00F270FB" w:rsidRDefault="00000000">
            <w:pPr>
              <w:spacing w:after="0" w:line="252" w:lineRule="auto"/>
            </w:pPr>
            <w:r>
              <w:rPr>
                <w:sz w:val="21"/>
                <w:szCs w:val="21"/>
              </w:rPr>
              <w:t>La banque centrale recherche un objectif précis d'inflation.</w:t>
            </w:r>
          </w:p>
        </w:tc>
      </w:tr>
      <w:tr w:rsidR="00F270FB" w14:paraId="0C5A8879" w14:textId="77777777">
        <w:tc>
          <w:tcPr>
            <w:tcW w:w="2200" w:type="dxa"/>
            <w:shd w:val="clear" w:color="auto" w:fill="F2F7FC"/>
          </w:tcPr>
          <w:p w14:paraId="30630A81" w14:textId="77777777" w:rsidR="00F270FB" w:rsidRDefault="00000000">
            <w:pPr>
              <w:spacing w:after="0" w:line="252" w:lineRule="auto"/>
            </w:pPr>
            <w:r>
              <w:rPr>
                <w:b/>
                <w:sz w:val="21"/>
                <w:szCs w:val="21"/>
              </w:rPr>
              <w:t>Exemple</w:t>
            </w:r>
          </w:p>
        </w:tc>
        <w:tc>
          <w:tcPr>
            <w:tcW w:w="3436" w:type="dxa"/>
          </w:tcPr>
          <w:p w14:paraId="6296B67A" w14:textId="77777777" w:rsidR="00F270FB" w:rsidRDefault="00000000">
            <w:pPr>
              <w:spacing w:after="0" w:line="252" w:lineRule="auto"/>
            </w:pPr>
            <w:r>
              <w:rPr>
                <w:sz w:val="21"/>
                <w:szCs w:val="21"/>
              </w:rPr>
              <w:t>Nouvelle-Zélande : inflation entre 1 % et 3 % par an.</w:t>
            </w:r>
          </w:p>
        </w:tc>
        <w:tc>
          <w:tcPr>
            <w:tcW w:w="3436" w:type="dxa"/>
          </w:tcPr>
          <w:p w14:paraId="4AE34854" w14:textId="77777777" w:rsidR="00F270FB" w:rsidRDefault="00000000">
            <w:pPr>
              <w:spacing w:after="0" w:line="252" w:lineRule="auto"/>
            </w:pPr>
            <w:r>
              <w:rPr>
                <w:sz w:val="21"/>
                <w:szCs w:val="21"/>
              </w:rPr>
              <w:t>BCE : inflation la plus proche possible de 2 %.</w:t>
            </w:r>
          </w:p>
        </w:tc>
      </w:tr>
      <w:tr w:rsidR="00F270FB" w14:paraId="6D44F3C3" w14:textId="77777777">
        <w:tc>
          <w:tcPr>
            <w:tcW w:w="2200" w:type="dxa"/>
            <w:shd w:val="clear" w:color="auto" w:fill="F2F7FC"/>
          </w:tcPr>
          <w:p w14:paraId="08324827" w14:textId="77777777" w:rsidR="00F270FB" w:rsidRDefault="00000000">
            <w:pPr>
              <w:spacing w:after="0" w:line="252" w:lineRule="auto"/>
            </w:pPr>
            <w:r>
              <w:rPr>
                <w:b/>
                <w:sz w:val="21"/>
                <w:szCs w:val="21"/>
              </w:rPr>
              <w:t>Avantages</w:t>
            </w:r>
          </w:p>
        </w:tc>
        <w:tc>
          <w:tcPr>
            <w:tcW w:w="3436" w:type="dxa"/>
          </w:tcPr>
          <w:p w14:paraId="0C06AA82" w14:textId="77777777" w:rsidR="00F270FB" w:rsidRDefault="00000000">
            <w:pPr>
              <w:spacing w:after="0" w:line="252" w:lineRule="auto"/>
            </w:pPr>
            <w:r>
              <w:rPr>
                <w:sz w:val="21"/>
                <w:szCs w:val="21"/>
              </w:rPr>
              <w:t>Plus de flexibilité : la banque centrale a droit à une petite marge d'erreur dans ses prévisions (si elle prévoit 2 % et obtient 2,5 %, elle reste dans l'objectif).</w:t>
            </w:r>
          </w:p>
        </w:tc>
        <w:tc>
          <w:tcPr>
            <w:tcW w:w="3436" w:type="dxa"/>
          </w:tcPr>
          <w:p w14:paraId="76C7E263" w14:textId="77777777" w:rsidR="00F270FB" w:rsidRDefault="00000000">
            <w:pPr>
              <w:spacing w:after="0" w:line="252" w:lineRule="auto"/>
            </w:pPr>
            <w:r>
              <w:rPr>
                <w:sz w:val="21"/>
                <w:szCs w:val="21"/>
              </w:rPr>
              <w:t>Signal plus précis pour les marchés : on sait clairement si l'objectif est atteint (réussite) ou non (échec).</w:t>
            </w:r>
          </w:p>
        </w:tc>
      </w:tr>
      <w:tr w:rsidR="00F270FB" w14:paraId="64D8CA9B" w14:textId="77777777">
        <w:tc>
          <w:tcPr>
            <w:tcW w:w="2200" w:type="dxa"/>
            <w:shd w:val="clear" w:color="auto" w:fill="F2F7FC"/>
          </w:tcPr>
          <w:p w14:paraId="09486D2A" w14:textId="77777777" w:rsidR="00F270FB" w:rsidRDefault="00000000">
            <w:pPr>
              <w:spacing w:after="0" w:line="252" w:lineRule="auto"/>
            </w:pPr>
            <w:r>
              <w:rPr>
                <w:b/>
                <w:sz w:val="21"/>
                <w:szCs w:val="21"/>
              </w:rPr>
              <w:t>Inconvénients</w:t>
            </w:r>
          </w:p>
        </w:tc>
        <w:tc>
          <w:tcPr>
            <w:tcW w:w="3436" w:type="dxa"/>
          </w:tcPr>
          <w:p w14:paraId="3A909855" w14:textId="77777777" w:rsidR="00F270FB" w:rsidRDefault="00000000">
            <w:pPr>
              <w:spacing w:after="0" w:line="252" w:lineRule="auto"/>
            </w:pPr>
            <w:r>
              <w:rPr>
                <w:sz w:val="21"/>
                <w:szCs w:val="21"/>
              </w:rPr>
              <w:t>Moins précis : signal moins clair pour les marchés (si l'inflation est de 3 %, visait-elle en réalité 2 % ?). Peut donner l'impression que les banquiers centraux sont moins responsables.</w:t>
            </w:r>
          </w:p>
        </w:tc>
        <w:tc>
          <w:tcPr>
            <w:tcW w:w="3436" w:type="dxa"/>
          </w:tcPr>
          <w:p w14:paraId="5830D7EF" w14:textId="77777777" w:rsidR="00F270FB" w:rsidRDefault="00000000">
            <w:pPr>
              <w:spacing w:after="0" w:line="252" w:lineRule="auto"/>
            </w:pPr>
            <w:r>
              <w:rPr>
                <w:sz w:val="21"/>
                <w:szCs w:val="21"/>
              </w:rPr>
              <w:t>Moins de flexibilité et plus de pression sur les banquiers centraux : pour rester crédible, il faut atteindre l'objectif, sans droit à l'erreur.</w:t>
            </w:r>
          </w:p>
        </w:tc>
      </w:tr>
    </w:tbl>
    <w:p w14:paraId="6BE193E4" w14:textId="77777777" w:rsidR="00F270FB" w:rsidRDefault="00F270FB">
      <w:pPr>
        <w:spacing w:after="0"/>
      </w:pPr>
    </w:p>
    <w:p w14:paraId="47F38E22" w14:textId="77777777" w:rsidR="00F270FB" w:rsidRDefault="00000000">
      <w:pPr>
        <w:pStyle w:val="Titre4"/>
      </w:pPr>
      <w:r>
        <w:t>b) Les objectifs de la BCE et de la Réserve fédérale</w:t>
      </w:r>
    </w:p>
    <w:p w14:paraId="65A09560" w14:textId="77777777" w:rsidR="00F270FB" w:rsidRDefault="00000000">
      <w:r>
        <w:rPr>
          <w:b/>
          <w:u w:val="single"/>
        </w:rPr>
        <w:t>La BCE</w:t>
      </w:r>
    </w:p>
    <w:p w14:paraId="5C8F7AB6" w14:textId="77777777" w:rsidR="00F270FB" w:rsidRDefault="00000000">
      <w:r>
        <w:t xml:space="preserve">Les objectifs de la BCE sont donnés dans le </w:t>
      </w:r>
      <w:r>
        <w:rPr>
          <w:b/>
        </w:rPr>
        <w:t>traité de Maastricht</w:t>
      </w:r>
      <w:r>
        <w:t xml:space="preserve"> :</w:t>
      </w:r>
    </w:p>
    <w:p w14:paraId="0763751B" w14:textId="77777777" w:rsidR="00F270FB" w:rsidRDefault="00000000">
      <w:pPr>
        <w:ind w:left="567" w:right="567"/>
        <w:jc w:val="both"/>
      </w:pPr>
      <w:r>
        <w:rPr>
          <w:i/>
        </w:rPr>
        <w:t>« L'objectif principal du Système européen de banques centrales est de maintenir la stabilité des prix. Sans préjudice de l'objectif de stabilité des prix, il apporte son soutien aux politiques économiques générales dans la Communauté. »</w:t>
      </w:r>
    </w:p>
    <w:p w14:paraId="0D90503F" w14:textId="77777777" w:rsidR="00F270FB" w:rsidRDefault="00000000">
      <w:pPr>
        <w:numPr>
          <w:ilvl w:val="0"/>
          <w:numId w:val="24"/>
        </w:numPr>
      </w:pPr>
      <w:r>
        <w:rPr>
          <w:b/>
        </w:rPr>
        <w:t>Objectif principal : la stabilité des prix.</w:t>
      </w:r>
    </w:p>
    <w:p w14:paraId="746346A4" w14:textId="77777777" w:rsidR="00F270FB" w:rsidRDefault="00000000">
      <w:pPr>
        <w:numPr>
          <w:ilvl w:val="0"/>
          <w:numId w:val="24"/>
        </w:numPr>
      </w:pPr>
      <w:r>
        <w:t xml:space="preserve">« Sans préjudice de l'objectif de stabilité des prix » signifie : si cela n'empêche pas d'atteindre la stabilité des prix. Une fois cet objectif atteint, la BCE peut donc poursuivre des </w:t>
      </w:r>
      <w:r>
        <w:rPr>
          <w:b/>
        </w:rPr>
        <w:t>objectifs secondaires</w:t>
      </w:r>
      <w:r>
        <w:t>.</w:t>
      </w:r>
    </w:p>
    <w:p w14:paraId="1F9A05E7" w14:textId="77777777" w:rsidR="00F270FB" w:rsidRDefault="00000000">
      <w:r>
        <w:t xml:space="preserve">C'est la BCE elle-même qui a défini ce qu'elle appelle </w:t>
      </w:r>
      <w:r>
        <w:rPr>
          <w:b/>
        </w:rPr>
        <w:t>stabilité des prix</w:t>
      </w:r>
      <w:r>
        <w:t xml:space="preserve"> :</w:t>
      </w:r>
    </w:p>
    <w:p w14:paraId="72E14036" w14:textId="77777777" w:rsidR="00F270FB" w:rsidRDefault="00000000">
      <w:pPr>
        <w:numPr>
          <w:ilvl w:val="0"/>
          <w:numId w:val="24"/>
        </w:numPr>
      </w:pPr>
      <w:r>
        <w:rPr>
          <w:b/>
        </w:rPr>
        <w:t>De 1998 à 2021</w:t>
      </w:r>
      <w:r>
        <w:t xml:space="preserve"> : une inflation </w:t>
      </w:r>
      <w:r>
        <w:rPr>
          <w:b/>
        </w:rPr>
        <w:t>proche mais inférieure à 2 %</w:t>
      </w:r>
      <w:r>
        <w:t>.</w:t>
      </w:r>
    </w:p>
    <w:p w14:paraId="46695AE4" w14:textId="77777777" w:rsidR="00F270FB" w:rsidRDefault="00000000">
      <w:pPr>
        <w:numPr>
          <w:ilvl w:val="0"/>
          <w:numId w:val="24"/>
        </w:numPr>
      </w:pPr>
      <w:r>
        <w:rPr>
          <w:b/>
        </w:rPr>
        <w:t>Depuis 2021</w:t>
      </w:r>
      <w:r>
        <w:t xml:space="preserve"> : une inflation </w:t>
      </w:r>
      <w:r>
        <w:rPr>
          <w:b/>
        </w:rPr>
        <w:t>symétrique de 2 % à moyen terme</w:t>
      </w:r>
      <w:r>
        <w:t>. Symétrique veut dire que l'inflation peut être un peu au-dessus ou un peu en dessous : l'objectif est autant atteint avec 1,9 % qu'avec 2,1 %. Avant 2021, il fallait forcément être en dessous de 2 %.</w:t>
      </w:r>
    </w:p>
    <w:p w14:paraId="52D0BFA8" w14:textId="77777777" w:rsidR="00F270FB" w:rsidRDefault="00000000">
      <w:pPr>
        <w:numPr>
          <w:ilvl w:val="0"/>
          <w:numId w:val="24"/>
        </w:numPr>
      </w:pPr>
      <w:r>
        <w:lastRenderedPageBreak/>
        <w:t>Le taux d'inflation retenu par la BCE est l'</w:t>
      </w:r>
      <w:r>
        <w:rPr>
          <w:b/>
        </w:rPr>
        <w:t>IPCH</w:t>
      </w:r>
      <w:r>
        <w:t xml:space="preserve"> (</w:t>
      </w:r>
      <w:r>
        <w:rPr>
          <w:b/>
        </w:rPr>
        <w:t>indice des prix à la consommation harmonisé</w:t>
      </w:r>
      <w:r>
        <w:t xml:space="preserve">), calculé par </w:t>
      </w:r>
      <w:r>
        <w:rPr>
          <w:b/>
        </w:rPr>
        <w:t>Eurostat</w:t>
      </w:r>
      <w:r>
        <w:t xml:space="preserve"> (l'organisme européen de statistiques, l'équivalent européen de l'INSEE).</w:t>
      </w:r>
    </w:p>
    <w:p w14:paraId="2D558046" w14:textId="77777777" w:rsidR="00F270FB" w:rsidRDefault="00000000">
      <w:r>
        <w:rPr>
          <w:b/>
        </w:rPr>
        <w:t>Objectifs secondaires</w:t>
      </w:r>
      <w:r>
        <w:t xml:space="preserve"> (recherchés seulement si l'inflation est autour de 2 %) : un </w:t>
      </w:r>
      <w:r>
        <w:rPr>
          <w:b/>
        </w:rPr>
        <w:t>taux de croissance élevé</w:t>
      </w:r>
      <w:r>
        <w:t xml:space="preserve">, un </w:t>
      </w:r>
      <w:r>
        <w:rPr>
          <w:b/>
        </w:rPr>
        <w:t>taux d'emploi élevé</w:t>
      </w:r>
      <w:r>
        <w:t xml:space="preserve"> et favoriser la </w:t>
      </w:r>
      <w:r>
        <w:rPr>
          <w:b/>
        </w:rPr>
        <w:t>transition écologique</w:t>
      </w:r>
      <w:r>
        <w:t>.</w:t>
      </w:r>
    </w:p>
    <w:p w14:paraId="4426DB04" w14:textId="77777777" w:rsidR="00F270FB" w:rsidRDefault="00000000">
      <w:r>
        <w:rPr>
          <w:b/>
          <w:u w:val="single"/>
        </w:rPr>
        <w:t>La Réserve fédérale (Fed)</w:t>
      </w:r>
      <w:r>
        <w:t>, la banque centrale des États-Unis (la plus importante au monde)</w:t>
      </w:r>
    </w:p>
    <w:p w14:paraId="21ACFD46" w14:textId="77777777" w:rsidR="00F270FB" w:rsidRDefault="00000000">
      <w:r>
        <w:t xml:space="preserve">Ses objectifs sont fixés par une loi de </w:t>
      </w:r>
      <w:r>
        <w:rPr>
          <w:b/>
        </w:rPr>
        <w:t>1978</w:t>
      </w:r>
      <w:r>
        <w:t xml:space="preserve">, le </w:t>
      </w:r>
      <w:r>
        <w:rPr>
          <w:b/>
        </w:rPr>
        <w:t xml:space="preserve">Humphrey-Hawkins Act</w:t>
      </w:r>
      <w:r>
        <w:t xml:space="preserve">. Elle a </w:t>
      </w:r>
      <w:r>
        <w:rPr>
          <w:b/>
        </w:rPr>
        <w:t>trois objectifs sur un pied d'égalité</w:t>
      </w:r>
      <w:r>
        <w:t xml:space="preserve"> (aucun n'est prioritaire) :</w:t>
      </w:r>
    </w:p>
    <w:p w14:paraId="047D3196" w14:textId="77777777" w:rsidR="00F270FB" w:rsidRDefault="00000000">
      <w:pPr>
        <w:numPr>
          <w:ilvl w:val="0"/>
          <w:numId w:val="24"/>
        </w:numPr>
      </w:pPr>
      <w:r>
        <w:t xml:space="preserve">un </w:t>
      </w:r>
      <w:r>
        <w:rPr>
          <w:b/>
        </w:rPr>
        <w:t>taux d'emploi maximum soutenable</w:t>
      </w:r>
      <w:r>
        <w:t xml:space="preserve"> (le plus élevé possible) ;</w:t>
      </w:r>
    </w:p>
    <w:p w14:paraId="51E40216" w14:textId="77777777" w:rsidR="00F270FB" w:rsidRDefault="00000000">
      <w:pPr>
        <w:numPr>
          <w:ilvl w:val="0"/>
          <w:numId w:val="24"/>
        </w:numPr>
      </w:pPr>
      <w:r>
        <w:t xml:space="preserve">la </w:t>
      </w:r>
      <w:r>
        <w:rPr>
          <w:b/>
        </w:rPr>
        <w:t>stabilité des prix</w:t>
      </w:r>
      <w:r>
        <w:t xml:space="preserve"> : la Fed a décidé que cela voulait dire une inflation de </w:t>
      </w:r>
      <w:r>
        <w:rPr>
          <w:b/>
        </w:rPr>
        <w:t>2 % par an</w:t>
      </w:r>
      <w:r>
        <w:t xml:space="preserve"> ;</w:t>
      </w:r>
    </w:p>
    <w:p w14:paraId="3330E17B" w14:textId="77777777" w:rsidR="00F270FB" w:rsidRDefault="00000000">
      <w:pPr>
        <w:numPr>
          <w:ilvl w:val="0"/>
          <w:numId w:val="24"/>
        </w:numPr>
      </w:pPr>
      <w:r>
        <w:t xml:space="preserve">des </w:t>
      </w:r>
      <w:r>
        <w:rPr>
          <w:b/>
        </w:rPr>
        <w:t>taux d'intérêt à long terme les plus bas possible</w:t>
      </w:r>
      <w:r>
        <w:t xml:space="preserve"> pour les emprunteurs.</w:t>
      </w:r>
    </w:p>
    <w:p w14:paraId="7546FD34" w14:textId="77777777" w:rsidR="00F270FB" w:rsidRDefault="00000000">
      <w:pPr>
        <w:pStyle w:val="Titre3"/>
      </w:pPr>
      <w:bookmarkStart w:id="38" w:name="_Toc243123161"/>
      <w:r>
        <w:t>2°) Les deux piliers de la BCE pour anticiper le niveau d'inflation</w:t>
      </w:r>
      <w:bookmarkEnd w:id="38"/>
    </w:p>
    <w:p w14:paraId="3F6CA5B5" w14:textId="77777777" w:rsidR="00F270FB" w:rsidRDefault="00000000">
      <w:r>
        <w:t xml:space="preserve">Pour décider de sa politique monétaire, la BCE essaie de </w:t>
      </w:r>
      <w:r>
        <w:rPr>
          <w:b/>
        </w:rPr>
        <w:t>prévoir l'inflation</w:t>
      </w:r>
      <w:r>
        <w:t xml:space="preserve"> :</w:t>
      </w:r>
    </w:p>
    <w:p w14:paraId="461DE74C" w14:textId="77777777" w:rsidR="00F270FB" w:rsidRDefault="00000000">
      <w:pPr>
        <w:numPr>
          <w:ilvl w:val="0"/>
          <w:numId w:val="24"/>
        </w:numPr>
      </w:pPr>
      <w:r>
        <w:t xml:space="preserve">si elle pense que l'inflation va être </w:t>
      </w:r>
      <w:r>
        <w:rPr>
          <w:b/>
        </w:rPr>
        <w:t>élevée</w:t>
      </w:r>
      <w:r>
        <w:t xml:space="preserve">, elle mène une politique monétaire plutôt </w:t>
      </w:r>
      <w:r>
        <w:rPr>
          <w:b/>
        </w:rPr>
        <w:t>dure</w:t>
      </w:r>
      <w:r>
        <w:t xml:space="preserve"> (restrictive) ;</w:t>
      </w:r>
    </w:p>
    <w:p w14:paraId="043F2096" w14:textId="77777777" w:rsidR="00F270FB" w:rsidRDefault="00000000">
      <w:pPr>
        <w:numPr>
          <w:ilvl w:val="0"/>
          <w:numId w:val="24"/>
        </w:numPr>
      </w:pPr>
      <w:r>
        <w:t xml:space="preserve">si elle pense que l'inflation va être </w:t>
      </w:r>
      <w:r>
        <w:rPr>
          <w:b/>
        </w:rPr>
        <w:t>basse</w:t>
      </w:r>
      <w:r>
        <w:t xml:space="preserve">, elle mène une politique monétaire plutôt </w:t>
      </w:r>
      <w:r>
        <w:rPr>
          <w:b/>
        </w:rPr>
        <w:t>souple</w:t>
      </w:r>
      <w:r>
        <w:t>.</w:t>
      </w:r>
    </w:p>
    <w:p w14:paraId="04D1C308" w14:textId="77777777" w:rsidR="00F270FB" w:rsidRDefault="00000000">
      <w:r>
        <w:t xml:space="preserve">Pour prévoir l'inflation, elle utilise </w:t>
      </w:r>
      <w:r>
        <w:rPr>
          <w:b/>
        </w:rPr>
        <w:t>deux piliers</w:t>
      </w:r>
      <w:r>
        <w:t xml:space="preserve"> : le pilier monétaire et le pilier économique.</w:t>
      </w:r>
    </w:p>
    <w:p w14:paraId="7E33C7A5" w14:textId="77777777" w:rsidR="00F270FB" w:rsidRDefault="00000000">
      <w:pPr>
        <w:pStyle w:val="Titre4"/>
      </w:pPr>
      <w:r>
        <w:t>a) Le pilier monétaire</w:t>
      </w:r>
    </w:p>
    <w:p w14:paraId="237EF88F" w14:textId="77777777" w:rsidR="00F270FB" w:rsidRDefault="00000000">
      <w:r>
        <w:t xml:space="preserve">Le pilier monétaire consiste à </w:t>
      </w:r>
      <w:r>
        <w:rPr>
          <w:b/>
        </w:rPr>
        <w:t>prévoir la quantité de monnaie</w:t>
      </w:r>
      <w:r>
        <w:t xml:space="preserve"> (la masse monétaire) qui va circuler dans l'économie, car </w:t>
      </w:r>
      <w:r>
        <w:rPr>
          <w:b/>
        </w:rPr>
        <w:t>plus il y a de monnaie qui circule, plus il y a d'inflation</w:t>
      </w:r>
      <w:r>
        <w:t>.</w:t>
      </w:r>
    </w:p>
    <w:p w14:paraId="591243EA" w14:textId="77777777" w:rsidR="00F270FB" w:rsidRDefault="00000000">
      <w:r>
        <w:t>Il consiste à appliquer l'</w:t>
      </w:r>
      <w:r>
        <w:rPr>
          <w:b/>
        </w:rPr>
        <w:t>équation quantitative de la monnaie</w:t>
      </w:r>
      <w:r>
        <w:t xml:space="preserve">, une théorie de l'économiste </w:t>
      </w:r>
      <w:r>
        <w:rPr>
          <w:b/>
        </w:rPr>
        <w:t>Irving Fisher (1911)</w:t>
      </w:r>
      <w:r>
        <w:t>. Elle montre que plus il y a de monnaie dans une économie, plus il y aura d'inflation. Formule à connaître :</w:t>
      </w:r>
    </w:p>
    <w:p w14:paraId="2CC44A2A" w14:textId="77777777" w:rsidR="00F270FB" w:rsidRDefault="00000000">
      <w:pPr>
        <w:jc w:val="center"/>
      </w:pPr>
      <w:r>
        <w:rPr>
          <w:b/>
          <w:color w:val="1F3864"/>
          <w:sz w:val="28"/>
          <w:szCs w:val="28"/>
        </w:rPr>
        <w:t>MV = PT    soit, en variations :    ΔM + ΔV = ΔP + ΔT</w:t>
      </w:r>
    </w:p>
    <w:p w14:paraId="015E0527" w14:textId="77777777" w:rsidR="00F270FB" w:rsidRDefault="00000000">
      <w:pPr>
        <w:numPr>
          <w:ilvl w:val="0"/>
          <w:numId w:val="24"/>
        </w:numPr>
      </w:pPr>
      <w:r>
        <w:rPr>
          <w:b/>
        </w:rPr>
        <w:t>M = la masse monétaire</w:t>
      </w:r>
      <w:r>
        <w:t xml:space="preserve"> : la quantité de monnaie qui circule dans l'économie. </w:t>
      </w:r>
      <w:r>
        <w:rPr>
          <w:b/>
        </w:rPr>
        <w:t>ΔM</w:t>
      </w:r>
      <w:r>
        <w:t xml:space="preserve"> = son taux de croissance sur un an. Exemple : si l'on passe de 100 000 € à 101 000 € dans l'économie, M augmente de 1 %.</w:t>
      </w:r>
    </w:p>
    <w:p w14:paraId="0EF85F1F" w14:textId="77777777" w:rsidR="00F270FB" w:rsidRDefault="00000000">
      <w:pPr>
        <w:numPr>
          <w:ilvl w:val="0"/>
          <w:numId w:val="24"/>
        </w:numPr>
      </w:pPr>
      <w:r>
        <w:rPr>
          <w:b/>
        </w:rPr>
        <w:lastRenderedPageBreak/>
        <w:t>V = la vitesse de circulation de la monnaie</w:t>
      </w:r>
      <w:r>
        <w:t xml:space="preserve"> : on prend une unité monétaire (une pièce, un billet, ou un euro sur un compte en banque) et on regarde dans combien de mains différentes elle passe en un an. Exemple : si mon billet de 10 € passe dans 10 mains différentes dans l'année, V = 10. </w:t>
      </w:r>
      <w:r>
        <w:rPr>
          <w:b/>
        </w:rPr>
        <w:t>ΔV</w:t>
      </w:r>
      <w:r>
        <w:t xml:space="preserve"> = son taux de variation (si le billet passe de 100 à 101 transactions, V augmente de 1 %).</w:t>
      </w:r>
    </w:p>
    <w:p w14:paraId="6965D358" w14:textId="77777777" w:rsidR="00F270FB" w:rsidRDefault="00000000">
      <w:pPr>
        <w:numPr>
          <w:ilvl w:val="1"/>
          <w:numId w:val="24"/>
        </w:numPr>
      </w:pPr>
      <w:r>
        <w:t xml:space="preserve">Cela marche aussi pour la </w:t>
      </w:r>
      <w:r>
        <w:rPr>
          <w:b/>
        </w:rPr>
        <w:t>monnaie scripturale</w:t>
      </w:r>
      <w:r>
        <w:t xml:space="preserve"> (la monnaie inscrite sur les comptes bancaires) : on regarde sur combien de comptes différents passe un euro. Si je paie 100 € par carte bancaire à un commerçant, l'argent est passé par deux comptes différents.</w:t>
      </w:r>
    </w:p>
    <w:p w14:paraId="0269CD52" w14:textId="77777777" w:rsidR="00F270FB" w:rsidRDefault="00000000">
      <w:pPr>
        <w:numPr>
          <w:ilvl w:val="0"/>
          <w:numId w:val="24"/>
        </w:numPr>
      </w:pPr>
      <w:r>
        <w:rPr>
          <w:b/>
        </w:rPr>
        <w:t>ΔP = le taux d'inflation.</w:t>
      </w:r>
    </w:p>
    <w:p w14:paraId="2FF685B4" w14:textId="77777777" w:rsidR="00F270FB" w:rsidRDefault="00000000">
      <w:pPr>
        <w:numPr>
          <w:ilvl w:val="0"/>
          <w:numId w:val="24"/>
        </w:numPr>
      </w:pPr>
      <w:r>
        <w:rPr>
          <w:b/>
        </w:rPr>
        <w:t>ΔT = le taux de croissance de l'économie.</w:t>
      </w:r>
    </w:p>
    <w:p w14:paraId="1F7405BD" w14:textId="77777777" w:rsidR="00F270FB" w:rsidRDefault="00000000">
      <w:pPr>
        <w:keepNext/>
        <w:spacing w:before="120" w:after="40"/>
        <w:jc w:val="center"/>
      </w:pPr>
      <w:r>
        <w:rPr>
          <w:noProof/>
        </w:rPr>
        <w:drawing>
          <wp:inline distT="0" distB="0" distL="0" distR="0" wp14:anchorId="1209CD89" wp14:editId="1D1EC5C8">
            <wp:extent cx="3960000" cy="1966023"/>
            <wp:effectExtent l="0" t="0" r="0" b="0"/>
            <wp:docPr id="7003" name="Illustration 7003" descr="Les agrégats monétaires M1, M2 et M3 : différentes mesures de la masse monétaire, de la plus étroite (pièces, billets, dépôts à vue) à la plus large (diapo 16, non détaillée en c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slide_c3_16.png"/>
                    <pic:cNvPicPr/>
                  </pic:nvPicPr>
                  <pic:blipFill>
                    <a:blip r:embed="rId89"/>
                    <a:stretch>
                      <a:fillRect/>
                    </a:stretch>
                  </pic:blipFill>
                  <pic:spPr>
                    <a:xfrm>
                      <a:off x="0" y="0"/>
                      <a:ext cx="3960000" cy="1966023"/>
                    </a:xfrm>
                    <a:prstGeom prst="rect">
                      <a:avLst/>
                    </a:prstGeom>
                    <a:ln w="6350">
                      <a:solidFill>
                        <a:srgbClr val="BFBFBF"/>
                      </a:solidFill>
                    </a:ln>
                  </pic:spPr>
                </pic:pic>
              </a:graphicData>
            </a:graphic>
          </wp:inline>
        </w:drawing>
      </w:r>
    </w:p>
    <w:p w14:paraId="410CE8BF" w14:textId="77777777" w:rsidR="00F270FB" w:rsidRDefault="00000000">
      <w:pPr>
        <w:spacing w:after="200"/>
        <w:jc w:val="center"/>
      </w:pPr>
      <w:r>
        <w:rPr>
          <w:i/>
          <w:color w:val="6B6B6B"/>
          <w:sz w:val="19"/>
          <w:szCs w:val="19"/>
        </w:rPr>
        <w:t>Les agrégats monétaires M1, M2 et M3 : différentes mesures de la masse monétaire, de la plus étroite (pièces, billets, dépôts à vue) à la plus large (diapo 16, non détaillée en cours).</w:t>
      </w:r>
    </w:p>
    <w:p w14:paraId="2749ACFF" w14:textId="77777777" w:rsidR="00F270FB" w:rsidRDefault="00000000">
      <w:r>
        <w:t xml:space="preserve">Cette équation montre que </w:t>
      </w:r>
      <w:r>
        <w:rPr>
          <w:b/>
        </w:rPr>
        <w:t>quand la quantité de monnaie varie, cela a un effet sur le taux d'inflation et sur le taux de croissance</w:t>
      </w:r>
      <w:r>
        <w:t>. La banque centrale cherche donc à faire augmenter M plus ou moins vite pour obtenir une inflation de 2 %.</w:t>
      </w:r>
    </w:p>
    <w:p w14:paraId="507E82A9" w14:textId="77777777" w:rsidR="00F270FB" w:rsidRDefault="00000000">
      <w:r>
        <w:rPr>
          <w:b/>
          <w:u w:val="single"/>
        </w:rPr>
        <w:t>Application par la BCE à ses débuts :</w:t>
      </w:r>
    </w:p>
    <w:p w14:paraId="206766F0" w14:textId="77777777" w:rsidR="00F270FB" w:rsidRDefault="00000000">
      <w:pPr>
        <w:numPr>
          <w:ilvl w:val="0"/>
          <w:numId w:val="24"/>
        </w:numPr>
      </w:pPr>
      <w:r>
        <w:t xml:space="preserve">croissance prévue : </w:t>
      </w:r>
      <w:r>
        <w:rPr>
          <w:b/>
        </w:rPr>
        <w:t>ΔT ≈ 2 % par an</w:t>
      </w:r>
      <w:r>
        <w:t xml:space="preserve"> (la moyenne de l'époque) ;</w:t>
      </w:r>
    </w:p>
    <w:p w14:paraId="39E4BAFD" w14:textId="77777777" w:rsidR="00F270FB" w:rsidRDefault="00000000">
      <w:pPr>
        <w:numPr>
          <w:ilvl w:val="0"/>
          <w:numId w:val="24"/>
        </w:numPr>
      </w:pPr>
      <w:r>
        <w:t xml:space="preserve">vitesse de circulation : elle </w:t>
      </w:r>
      <w:r>
        <w:rPr>
          <w:b/>
        </w:rPr>
        <w:t>ralentissait très légèrement</w:t>
      </w:r>
      <w:r>
        <w:t xml:space="preserve"> chaque année : </w:t>
      </w:r>
      <w:r>
        <w:rPr>
          <w:b/>
        </w:rPr>
        <w:t>ΔV = −0,5 %</w:t>
      </w:r>
      <w:r>
        <w:t xml:space="preserve"> ;</w:t>
      </w:r>
    </w:p>
    <w:p w14:paraId="16E63F6C" w14:textId="77777777" w:rsidR="00F270FB" w:rsidRDefault="00000000">
      <w:pPr>
        <w:numPr>
          <w:ilvl w:val="0"/>
          <w:numId w:val="24"/>
        </w:numPr>
      </w:pPr>
      <w:r>
        <w:t xml:space="preserve">inflation visée : </w:t>
      </w:r>
      <w:r>
        <w:rPr>
          <w:b/>
        </w:rPr>
        <w:t>ΔP = 2 %</w:t>
      </w:r>
      <w:r>
        <w:t>.</w:t>
      </w:r>
    </w:p>
    <w:p w14:paraId="1A1BDEF7" w14:textId="77777777" w:rsidR="00F270FB" w:rsidRDefault="00000000">
      <w:pPr>
        <w:numPr>
          <w:ilvl w:val="0"/>
          <w:numId w:val="24"/>
        </w:numPr>
      </w:pPr>
      <w:r>
        <w:t xml:space="preserve">En appliquant la formule, il fallait donc que la </w:t>
      </w:r>
      <w:r>
        <w:rPr>
          <w:b/>
        </w:rPr>
        <w:t>masse monétaire augmente de 4,5 % par an</w:t>
      </w:r>
      <w:r>
        <w:t xml:space="preserve"> : ΔM = ΔP + ΔT − ΔV = 2 % + 2 % + 0,5 % = 4,5 %.</w:t>
      </w:r>
    </w:p>
    <w:p w14:paraId="3A455D35" w14:textId="77777777" w:rsidR="00F270FB" w:rsidRDefault="00000000">
      <w:pPr>
        <w:keepNext/>
        <w:spacing w:before="120" w:after="40"/>
        <w:jc w:val="center"/>
      </w:pPr>
      <w:r>
        <w:rPr>
          <w:noProof/>
        </w:rPr>
        <w:lastRenderedPageBreak/>
        <w:drawing>
          <wp:inline distT="0" distB="0" distL="0" distR="0" wp14:anchorId="4096484C" wp14:editId="60605FC1">
            <wp:extent cx="4680000" cy="2388247"/>
            <wp:effectExtent l="0" t="0" r="0" b="0"/>
            <wp:docPr id="7004" name="Illustration 7004" descr="Le pilier monétaire et le calcul de la BCE (dia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slide_c3_17.png"/>
                    <pic:cNvPicPr/>
                  </pic:nvPicPr>
                  <pic:blipFill>
                    <a:blip r:embed="rId90"/>
                    <a:stretch>
                      <a:fillRect/>
                    </a:stretch>
                  </pic:blipFill>
                  <pic:spPr>
                    <a:xfrm>
                      <a:off x="0" y="0"/>
                      <a:ext cx="4680000" cy="2388247"/>
                    </a:xfrm>
                    <a:prstGeom prst="rect">
                      <a:avLst/>
                    </a:prstGeom>
                    <a:ln w="6350">
                      <a:solidFill>
                        <a:srgbClr val="BFBFBF"/>
                      </a:solidFill>
                    </a:ln>
                  </pic:spPr>
                </pic:pic>
              </a:graphicData>
            </a:graphic>
          </wp:inline>
        </w:drawing>
      </w:r>
    </w:p>
    <w:p w14:paraId="12158BEE" w14:textId="77777777" w:rsidR="00F270FB" w:rsidRDefault="00000000">
      <w:pPr>
        <w:spacing w:after="200"/>
        <w:jc w:val="center"/>
      </w:pPr>
      <w:r>
        <w:rPr>
          <w:i/>
          <w:color w:val="6B6B6B"/>
          <w:sz w:val="19"/>
          <w:szCs w:val="19"/>
        </w:rPr>
        <w:t>Le pilier monétaire et le calcul de la BCE (diapo 17).</w:t>
      </w:r>
    </w:p>
    <w:p w14:paraId="5FA5DC7C" w14:textId="77777777" w:rsidR="00F270FB" w:rsidRDefault="00000000">
      <w:r>
        <w:t xml:space="preserve">Les premières années, la BCE se basait </w:t>
      </w:r>
      <w:r>
        <w:rPr>
          <w:b/>
        </w:rPr>
        <w:t>principalement sur ce pilier monétaire</w:t>
      </w:r>
      <w:r>
        <w:t xml:space="preserve">. Mais vers </w:t>
      </w:r>
      <w:r>
        <w:rPr>
          <w:b/>
        </w:rPr>
        <w:t>2003</w:t>
      </w:r>
      <w:r>
        <w:t xml:space="preserve">, on s'est rendu compte que la théorie fonctionnait, mais </w:t>
      </w:r>
      <w:r>
        <w:rPr>
          <w:b/>
        </w:rPr>
        <w:t>pas aussi précisément</w:t>
      </w:r>
      <w:r>
        <w:t xml:space="preserve"> que prévu. La BCE s'est alors mise à donner plus de poids au deuxième pilier.</w:t>
      </w:r>
    </w:p>
    <w:p w14:paraId="790875A2" w14:textId="77777777" w:rsidR="00F270FB" w:rsidRDefault="00000000">
      <w:pPr>
        <w:pStyle w:val="Titre4"/>
      </w:pPr>
      <w:r>
        <w:t>b) Le pilier économique</w:t>
      </w:r>
    </w:p>
    <w:p w14:paraId="5495B9F7" w14:textId="77777777" w:rsidR="00F270FB" w:rsidRDefault="00000000">
      <w:r>
        <w:t xml:space="preserve">Le pilier économique consiste pour la BCE à réaliser des </w:t>
      </w:r>
      <w:r>
        <w:rPr>
          <w:b/>
        </w:rPr>
        <w:t>études de conjoncture</w:t>
      </w:r>
      <w:r>
        <w:t xml:space="preserve"> : elle construit des </w:t>
      </w:r>
      <w:r>
        <w:rPr>
          <w:b/>
        </w:rPr>
        <w:t>modèles mathématiques</w:t>
      </w:r>
      <w:r>
        <w:t xml:space="preserve"> pour évaluer différents indicateurs qui agissent aussi sur l'inflation :</w:t>
      </w:r>
    </w:p>
    <w:p w14:paraId="0F0C2B26" w14:textId="77777777" w:rsidR="00F270FB" w:rsidRDefault="00000000">
      <w:pPr>
        <w:numPr>
          <w:ilvl w:val="0"/>
          <w:numId w:val="24"/>
        </w:numPr>
      </w:pPr>
      <w:r>
        <w:t xml:space="preserve">le </w:t>
      </w:r>
      <w:r>
        <w:rPr>
          <w:b/>
        </w:rPr>
        <w:t>taux de croissance</w:t>
      </w:r>
      <w:r>
        <w:t xml:space="preserve"> (du pays et du monde) ;</w:t>
      </w:r>
    </w:p>
    <w:p w14:paraId="60E0124A" w14:textId="77777777" w:rsidR="00F270FB" w:rsidRDefault="00000000">
      <w:pPr>
        <w:numPr>
          <w:ilvl w:val="0"/>
          <w:numId w:val="24"/>
        </w:numPr>
      </w:pPr>
      <w:r>
        <w:t xml:space="preserve">le </w:t>
      </w:r>
      <w:r>
        <w:rPr>
          <w:b/>
        </w:rPr>
        <w:t>prix des matières premières</w:t>
      </w:r>
      <w:r>
        <w:t xml:space="preserve"> (offre et demande) ;</w:t>
      </w:r>
    </w:p>
    <w:p w14:paraId="0F2A97A6" w14:textId="77777777" w:rsidR="00F270FB" w:rsidRDefault="00000000">
      <w:pPr>
        <w:numPr>
          <w:ilvl w:val="0"/>
          <w:numId w:val="24"/>
        </w:numPr>
      </w:pPr>
      <w:r>
        <w:t xml:space="preserve">le </w:t>
      </w:r>
      <w:r>
        <w:rPr>
          <w:b/>
        </w:rPr>
        <w:t>marché du travail</w:t>
      </w:r>
      <w:r>
        <w:t xml:space="preserve"> (le chômage monte-t-il ou baisse-t-il ?) ;</w:t>
      </w:r>
    </w:p>
    <w:p w14:paraId="70086AF5" w14:textId="77777777" w:rsidR="00F270FB" w:rsidRDefault="00000000">
      <w:pPr>
        <w:numPr>
          <w:ilvl w:val="0"/>
          <w:numId w:val="24"/>
        </w:numPr>
      </w:pPr>
      <w:r>
        <w:t xml:space="preserve">le </w:t>
      </w:r>
      <w:r>
        <w:rPr>
          <w:b/>
        </w:rPr>
        <w:t>degré de confiance des agents</w:t>
      </w:r>
      <w:r>
        <w:t xml:space="preserve"> (sont-ils confiants dans l'avenir ou non ?).</w:t>
      </w:r>
    </w:p>
    <w:p w14:paraId="0DFC26ED" w14:textId="77777777" w:rsidR="00F270FB" w:rsidRDefault="00000000">
      <w:r>
        <w:t xml:space="preserve">La BCE </w:t>
      </w:r>
      <w:r>
        <w:rPr>
          <w:b/>
        </w:rPr>
        <w:t>ne dit pas exactement</w:t>
      </w:r>
      <w:r>
        <w:t xml:space="preserve"> quels indicateurs elle regarde ni comment elle les utilise pour prévoir l'inflation : elle reste volontairement floue. C'est </w:t>
      </w:r>
      <w:r>
        <w:rPr>
          <w:b/>
        </w:rPr>
        <w:t>peu transparent</w:t>
      </w:r>
      <w:r>
        <w:t>.</w:t>
      </w:r>
    </w:p>
    <w:p w14:paraId="1D6E178F" w14:textId="77777777" w:rsidR="00F270FB" w:rsidRDefault="00000000">
      <w:r>
        <w:rPr>
          <w:i/>
          <w:color w:val="6B6B6B"/>
        </w:rPr>
        <w:t>Suite au prochain cours : 3°) La transparence des banques centrales.</w:t>
      </w:r>
    </w:p>
    <w:p w14:paraId="2E36D2EB" w14:textId="77777777" w:rsidR="00F270FB" w:rsidRDefault="00000000">
      <w:pPr>
        <w:pStyle w:val="Titre1"/>
      </w:pPr>
      <w:bookmarkStart w:id="100" w:name="_Toc2431232100"/>
      <w:r>
        <w:t xml:space="preserve">Chapitre 4 : Les instruments de la politique monétaire : politique monétaire traditionnelle et politiques non conventionnelles</w:t>
      </w:r>
      <w:bookmarkEnd w:id="100"/>
    </w:p>
    <w:p w14:paraId="36D27CFE" w14:textId="77777777" w:rsidR="00F270FB" w:rsidRDefault="00000000">
      <w:pPr>
        <w:pStyle w:val="Titre2"/>
      </w:pPr>
      <w:bookmarkStart w:id="101" w:name="_Toc2431232101"/>
      <w:r>
        <w:t xml:space="preserve">Introduction</w:t>
      </w:r>
      <w:bookmarkEnd w:id="101"/>
    </w:p>
    <w:p w14:paraId="1D348B63" w14:textId="77777777" w:rsidR="00F270FB" w:rsidRDefault="00000000">
      <w:r>
        <w:t xml:space="preserve">Au chapitre 3, on a vu </w:t>
      </w:r>
      <w:r>
        <w:rPr>
          <w:b/>
        </w:rPr>
        <w:t xml:space="preserve">qui</w:t>
      </w:r>
      <w:r>
        <w:t xml:space="preserve"> mène la politique monétaire dans la zone euro (la BCE et le SEBC) et </w:t>
      </w:r>
      <w:r>
        <w:rPr>
          <w:b/>
        </w:rPr>
        <w:t xml:space="preserve">pour quoi faire</w:t>
      </w:r>
      <w:r>
        <w:t xml:space="preserve">. Rappel de l'objectif de la BCE :</w:t>
      </w:r>
    </w:p>
    <w:p w14:paraId="6C50D5E6" w14:textId="77777777" w:rsidR="00F270FB" w:rsidRDefault="00000000">
      <w:pPr>
        <w:jc w:val="center"/>
      </w:pPr>
      <w:r>
        <w:rPr>
          <w:b/>
          <w:color w:val="1F3864"/>
          <w:sz w:val="26"/>
          <w:szCs w:val="26"/>
        </w:rPr>
        <w:t xml:space="preserve">« L'objectif principal du Système européen de banques centrales (SEBC) est de maintenir la stabilité des prix » (article 127 §1 TFUE)</w:t>
      </w:r>
    </w:p>
    <w:p w14:paraId="42B20954" w14:textId="77777777" w:rsidR="00F270FB" w:rsidRDefault="00000000">
      <w:r>
        <w:t xml:space="preserve">La question de ce chapitre : </w:t>
      </w:r>
      <w:r>
        <w:rPr>
          <w:b/>
        </w:rPr>
        <w:t xml:space="preserve">avec quels outils</w:t>
      </w:r>
      <w:r>
        <w:t xml:space="preserve"> la banque centrale atteint-elle cet objectif (une inflation de 2 %) ? On va voir :</w:t>
      </w:r>
    </w:p>
    <w:p w14:paraId="4D4BE321" w14:textId="77777777" w:rsidR="00F270FB" w:rsidRDefault="00000000">
      <w:pPr>
        <w:numPr>
          <w:ilvl w:val="0"/>
          <w:numId w:val="24"/>
        </w:numPr>
      </w:pPr>
      <w:r>
        <w:rPr>
          <w:b/>
        </w:rPr>
        <w:t xml:space="preserve">I</w:t>
      </w:r>
      <w:r>
        <w:t xml:space="preserve"> – quelques notions théoriques sur la création de monnaie ;</w:t>
      </w:r>
    </w:p>
    <w:p w14:paraId="23D621AD" w14:textId="77777777" w:rsidR="00F270FB" w:rsidRDefault="00000000">
      <w:pPr>
        <w:numPr>
          <w:ilvl w:val="0"/>
          <w:numId w:val="24"/>
        </w:numPr>
      </w:pPr>
      <w:r>
        <w:rPr>
          <w:b/>
        </w:rPr>
        <w:t xml:space="preserve">II</w:t>
      </w:r>
      <w:r>
        <w:t xml:space="preserve"> – les </w:t>
      </w:r>
      <w:r>
        <w:rPr>
          <w:b/>
        </w:rPr>
        <w:t xml:space="preserve">instruments traditionnels</w:t>
      </w:r>
      <w:r>
        <w:t xml:space="preserve"> (taux d'intérêt directeurs, réserves obligatoires), comment ils agissent sur l'économie (canaux de transmission) et les règles qui peuvent les guider ;</w:t>
      </w:r>
    </w:p>
    <w:p w14:paraId="1B8867A9" w14:textId="77777777" w:rsidR="00F270FB" w:rsidRDefault="00000000">
      <w:pPr>
        <w:numPr>
          <w:ilvl w:val="0"/>
          <w:numId w:val="24"/>
        </w:numPr>
      </w:pPr>
      <w:r>
        <w:rPr>
          <w:b/>
        </w:rPr>
        <w:t xml:space="preserve">III</w:t>
      </w:r>
      <w:r>
        <w:t xml:space="preserve"> – les </w:t>
      </w:r>
      <w:r>
        <w:rPr>
          <w:b/>
        </w:rPr>
        <w:t xml:space="preserve">politiques non conventionnelles</w:t>
      </w:r>
      <w:r>
        <w:t xml:space="preserve"> des années 2010, quand les instruments traditionnels ne suffisaient plus ;</w:t>
      </w:r>
    </w:p>
    <w:p w14:paraId="18839118" w14:textId="77777777" w:rsidR="00F270FB" w:rsidRDefault="00000000">
      <w:pPr>
        <w:numPr>
          <w:ilvl w:val="0"/>
          <w:numId w:val="24"/>
        </w:numPr>
      </w:pPr>
      <w:r>
        <w:rPr>
          <w:b/>
        </w:rPr>
        <w:t xml:space="preserve">IV</w:t>
      </w:r>
      <w:r>
        <w:t xml:space="preserve"> – le </w:t>
      </w:r>
      <w:r>
        <w:rPr>
          <w:b/>
        </w:rPr>
        <w:t xml:space="preserve">retour de l'inflation en 2021</w:t>
      </w:r>
      <w:r>
        <w:t xml:space="preserve"> et le retour aux instruments traditionnels (hausse des taux).</w:t>
      </w:r>
    </w:p>
    <w:p w14:paraId="12895E89" w14:textId="77777777" w:rsidR="00F270FB" w:rsidRDefault="00000000">
      <w:pPr>
        <w:pStyle w:val="Titre2"/>
      </w:pPr>
      <w:bookmarkStart w:id="102" w:name="_Toc2431232102"/>
      <w:r>
        <w:t xml:space="preserve">I – Quelques notions théoriques</w:t>
      </w:r>
      <w:bookmarkEnd w:id="102"/>
    </w:p>
    <w:p w14:paraId="4367559B" w14:textId="77777777" w:rsidR="00F270FB" w:rsidRDefault="00000000">
      <w:pPr>
        <w:pStyle w:val="Titre3"/>
      </w:pPr>
      <w:bookmarkStart w:id="103" w:name="_Toc2431232103"/>
      <w:r>
        <w:t xml:space="preserve">1°) La théorie quantitative de la monnaie</w:t>
      </w:r>
      <w:bookmarkEnd w:id="103"/>
    </w:p>
    <w:p w14:paraId="5652CCB3" w14:textId="77777777" w:rsidR="00F270FB" w:rsidRDefault="00000000">
      <w:r>
        <w:rPr>
          <w:b/>
        </w:rPr>
        <w:t xml:space="preserve">Origine : le lien entre l'afflux d'or en Europe et l'inflation.</w:t>
      </w:r>
      <w:r>
        <w:t xml:space="preserve"> Au XVIe siècle, les Espagnols et les Portugais rapportent d'Amérique d'énormes quantités d'or et d'argent. À la même époque, les prix augmentent fortement en Europe. Le philosophe français </w:t>
      </w:r>
      <w:r>
        <w:rPr>
          <w:b/>
        </w:rPr>
        <w:t xml:space="preserve">Jean Bodin (1529/1530 – 1596)</w:t>
      </w:r>
      <w:r>
        <w:t xml:space="preserve"> est l'un des premiers à faire le lien : </w:t>
      </w:r>
      <w:r>
        <w:rPr>
          <w:b/>
        </w:rPr>
        <w:t xml:space="preserve">s'il y a plus de monnaie (de métal précieux) en circulation alors que la quantité de biens ne change pas, les prix montent.</w:t>
      </w:r>
    </w:p>
    <w:p w14:paraId="350A43B5" w14:textId="77777777" w:rsidR="00F270FB" w:rsidRDefault="00000000">
      <w:r>
        <w:rPr>
          <w:b/>
        </w:rPr>
        <w:t xml:space="preserve">L'équation quantitative de la monnaie</w:t>
      </w:r>
      <w:r>
        <w:t xml:space="preserve"> (déjà vue au chapitre 3 avec le pilier monétaire de la BCE) :</w:t>
      </w:r>
    </w:p>
    <w:p w14:paraId="767538FF" w14:textId="77777777" w:rsidR="00F270FB" w:rsidRDefault="00000000">
      <w:pPr>
        <w:jc w:val="center"/>
      </w:pPr>
      <w:r>
        <w:rPr>
          <w:b/>
          <w:color w:val="1F3864"/>
          <w:sz w:val="26"/>
          <w:szCs w:val="26"/>
        </w:rPr>
        <w:t xml:space="preserve">MV = PT    (forme multiplicative)</w:t>
      </w:r>
    </w:p>
    <w:p w14:paraId="71F0D92C" w14:textId="77777777" w:rsidR="00F270FB" w:rsidRDefault="00000000">
      <w:pPr>
        <w:jc w:val="center"/>
      </w:pPr>
      <w:r>
        <w:rPr>
          <w:b/>
          <w:color w:val="1F3864"/>
          <w:sz w:val="26"/>
          <w:szCs w:val="26"/>
        </w:rPr>
        <w:t xml:space="preserve">Δm + Δv = Δp + Δt    (forme en taux de variation)</w:t>
      </w:r>
    </w:p>
    <w:p w14:paraId="17884CE3" w14:textId="77777777" w:rsidR="00F270FB" w:rsidRDefault="00000000">
      <w:pPr>
        <w:numPr>
          <w:ilvl w:val="0"/>
          <w:numId w:val="24"/>
        </w:numPr>
      </w:pPr>
      <w:r>
        <w:rPr>
          <w:b/>
        </w:rPr>
        <w:t xml:space="preserve">M</w:t>
      </w:r>
      <w:r>
        <w:t xml:space="preserve"> = masse monétaire, </w:t>
      </w:r>
      <w:r>
        <w:rPr>
          <w:b/>
        </w:rPr>
        <w:t xml:space="preserve">V</w:t>
      </w:r>
      <w:r>
        <w:t xml:space="preserve"> = vitesse de circulation de la monnaie, </w:t>
      </w:r>
      <w:r>
        <w:rPr>
          <w:b/>
        </w:rPr>
        <w:t xml:space="preserve">P</w:t>
      </w:r>
      <w:r>
        <w:t xml:space="preserve"> = niveau général des prix, </w:t>
      </w:r>
      <w:r>
        <w:rPr>
          <w:b/>
        </w:rPr>
        <w:t xml:space="preserve">T</w:t>
      </w:r>
      <w:r>
        <w:t xml:space="preserve"> = volume des transactions (la production).</w:t>
      </w:r>
    </w:p>
    <w:p w14:paraId="2C682476" w14:textId="77777777" w:rsidR="00F270FB" w:rsidRDefault="00000000">
      <w:pPr>
        <w:numPr>
          <w:ilvl w:val="0"/>
          <w:numId w:val="24"/>
        </w:numPr>
      </w:pPr>
      <w:r>
        <w:t xml:space="preserve">Économistes associés : </w:t>
      </w:r>
      <w:r>
        <w:rPr>
          <w:b/>
        </w:rPr>
        <w:t xml:space="preserve">Irving Fisher (1867-1947)</w:t>
      </w:r>
      <w:r>
        <w:t xml:space="preserve">, qui l'a formalisée (1911), </w:t>
      </w:r>
      <w:r>
        <w:rPr>
          <w:b/>
        </w:rPr>
        <w:t xml:space="preserve">Milton Friedman (1912-2006)</w:t>
      </w:r>
      <w:r>
        <w:t xml:space="preserve"> et </w:t>
      </w:r>
      <w:r>
        <w:rPr>
          <w:b/>
        </w:rPr>
        <w:t xml:space="preserve">Don Patinkin (1922-1995)</w:t>
      </w:r>
      <w:r>
        <w:t xml:space="preserve">.</w:t>
      </w:r>
    </w:p>
    <w:p w14:paraId="529A7A2B" w14:textId="77777777" w:rsidR="00F270FB" w:rsidRDefault="00000000">
      <w:r>
        <w:t xml:space="preserve">Pour les </w:t>
      </w:r>
      <w:r>
        <w:rPr>
          <w:b/>
        </w:rPr>
        <w:t xml:space="preserve">quantitativistes</w:t>
      </w:r>
      <w:r>
        <w:t xml:space="preserve">, V est à peu près stable et T dépend de facteurs réels (travail, capital, technologie), pas de la monnaie. Donc </w:t>
      </w:r>
      <w:r>
        <w:rPr>
          <w:b/>
        </w:rPr>
        <w:t xml:space="preserve">si on augmente M plus vite que la production, l'excédent se retrouve dans les prix</w:t>
      </w:r>
      <w:r>
        <w:t xml:space="preserve"> : c'est l'inflation. D'où la célèbre phrase de Friedman :</w:t>
      </w:r>
    </w:p>
    <w:p w14:paraId="54B1EE37" w14:textId="77777777" w:rsidR="00F270FB" w:rsidRDefault="00000000">
      <w:pPr>
        <w:jc w:val="center"/>
      </w:pPr>
      <w:r>
        <w:rPr>
          <w:b/>
          <w:color w:val="1F3864"/>
          <w:sz w:val="26"/>
          <w:szCs w:val="26"/>
        </w:rPr>
        <w:t xml:space="preserve">« L'inflation est toujours et partout un phénomène monétaire en ce sens qu'elle est et qu'elle ne peut être générée que par une augmentation de la quantité de monnaie plus rapide que celle de la production » (Friedman, 1956)</w:t>
      </w:r>
    </w:p>
    <w:p w14:paraId="3E1C8159" w14:textId="77777777" w:rsidR="00F270FB" w:rsidRDefault="00000000">
      <w:r>
        <w:rPr>
          <w:b/>
        </w:rPr>
        <w:t xml:space="preserve">Exemple chiffré</w:t>
      </w:r>
      <w:r>
        <w:t xml:space="preserve"> : si la masse monétaire augmente de 10 %, la production de 2 % et que la vitesse ne change pas (Δv = 0), alors Δp = 10 % − 2 % = </w:t>
      </w:r>
      <w:r>
        <w:rPr>
          <w:b/>
        </w:rPr>
        <w:t xml:space="preserve">8 % d'inflation</w:t>
      </w:r>
      <w:r>
        <w:t xml:space="preserve">.</w:t>
      </w:r>
    </w:p>
    <w:p w14:paraId="336A563D" w14:textId="77777777" w:rsidR="00F270FB" w:rsidRDefault="00000000">
      <w:pPr>
        <w:pStyle w:val="Titre3"/>
      </w:pPr>
      <w:bookmarkStart w:id="104" w:name="_Toc2431232104"/>
      <w:r>
        <w:t xml:space="preserve">2°) Le multiplicateur de crédit</w:t>
      </w:r>
      <w:bookmarkEnd w:id="104"/>
    </w:p>
    <w:p w14:paraId="73CEB3C9" w14:textId="77777777" w:rsidR="00F270FB" w:rsidRDefault="00000000">
      <w:r>
        <w:rPr>
          <w:b/>
        </w:rPr>
        <w:t xml:space="preserve">Réserves fractionnaires</w:t>
      </w:r>
      <w:r>
        <w:t xml:space="preserve"> : les banques ont l'</w:t>
      </w:r>
      <w:r>
        <w:rPr>
          <w:b/>
        </w:rPr>
        <w:t xml:space="preserve">obligation de conserver une partie des dépôts</w:t>
      </w:r>
      <w:r>
        <w:t xml:space="preserve"> de leurs clients </w:t>
      </w:r>
      <w:r>
        <w:rPr>
          <w:b/>
        </w:rPr>
        <w:t xml:space="preserve">en réserves</w:t>
      </w:r>
      <w:r>
        <w:t xml:space="preserve"> (sur leur compte à la banque centrale). Elles peuvent prêter le reste.</w:t>
      </w:r>
    </w:p>
    <w:p w14:paraId="2619DF05" w14:textId="77777777" w:rsidR="00F270FB" w:rsidRDefault="00000000">
      <w:r>
        <w:t xml:space="preserve">Dans cette vision, </w:t>
      </w:r>
      <w:r>
        <w:rPr>
          <w:b/>
        </w:rPr>
        <w:t xml:space="preserve">« les dépôts font les crédits »</w:t>
      </w:r>
      <w:r>
        <w:t xml:space="preserve"> : la banque a d'abord besoin d'un dépôt pour pouvoir prêter. Le mécanisme se répète en chaîne :</w:t>
      </w:r>
    </w:p>
    <w:p w14:paraId="79D6EE65" w14:textId="77777777" w:rsidR="00F270FB" w:rsidRDefault="00000000">
      <w:pPr>
        <w:numPr>
          <w:ilvl w:val="0"/>
          <w:numId w:val="24"/>
        </w:numPr>
      </w:pPr>
      <w:r>
        <w:t xml:space="preserve">un client dépose de l'argent → la banque en garde une partie (réserves obligatoires) et </w:t>
      </w:r>
      <w:r>
        <w:rPr>
          <w:b/>
        </w:rPr>
        <w:t xml:space="preserve">prête le reste</w:t>
      </w:r>
      <w:r>
        <w:t xml:space="preserve"> (crédit = </w:t>
      </w:r>
      <w:r>
        <w:rPr>
          <w:b/>
        </w:rPr>
        <w:t xml:space="preserve">création monétaire</w:t>
      </w:r>
      <w:r>
        <w:t xml:space="preserve">) ;</w:t>
      </w:r>
    </w:p>
    <w:p w14:paraId="1D976A07" w14:textId="77777777" w:rsidR="00F270FB" w:rsidRDefault="00000000">
      <w:pPr>
        <w:numPr>
          <w:ilvl w:val="0"/>
          <w:numId w:val="24"/>
        </w:numPr>
      </w:pPr>
      <w:r>
        <w:t xml:space="preserve">l'argent prêté est dépensé, puis </w:t>
      </w:r>
      <w:r>
        <w:rPr>
          <w:b/>
        </w:rPr>
        <w:t xml:space="preserve">redéposé</w:t>
      </w:r>
      <w:r>
        <w:t xml:space="preserve"> dans une banque → qui en garde une partie et prête le reste… et ainsi de suite.</w:t>
      </w:r>
    </w:p>
    <w:p w14:paraId="318006F0" w14:textId="77777777" w:rsidR="00F270FB" w:rsidRDefault="00000000">
      <w:pPr>
        <w:keepNext/>
        <w:spacing w:before="120" w:after="40"/>
        <w:jc w:val="center"/>
      </w:pPr>
      <w:r>
        <w:rPr>
          <w:noProof/>
        </w:rPr>
        <w:drawing>
          <wp:inline distT="0" distB="0" distL="0" distR="0">
            <wp:extent cx="4680000" cy="1986994"/>
            <wp:effectExtent l="0" t="0" r="0" b="0"/>
            <wp:docPr id="7100" name="Illustration 7100" descr="Le multiplicateur de crédit : « les dépôts font les crédits » (diap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 name="slide_c4_5.png"/>
                    <pic:cNvPicPr/>
                  </pic:nvPicPr>
                  <pic:blipFill>
                    <a:blip r:embed="rId200"/>
                    <a:stretch>
                      <a:fillRect/>
                    </a:stretch>
                  </pic:blipFill>
                  <pic:spPr>
                    <a:xfrm>
                      <a:off x="0" y="0"/>
                      <a:ext cx="4680000" cy="1986994"/>
                    </a:xfrm>
                    <a:prstGeom prst="rect">
                      <a:avLst/>
                    </a:prstGeom>
                    <a:ln w="6350">
                      <a:solidFill>
                        <a:srgbClr val="BFBFBF"/>
                      </a:solidFill>
                    </a:ln>
                  </pic:spPr>
                </pic:pic>
              </a:graphicData>
            </a:graphic>
          </wp:inline>
        </w:drawing>
      </w:r>
    </w:p>
    <w:p w14:paraId="2B717925" w14:textId="77777777" w:rsidR="00F270FB" w:rsidRDefault="00000000">
      <w:pPr>
        <w:spacing w:after="200"/>
        <w:jc w:val="center"/>
      </w:pPr>
      <w:r>
        <w:rPr>
          <w:i/>
          <w:color w:val="6B6B6B"/>
          <w:sz w:val="19"/>
          <w:szCs w:val="19"/>
        </w:rPr>
        <w:t xml:space="preserve">Le multiplicateur de crédit : « les dépôts font les crédits » (diapo 5).</w:t>
      </w:r>
    </w:p>
    <w:p w14:paraId="13482934" w14:textId="77777777" w:rsidR="00F270FB" w:rsidRDefault="00000000">
      <w:pPr>
        <w:jc w:val="center"/>
      </w:pPr>
      <w:r>
        <w:rPr>
          <w:b/>
          <w:color w:val="1F3864"/>
          <w:sz w:val="26"/>
          <w:szCs w:val="26"/>
        </w:rPr>
        <w:t xml:space="preserve">Formule : Δm = (1/r) × Dépôt</w:t>
      </w:r>
    </w:p>
    <w:p w14:paraId="7A1A0D56" w14:textId="77777777" w:rsidR="00F270FB" w:rsidRDefault="00000000">
      <w:pPr>
        <w:numPr>
          <w:ilvl w:val="0"/>
          <w:numId w:val="24"/>
        </w:numPr>
      </w:pPr>
      <w:r>
        <w:t xml:space="preserve">avec </w:t>
      </w:r>
      <w:r>
        <w:rPr>
          <w:b/>
        </w:rPr>
        <w:t xml:space="preserve">r = taux de réserves obligatoires</w:t>
      </w:r>
      <w:r>
        <w:t xml:space="preserve"> ; </w:t>
      </w:r>
      <w:r>
        <w:rPr>
          <w:b/>
        </w:rPr>
        <w:t xml:space="preserve">1/r</w:t>
      </w:r>
      <w:r>
        <w:t xml:space="preserve"> est le </w:t>
      </w:r>
      <w:r>
        <w:rPr>
          <w:b/>
        </w:rPr>
        <w:t xml:space="preserve">multiplicateur de crédit</w:t>
      </w:r>
      <w:r>
        <w:t xml:space="preserve">.</w:t>
      </w:r>
    </w:p>
    <w:p w14:paraId="620215D9" w14:textId="77777777" w:rsidR="00F270FB" w:rsidRDefault="00000000">
      <w:r>
        <w:rPr>
          <w:b/>
        </w:rPr>
        <w:t xml:space="preserve">Exemple de la diapo</w:t>
      </w:r>
      <w:r>
        <w:t xml:space="preserve"> : si Dépôt = 1 000 € et r = 1 %, l'offre de monnaie augmente de (1/0,01) × 1 000 = </w:t>
      </w:r>
      <w:r>
        <w:rPr>
          <w:b/>
        </w:rPr>
        <w:t xml:space="preserve">100 000 €</w:t>
      </w:r>
      <w:r>
        <w:t xml:space="preserve">.</w:t>
      </w:r>
    </w:p>
    <w:p w14:paraId="77406258" w14:textId="77777777" w:rsidR="00F270FB" w:rsidRDefault="00000000">
      <w:pPr>
        <w:numPr>
          <w:ilvl w:val="1"/>
          <w:numId w:val="24"/>
        </w:numPr>
      </w:pPr>
      <w:r>
        <w:t xml:space="preserve">Détail : la banque garde 10 € et prête 990 € ; ces 990 € sont redéposés, la banque suivante garde 9,90 € et prête 980,10 €, etc. Si on additionne tous les dépôts successifs, on arrive à 1 000 / 0,01 = 100 000 €.</w:t>
      </w:r>
    </w:p>
    <w:p w14:paraId="31500201" w14:textId="77777777" w:rsidR="00F270FB" w:rsidRDefault="00000000">
      <w:r>
        <w:t xml:space="preserve">Conséquence : dans cette théorie, la </w:t>
      </w:r>
      <w:r>
        <w:rPr>
          <w:b/>
        </w:rPr>
        <w:t xml:space="preserve">quantité de monnaie est contrôlée par la banque centrale</w:t>
      </w:r>
      <w:r>
        <w:t xml:space="preserve"> (offre de monnaie </w:t>
      </w:r>
      <w:r>
        <w:rPr>
          <w:b/>
        </w:rPr>
        <w:t xml:space="preserve">exogène</w:t>
      </w:r>
      <w:r>
        <w:t xml:space="preserve">) : en modifiant r ou la quantité de monnaie de banque centrale, elle fait varier la masse monétaire.</w:t>
      </w:r>
    </w:p>
    <w:p w14:paraId="76751322" w14:textId="77777777" w:rsidR="00F270FB" w:rsidRDefault="00000000">
      <w:r>
        <w:rPr>
          <w:b/>
        </w:rPr>
        <w:t xml:space="preserve">Critique : la prudence des banques.</w:t>
      </w:r>
      <w:r>
        <w:t xml:space="preserve"> En réalité, les banques ne prêtent pas tout ce qu'elles pourraient : elles évaluent le risque de non-remboursement, et encore faut-il que des clients veuillent emprunter. Les ménages gardent aussi une partie en billets. Le multiplicateur réel est donc </w:t>
      </w:r>
      <w:r>
        <w:rPr>
          <w:b/>
        </w:rPr>
        <w:t xml:space="preserve">bien plus faible</w:t>
      </w:r>
      <w:r>
        <w:t xml:space="preserve"> que 1/r.</w:t>
      </w:r>
    </w:p>
    <w:p w14:paraId="32C8A16F" w14:textId="77777777" w:rsidR="00F270FB" w:rsidRDefault="00000000">
      <w:pPr>
        <w:pStyle w:val="Titre3"/>
      </w:pPr>
      <w:bookmarkStart w:id="105" w:name="_Toc2431232105"/>
      <w:r>
        <w:t xml:space="preserve">3°) Le diviseur de crédit</w:t>
      </w:r>
      <w:bookmarkEnd w:id="105"/>
    </w:p>
    <w:p w14:paraId="28C27F93" w14:textId="77777777" w:rsidR="00F270FB" w:rsidRDefault="00000000">
      <w:r>
        <w:t xml:space="preserve">Les économistes </w:t>
      </w:r>
      <w:r>
        <w:rPr>
          <w:b/>
        </w:rPr>
        <w:t xml:space="preserve">post-keynésiens</w:t>
      </w:r>
      <w:r>
        <w:t xml:space="preserve"> – </w:t>
      </w:r>
      <w:r>
        <w:rPr>
          <w:b/>
        </w:rPr>
        <w:t xml:space="preserve">Nicholas Kaldor (1908-1986)</w:t>
      </w:r>
      <w:r>
        <w:t xml:space="preserve">, </w:t>
      </w:r>
      <w:r>
        <w:rPr>
          <w:b/>
        </w:rPr>
        <w:t xml:space="preserve">Basil Moore (1933-2018)</w:t>
      </w:r>
      <w:r>
        <w:t xml:space="preserve">, </w:t>
      </w:r>
      <w:r>
        <w:rPr>
          <w:b/>
        </w:rPr>
        <w:t xml:space="preserve">Hyman Minsky (1919-1996)</w:t>
      </w:r>
      <w:r>
        <w:t xml:space="preserve"> – renversent le raisonnement.</w:t>
      </w:r>
    </w:p>
    <w:p w14:paraId="2518C3C2" w14:textId="77777777" w:rsidR="00F270FB" w:rsidRDefault="00000000">
      <w:r>
        <w:rPr>
          <w:b/>
        </w:rPr>
        <w:t xml:space="preserve">Offre de monnaie endogène</w:t>
      </w:r>
      <w:r>
        <w:t xml:space="preserve"> : la quantité de monnaie est </w:t>
      </w:r>
      <w:r>
        <w:rPr>
          <w:b/>
        </w:rPr>
        <w:t xml:space="preserve">déterminée par les interactions entre agents</w:t>
      </w:r>
      <w:r>
        <w:t xml:space="preserve"> (banques, entreprises, ménages) ⇒ elle </w:t>
      </w:r>
      <w:r>
        <w:rPr>
          <w:b/>
        </w:rPr>
        <w:t xml:space="preserve">dépend des besoins de crédit dans l'économie</w:t>
      </w:r>
      <w:r>
        <w:t xml:space="preserve">, pas d'une décision de la banque centrale.</w:t>
      </w:r>
    </w:p>
    <w:p w14:paraId="37A929D0" w14:textId="77777777" w:rsidR="00F270FB" w:rsidRDefault="00000000">
      <w:pPr>
        <w:jc w:val="center"/>
      </w:pPr>
      <w:r>
        <w:rPr>
          <w:b/>
          <w:color w:val="1F3864"/>
          <w:sz w:val="26"/>
          <w:szCs w:val="26"/>
        </w:rPr>
        <w:t xml:space="preserve">« Les crédits font les dépôts » :   Demande de crédit ⇒ Création monétaire ⇒ Dépôts</w:t>
      </w:r>
    </w:p>
    <w:p w14:paraId="3512F233" w14:textId="77777777" w:rsidR="00F270FB" w:rsidRDefault="00000000">
      <w:r>
        <w:t xml:space="preserve">Quand une banque accorde un crédit, elle </w:t>
      </w:r>
      <w:r>
        <w:rPr>
          <w:b/>
        </w:rPr>
        <w:t xml:space="preserve">n'utilise pas l'argent d'un autre client</w:t>
      </w:r>
      <w:r>
        <w:t xml:space="preserve"> : elle </w:t>
      </w:r>
      <w:r>
        <w:rPr>
          <w:b/>
        </w:rPr>
        <w:t xml:space="preserve">crée la monnaie</w:t>
      </w:r>
      <w:r>
        <w:t xml:space="preserve"> en inscrivant simplement le montant sur le compte de l'emprunteur. Le crédit crée donc le dépôt. Ce n'est qu'</w:t>
      </w:r>
      <w:r>
        <w:rPr>
          <w:b/>
        </w:rPr>
        <w:t xml:space="preserve">ensuite</w:t>
      </w:r>
      <w:r>
        <w:t xml:space="preserve"> que la banque va chercher les réserves dont elle a besoin auprès de la banque centrale.</w:t>
      </w:r>
    </w:p>
    <w:p w14:paraId="6040BC88" w14:textId="77777777" w:rsidR="00F270FB" w:rsidRDefault="00000000">
      <w:pPr>
        <w:numPr>
          <w:ilvl w:val="0"/>
          <w:numId w:val="24"/>
        </w:numPr>
      </w:pPr>
      <w:r>
        <w:rPr>
          <w:b/>
        </w:rPr>
        <w:t xml:space="preserve">Exemple</w:t>
      </w:r>
      <w:r>
        <w:t xml:space="preserve"> : tu empruntes 200 000 € pour acheter un appartement. La banque inscrit 200 000 € sur ton compte : cette monnaie n'existait pas avant. Avec r = 1 %, la banque devra ensuite détenir 2 000 € de réserves, qu'elle empruntera à la banque centrale si besoin.</w:t>
      </w:r>
    </w:p>
    <w:p w14:paraId="7F046550" w14:textId="77777777" w:rsidR="00F270FB" w:rsidRDefault="00000000">
      <w:r>
        <w:t xml:space="preserve">On parle de </w:t>
      </w:r>
      <w:r>
        <w:rPr>
          <w:b/>
        </w:rPr>
        <w:t xml:space="preserve">diviseur</w:t>
      </w:r>
      <w:r>
        <w:t xml:space="preserve"> de crédit car la causalité est inversée : ce n'est plus la monnaie de banque centrale qui est multipliée, c'est la masse monétaire créée par les crédits qui « divise » le besoin en monnaie de banque centrale (besoin de réserves = r × dépôts).</w:t>
      </w:r>
    </w:p>
    <w:p w14:paraId="6DAEB9C2" w14:textId="77777777" w:rsidR="00F270FB" w:rsidRDefault="00000000">
      <w:r>
        <w:rPr>
          <w:b/>
        </w:rPr>
        <w:t xml:space="preserve">Rôle des taux d'intérêt directeurs</w:t>
      </w:r>
      <w:r>
        <w:t xml:space="preserve"> : la banque centrale ne contrôle pas directement la </w:t>
      </w:r>
      <w:r>
        <w:rPr>
          <w:b/>
        </w:rPr>
        <w:t xml:space="preserve">quantité</w:t>
      </w:r>
      <w:r>
        <w:t xml:space="preserve"> de monnaie, mais elle en contrôle le </w:t>
      </w:r>
      <w:r>
        <w:rPr>
          <w:b/>
        </w:rPr>
        <w:t xml:space="preserve">prix</w:t>
      </w:r>
      <w:r>
        <w:t xml:space="preserve">. En fixant le taux auquel les banques se refinancent auprès d'elle, elle rend le crédit plus ou moins cher, donc plus ou moins demandé. C'est </w:t>
      </w:r>
      <w:r>
        <w:rPr>
          <w:b/>
        </w:rPr>
        <w:t xml:space="preserve">la vision qui correspond au fonctionnement actuel des banques centrales</w:t>
      </w:r>
      <w:r>
        <w:t xml:space="preserve">, et c'est pour cela que l'essentiel du II porte sur les taux directeurs.</w:t>
      </w:r>
    </w:p>
    <w:tbl>
      <w:tblPr>
        <w:tblW w:w="90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60" w:type="dxa"/>
          <w:left w:w="100" w:type="dxa"/>
          <w:bottom w:w="60" w:type="dxa"/>
          <w:right w:w="100" w:type="dxa"/>
        </w:tblCellMar>
        <w:tblLook w:val="04A0" w:firstRow="1" w:lastRow="0" w:firstColumn="1" w:lastColumn="0" w:noHBand="0" w:noVBand="1"/>
      </w:tblPr>
      <w:tblGrid>
        <w:gridCol w:w="2600"/>
        <w:gridCol w:w="3236"/>
        <w:gridCol w:w="3236"/>
      </w:tblGrid>
      <w:tr w:rsidR="00F270FB">
        <w:trPr>
          <w:cantSplit/>
          <w:tblHeader/>
        </w:trPr>
        <w:tc>
          <w:tcPr>
            <w:tcW w:w="2600" w:type="dxa"/>
            <w:shd w:val="clear" w:color="auto" w:fill="DEEAF6"/>
          </w:tcPr>
          <w:p w14:paraId="7D651E03" w14:textId="77777777" w:rsidR="00F270FB" w:rsidRDefault="00000000">
            <w:pPr>
              <w:keepNext/>
              <w:spacing w:after="0" w:line="252" w:lineRule="auto"/>
            </w:pPr>
          </w:p>
        </w:tc>
        <w:tc>
          <w:tcPr>
            <w:tcW w:w="3236" w:type="dxa"/>
            <w:shd w:val="clear" w:color="auto" w:fill="DEEAF6"/>
          </w:tcPr>
          <w:p w14:paraId="7C9C9B70" w14:textId="77777777" w:rsidR="00F270FB" w:rsidRDefault="00000000">
            <w:pPr>
              <w:keepNext/>
              <w:spacing w:after="0" w:line="252" w:lineRule="auto"/>
            </w:pPr>
            <w:r>
              <w:rPr>
                <w:sz w:val="21"/>
                <w:szCs w:val="21"/>
                <w:b/>
              </w:rPr>
              <w:t xml:space="preserve">Multiplicateur de crédit</w:t>
            </w:r>
          </w:p>
        </w:tc>
        <w:tc>
          <w:tcPr>
            <w:tcW w:w="3236" w:type="dxa"/>
            <w:shd w:val="clear" w:color="auto" w:fill="DEEAF6"/>
          </w:tcPr>
          <w:p w14:paraId="3FAA93B9" w14:textId="77777777" w:rsidR="00F270FB" w:rsidRDefault="00000000">
            <w:pPr>
              <w:keepNext/>
              <w:spacing w:after="0" w:line="252" w:lineRule="auto"/>
            </w:pPr>
            <w:r>
              <w:rPr>
                <w:sz w:val="21"/>
                <w:szCs w:val="21"/>
                <w:b/>
              </w:rPr>
              <w:t xml:space="preserve">Diviseur de crédit</w:t>
            </w:r>
          </w:p>
        </w:tc>
      </w:tr>
      <w:tr w:rsidR="00F270FB">
        <w:trPr>
          <w:cantSplit/>
        </w:trPr>
        <w:tc>
          <w:tcPr>
            <w:tcW w:w="2600" w:type="dxa"/>
            <w:shd w:val="clear" w:color="auto" w:fill="F2F7FC"/>
          </w:tcPr>
          <w:p w14:paraId="1B199565" w14:textId="77777777" w:rsidR="00F270FB" w:rsidRDefault="00000000">
            <w:pPr>
              <w:keepNext/>
              <w:spacing w:after="0" w:line="252" w:lineRule="auto"/>
            </w:pPr>
            <w:r>
              <w:rPr>
                <w:sz w:val="21"/>
                <w:szCs w:val="21"/>
                <w:b/>
              </w:rPr>
              <w:t xml:space="preserve">Slogan</w:t>
            </w:r>
          </w:p>
        </w:tc>
        <w:tc>
          <w:tcPr>
            <w:tcW w:w="3236" w:type="dxa"/>
            <w:shd w:val="clear" w:color="auto" w:fill="FFFFFF"/>
          </w:tcPr>
          <w:p w14:paraId="7C220DAB" w14:textId="77777777" w:rsidR="00F270FB" w:rsidRDefault="00000000">
            <w:pPr>
              <w:keepNext/>
              <w:spacing w:after="0" w:line="252" w:lineRule="auto"/>
            </w:pPr>
            <w:r>
              <w:rPr>
                <w:sz w:val="21"/>
                <w:szCs w:val="21"/>
              </w:rPr>
              <w:t xml:space="preserve">Les dépôts font les crédits</w:t>
            </w:r>
          </w:p>
        </w:tc>
        <w:tc>
          <w:tcPr>
            <w:tcW w:w="3236" w:type="dxa"/>
            <w:shd w:val="clear" w:color="auto" w:fill="FFFFFF"/>
          </w:tcPr>
          <w:p w14:paraId="5D8C8DFA" w14:textId="77777777" w:rsidR="00F270FB" w:rsidRDefault="00000000">
            <w:pPr>
              <w:keepNext/>
              <w:spacing w:after="0" w:line="252" w:lineRule="auto"/>
            </w:pPr>
            <w:r>
              <w:rPr>
                <w:sz w:val="21"/>
                <w:szCs w:val="21"/>
              </w:rPr>
              <w:t xml:space="preserve">Les crédits font les dépôts</w:t>
            </w:r>
          </w:p>
        </w:tc>
      </w:tr>
      <w:tr w:rsidR="00F270FB">
        <w:trPr>
          <w:cantSplit/>
        </w:trPr>
        <w:tc>
          <w:tcPr>
            <w:tcW w:w="2600" w:type="dxa"/>
            <w:shd w:val="clear" w:color="auto" w:fill="F2F7FC"/>
          </w:tcPr>
          <w:p w14:paraId="3B300112" w14:textId="77777777" w:rsidR="00F270FB" w:rsidRDefault="00000000">
            <w:pPr>
              <w:keepNext/>
              <w:spacing w:after="0" w:line="252" w:lineRule="auto"/>
            </w:pPr>
            <w:r>
              <w:rPr>
                <w:sz w:val="21"/>
                <w:szCs w:val="21"/>
                <w:b/>
              </w:rPr>
              <w:t xml:space="preserve">Offre de monnaie</w:t>
            </w:r>
          </w:p>
        </w:tc>
        <w:tc>
          <w:tcPr>
            <w:tcW w:w="3236" w:type="dxa"/>
            <w:shd w:val="clear" w:color="auto" w:fill="FFFFFF"/>
          </w:tcPr>
          <w:p w14:paraId="65FA503E" w14:textId="77777777" w:rsidR="00F270FB" w:rsidRDefault="00000000">
            <w:pPr>
              <w:keepNext/>
              <w:spacing w:after="0" w:line="252" w:lineRule="auto"/>
            </w:pPr>
            <w:r>
              <w:rPr>
                <w:sz w:val="21"/>
                <w:szCs w:val="21"/>
              </w:rPr>
              <w:t xml:space="preserve">Exogène (contrôlée par la banque centrale)</w:t>
            </w:r>
          </w:p>
        </w:tc>
        <w:tc>
          <w:tcPr>
            <w:tcW w:w="3236" w:type="dxa"/>
            <w:shd w:val="clear" w:color="auto" w:fill="FFFFFF"/>
          </w:tcPr>
          <w:p w14:paraId="41A7C037" w14:textId="77777777" w:rsidR="00F270FB" w:rsidRDefault="00000000">
            <w:pPr>
              <w:keepNext/>
              <w:spacing w:after="0" w:line="252" w:lineRule="auto"/>
            </w:pPr>
            <w:r>
              <w:rPr>
                <w:sz w:val="21"/>
                <w:szCs w:val="21"/>
              </w:rPr>
              <w:t xml:space="preserve">Endogène (dépend des besoins de crédit)</w:t>
            </w:r>
          </w:p>
        </w:tc>
      </w:tr>
      <w:tr w:rsidR="00F270FB">
        <w:trPr>
          <w:cantSplit/>
        </w:trPr>
        <w:tc>
          <w:tcPr>
            <w:tcW w:w="2600" w:type="dxa"/>
            <w:shd w:val="clear" w:color="auto" w:fill="F2F7FC"/>
          </w:tcPr>
          <w:p w14:paraId="50C317E4" w14:textId="77777777" w:rsidR="00F270FB" w:rsidRDefault="00000000">
            <w:pPr>
              <w:keepNext/>
              <w:spacing w:after="0" w:line="252" w:lineRule="auto"/>
            </w:pPr>
            <w:r>
              <w:rPr>
                <w:sz w:val="21"/>
                <w:szCs w:val="21"/>
                <w:b/>
              </w:rPr>
              <w:t xml:space="preserve">Outil clé de la banque centrale</w:t>
            </w:r>
          </w:p>
        </w:tc>
        <w:tc>
          <w:tcPr>
            <w:tcW w:w="3236" w:type="dxa"/>
            <w:shd w:val="clear" w:color="auto" w:fill="FFFFFF"/>
          </w:tcPr>
          <w:p w14:paraId="2FDB1696" w14:textId="77777777" w:rsidR="00F270FB" w:rsidRDefault="00000000">
            <w:pPr>
              <w:keepNext/>
              <w:spacing w:after="0" w:line="252" w:lineRule="auto"/>
            </w:pPr>
            <w:r>
              <w:rPr>
                <w:sz w:val="21"/>
                <w:szCs w:val="21"/>
              </w:rPr>
              <w:t xml:space="preserve">Quantité de monnaie, taux de réserves</w:t>
            </w:r>
          </w:p>
        </w:tc>
        <w:tc>
          <w:tcPr>
            <w:tcW w:w="3236" w:type="dxa"/>
            <w:shd w:val="clear" w:color="auto" w:fill="FFFFFF"/>
          </w:tcPr>
          <w:p w14:paraId="26C1D411" w14:textId="77777777" w:rsidR="00F270FB" w:rsidRDefault="00000000">
            <w:pPr>
              <w:keepNext/>
              <w:spacing w:after="0" w:line="252" w:lineRule="auto"/>
            </w:pPr>
            <w:r>
              <w:rPr>
                <w:sz w:val="21"/>
                <w:szCs w:val="21"/>
              </w:rPr>
              <w:t xml:space="preserve">Taux d'intérêt directeurs (le prix de la monnaie)</w:t>
            </w:r>
          </w:p>
        </w:tc>
      </w:tr>
      <w:tr w:rsidR="00F270FB">
        <w:trPr>
          <w:cantSplit/>
        </w:trPr>
        <w:tc>
          <w:tcPr>
            <w:tcW w:w="2600" w:type="dxa"/>
            <w:shd w:val="clear" w:color="auto" w:fill="F2F7FC"/>
          </w:tcPr>
          <w:p w14:paraId="2FA84124" w14:textId="77777777" w:rsidR="00F270FB" w:rsidRDefault="00000000">
            <w:pPr>
              <w:spacing w:after="0" w:line="252" w:lineRule="auto"/>
            </w:pPr>
            <w:r>
              <w:rPr>
                <w:sz w:val="21"/>
                <w:szCs w:val="21"/>
                <w:b/>
              </w:rPr>
              <w:t xml:space="preserve">Auteurs</w:t>
            </w:r>
          </w:p>
        </w:tc>
        <w:tc>
          <w:tcPr>
            <w:tcW w:w="3236" w:type="dxa"/>
            <w:shd w:val="clear" w:color="auto" w:fill="FFFFFF"/>
          </w:tcPr>
          <w:p w14:paraId="4C9E8722" w14:textId="77777777" w:rsidR="00F270FB" w:rsidRDefault="00000000">
            <w:pPr>
              <w:spacing w:after="0" w:line="252" w:lineRule="auto"/>
            </w:pPr>
            <w:r>
              <w:rPr>
                <w:sz w:val="21"/>
                <w:szCs w:val="21"/>
              </w:rPr>
              <w:t xml:space="preserve">Quantitativistes, monétaristes (Friedman)</w:t>
            </w:r>
          </w:p>
        </w:tc>
        <w:tc>
          <w:tcPr>
            <w:tcW w:w="3236" w:type="dxa"/>
            <w:shd w:val="clear" w:color="auto" w:fill="FFFFFF"/>
          </w:tcPr>
          <w:p w14:paraId="33D6F613" w14:textId="77777777" w:rsidR="00F270FB" w:rsidRDefault="00000000">
            <w:pPr>
              <w:spacing w:after="0" w:line="252" w:lineRule="auto"/>
            </w:pPr>
            <w:r>
              <w:rPr>
                <w:sz w:val="21"/>
                <w:szCs w:val="21"/>
              </w:rPr>
              <w:t xml:space="preserve">Post-keynésiens (Kaldor, Moore, Minsky)</w:t>
            </w:r>
          </w:p>
        </w:tc>
      </w:tr>
    </w:tbl>
    <w:p w14:paraId="1B6FB243" w14:textId="77777777" w:rsidR="00F270FB" w:rsidRDefault="00000000"/>
    <w:p w14:paraId="78B062E8" w14:textId="77777777" w:rsidR="00F270FB" w:rsidRDefault="00000000">
      <w:pPr>
        <w:pStyle w:val="Titre2"/>
      </w:pPr>
      <w:bookmarkStart w:id="106" w:name="_Toc2431232106"/>
      <w:r>
        <w:t xml:space="preserve">II – Les instruments traditionnels de la politique monétaire</w:t>
      </w:r>
      <w:bookmarkEnd w:id="106"/>
    </w:p>
    <w:p w14:paraId="7EC82F67" w14:textId="77777777" w:rsidR="00F270FB" w:rsidRDefault="00000000">
      <w:r>
        <w:t xml:space="preserve">La banque centrale dispose de </w:t>
      </w:r>
      <w:r>
        <w:rPr>
          <w:b/>
        </w:rPr>
        <w:t xml:space="preserve">deux grands types d'instruments traditionnels</w:t>
      </w:r>
      <w:r>
        <w:t xml:space="preserve"> : les </w:t>
      </w:r>
      <w:r>
        <w:rPr>
          <w:b/>
        </w:rPr>
        <w:t xml:space="preserve">taux d'intérêt directeurs</w:t>
      </w:r>
      <w:r>
        <w:t xml:space="preserve"> (via les opérations d'open market et les facilités permanentes) et le </w:t>
      </w:r>
      <w:r>
        <w:rPr>
          <w:b/>
        </w:rPr>
        <w:t xml:space="preserve">taux de réserves obligatoires</w:t>
      </w:r>
      <w:r>
        <w:t xml:space="preserve">.</w:t>
      </w:r>
    </w:p>
    <w:p w14:paraId="561907C4" w14:textId="77777777" w:rsidR="00F270FB" w:rsidRDefault="00000000">
      <w:pPr>
        <w:keepNext/>
        <w:spacing w:before="120" w:after="40"/>
        <w:jc w:val="center"/>
      </w:pPr>
      <w:r>
        <w:rPr>
          <w:noProof/>
        </w:rPr>
        <w:drawing>
          <wp:inline distT="0" distB="0" distL="0" distR="0">
            <wp:extent cx="5040000" cy="2145073"/>
            <wp:effectExtent l="0" t="0" r="0" b="0"/>
            <wp:docPr id="7101" name="Illustration 7101" descr="Les instruments traditionnels de la politique monétaire de la BCE (diap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 name="slide_c4_7.png"/>
                    <pic:cNvPicPr/>
                  </pic:nvPicPr>
                  <pic:blipFill>
                    <a:blip r:embed="rId201"/>
                    <a:stretch>
                      <a:fillRect/>
                    </a:stretch>
                  </pic:blipFill>
                  <pic:spPr>
                    <a:xfrm>
                      <a:off x="0" y="0"/>
                      <a:ext cx="5040000" cy="2145073"/>
                    </a:xfrm>
                    <a:prstGeom prst="rect">
                      <a:avLst/>
                    </a:prstGeom>
                    <a:ln w="6350">
                      <a:solidFill>
                        <a:srgbClr val="BFBFBF"/>
                      </a:solidFill>
                    </a:ln>
                  </pic:spPr>
                </pic:pic>
              </a:graphicData>
            </a:graphic>
          </wp:inline>
        </w:drawing>
      </w:r>
    </w:p>
    <w:p w14:paraId="7B9447FB" w14:textId="77777777" w:rsidR="00F270FB" w:rsidRDefault="00000000">
      <w:pPr>
        <w:spacing w:after="200"/>
        <w:jc w:val="center"/>
      </w:pPr>
      <w:r>
        <w:rPr>
          <w:i/>
          <w:color w:val="6B6B6B"/>
          <w:sz w:val="19"/>
          <w:szCs w:val="19"/>
        </w:rPr>
        <w:t xml:space="preserve">Les instruments traditionnels de la politique monétaire de la BCE (diapo 7).</w:t>
      </w:r>
    </w:p>
    <w:p w14:paraId="366E73D3" w14:textId="77777777" w:rsidR="00F270FB" w:rsidRDefault="00000000">
      <w:pPr>
        <w:pStyle w:val="Titre3"/>
      </w:pPr>
      <w:bookmarkStart w:id="107" w:name="_Toc2431232107"/>
      <w:r>
        <w:t xml:space="preserve">1°) Les taux d'intérêt directeurs</w:t>
      </w:r>
      <w:bookmarkEnd w:id="107"/>
    </w:p>
    <w:p w14:paraId="10EC4D01" w14:textId="77777777" w:rsidR="00F270FB" w:rsidRDefault="00000000">
      <w:pPr>
        <w:pStyle w:val="Titre4"/>
      </w:pPr>
      <w:r>
        <w:t xml:space="preserve">a) Rôle des taux d'intérêt directeurs</w:t>
      </w:r>
    </w:p>
    <w:p w14:paraId="355E5835" w14:textId="77777777" w:rsidR="00F270FB" w:rsidRDefault="00000000">
      <w:r>
        <w:rPr>
          <w:b/>
        </w:rPr>
        <w:t xml:space="preserve">Taux d'intérêt directeurs</w:t>
      </w:r>
      <w:r>
        <w:t xml:space="preserve"> : </w:t>
      </w:r>
      <w:r>
        <w:rPr>
          <w:b/>
        </w:rPr>
        <w:t xml:space="preserve">taux d'intérêt fixés par une banque centrale pour les prêts qu'elle accorde aux banques commerciales qui en ont besoin</w:t>
      </w:r>
      <w:r>
        <w:t xml:space="preserve"> (la « banque des banques »).</w:t>
      </w:r>
    </w:p>
    <w:p w14:paraId="594350BA" w14:textId="77777777" w:rsidR="00F270FB" w:rsidRDefault="00000000">
      <w:r>
        <w:t xml:space="preserve">Pourquoi les banques ont-elles besoin de la banque centrale ? Parce que </w:t>
      </w:r>
      <w:r>
        <w:rPr>
          <w:b/>
        </w:rPr>
        <w:t xml:space="preserve">les crédits font les dépôts</w:t>
      </w:r>
      <w:r>
        <w:t xml:space="preserve"> (cf. I 3°) :</w:t>
      </w:r>
    </w:p>
    <w:p w14:paraId="6A3A63F4" w14:textId="77777777" w:rsidR="00F270FB" w:rsidRDefault="00000000">
      <w:pPr>
        <w:numPr>
          <w:ilvl w:val="0"/>
          <w:numId w:val="24"/>
        </w:numPr>
      </w:pPr>
      <w:r>
        <w:rPr>
          <w:b/>
        </w:rPr>
        <w:t xml:space="preserve">emprunt = création monétaire</w:t>
      </w:r>
      <w:r>
        <w:t xml:space="preserve"> : quand une banque accorde un crédit, elle crée de la monnaie ;</w:t>
      </w:r>
    </w:p>
    <w:p w14:paraId="37E7D2C1" w14:textId="77777777" w:rsidR="00F270FB" w:rsidRDefault="00000000">
      <w:pPr>
        <w:numPr>
          <w:ilvl w:val="0"/>
          <w:numId w:val="24"/>
        </w:numPr>
      </w:pPr>
      <w:r>
        <w:rPr>
          <w:b/>
        </w:rPr>
        <w:t xml:space="preserve">remboursement d'emprunt = destruction monétaire</w:t>
      </w:r>
      <w:r>
        <w:t xml:space="preserve"> : quand le crédit est remboursé, cette monnaie disparaît.</w:t>
      </w:r>
    </w:p>
    <w:p w14:paraId="7C8CB56D" w14:textId="77777777" w:rsidR="00F270FB" w:rsidRDefault="00000000">
      <w:r>
        <w:t xml:space="preserve">Pour créer de la monnaie, la banque doit détenir de la </w:t>
      </w:r>
      <w:r>
        <w:rPr>
          <w:b/>
        </w:rPr>
        <w:t xml:space="preserve">monnaie de banque centrale</w:t>
      </w:r>
      <w:r>
        <w:t xml:space="preserve"> (pour ses réserves obligatoires, et pour payer les autres banques quand ses clients font des virements, ou pour fournir des billets). Elle l'emprunte à la banque centrale au </w:t>
      </w:r>
      <w:r>
        <w:rPr>
          <w:b/>
        </w:rPr>
        <w:t xml:space="preserve">taux directeur</w:t>
      </w:r>
      <w:r>
        <w:t xml:space="preserve">. Si ce taux est élevé, la banque répercute ce coût sur ses clients : le crédit devient cher. S'il est bas, le crédit devient bon marché.</w:t>
      </w:r>
    </w:p>
    <w:p w14:paraId="71F25449" w14:textId="77777777" w:rsidR="00F270FB" w:rsidRDefault="00000000">
      <w:pPr>
        <w:pStyle w:val="Titre4"/>
      </w:pPr>
      <w:r>
        <w:t xml:space="preserve">b) Les différents taux d'intérêt directeurs (1) : les opérations d'open market</w:t>
      </w:r>
    </w:p>
    <w:p w14:paraId="51125891" w14:textId="77777777" w:rsidR="00F270FB" w:rsidRDefault="00000000">
      <w:r>
        <w:rPr>
          <w:b/>
        </w:rPr>
        <w:t xml:space="preserve">Opérations d'open market</w:t>
      </w:r>
      <w:r>
        <w:t xml:space="preserve"> : </w:t>
      </w:r>
      <w:r>
        <w:rPr>
          <w:b/>
        </w:rPr>
        <w:t xml:space="preserve">prêts temporaires</w:t>
      </w:r>
      <w:r>
        <w:t xml:space="preserve"> de la banque centrale aux banques </w:t>
      </w:r>
      <w:r>
        <w:rPr>
          <w:b/>
        </w:rPr>
        <w:t xml:space="preserve">en échange de la prise en pension de titres</w:t>
      </w:r>
      <w:r>
        <w:t xml:space="preserve">. Concrètement, la banque dépose des titres (obligations d'État par exemple) en </w:t>
      </w:r>
      <w:r>
        <w:rPr>
          <w:b/>
        </w:rPr>
        <w:t xml:space="preserve">garantie</w:t>
      </w:r>
      <w:r>
        <w:t xml:space="preserve"> ; elle récupère ses titres quand elle rembourse.</w:t>
      </w:r>
    </w:p>
    <w:p w14:paraId="28F9DC91" w14:textId="77777777" w:rsidR="00F270FB" w:rsidRDefault="00000000">
      <w:r>
        <w:rPr>
          <w:b/>
        </w:rPr>
        <w:t xml:space="preserve">Opérations principales de refinancement</w:t>
      </w:r>
      <w:r>
        <w:t xml:space="preserve"> (MRO, Main Refinancing Operations) ⇒ </w:t>
      </w:r>
      <w:r>
        <w:rPr>
          <w:b/>
        </w:rPr>
        <w:t xml:space="preserve">taux de refinancement</w:t>
      </w:r>
      <w:r>
        <w:t xml:space="preserve"> (le taux directeur « principal »).</w:t>
      </w:r>
    </w:p>
    <w:p w14:paraId="44FC2F18" w14:textId="77777777" w:rsidR="00F270FB" w:rsidRDefault="00000000">
      <w:pPr>
        <w:numPr>
          <w:ilvl w:val="0"/>
          <w:numId w:val="24"/>
        </w:numPr>
      </w:pPr>
      <w:r>
        <w:t xml:space="preserve">Ce sont des prêts d'</w:t>
      </w:r>
      <w:r>
        <w:rPr>
          <w:b/>
        </w:rPr>
        <w:t xml:space="preserve">une semaine</w:t>
      </w:r>
      <w:r>
        <w:t xml:space="preserve">, organisés chaque semaine.</w:t>
      </w:r>
    </w:p>
    <w:p w14:paraId="463CD1EF" w14:textId="77777777" w:rsidR="00F270FB" w:rsidRDefault="00000000">
      <w:pPr>
        <w:numPr>
          <w:ilvl w:val="0"/>
          <w:numId w:val="24"/>
        </w:numPr>
      </w:pPr>
      <w:r>
        <w:t xml:space="preserve">⇒ Elles </w:t>
      </w:r>
      <w:r>
        <w:rPr>
          <w:b/>
        </w:rPr>
        <w:t xml:space="preserve">influencent les taux et le montant du crédit commercial</w:t>
      </w:r>
      <w:r>
        <w:t xml:space="preserve"> (le crédit que les banques accordent à leurs clients).</w:t>
      </w:r>
    </w:p>
    <w:p w14:paraId="5CA929FE" w14:textId="77777777" w:rsidR="00F270FB" w:rsidRDefault="00000000">
      <w:r>
        <w:rPr>
          <w:b/>
        </w:rPr>
        <w:t xml:space="preserve">Autres formes d'open market :</w:t>
      </w:r>
    </w:p>
    <w:p w14:paraId="34E3DACD" w14:textId="77777777" w:rsidR="00F270FB" w:rsidRDefault="00000000">
      <w:pPr>
        <w:numPr>
          <w:ilvl w:val="0"/>
          <w:numId w:val="24"/>
        </w:numPr>
      </w:pPr>
      <w:r>
        <w:rPr>
          <w:b/>
        </w:rPr>
        <w:t xml:space="preserve">opérations de refinancement à plus long terme</w:t>
      </w:r>
      <w:r>
        <w:t xml:space="preserve"> (LTRO, et VLTRO pour « very long term ») : prêts de 3 mois en temps normal, et jusqu'à </w:t>
      </w:r>
      <w:r>
        <w:rPr>
          <w:b/>
        </w:rPr>
        <w:t xml:space="preserve">3 ans</w:t>
      </w:r>
      <w:r>
        <w:t xml:space="preserve"> pendant la crise de la zone euro (2011-2012) ;</w:t>
      </w:r>
    </w:p>
    <w:p w14:paraId="472C6AE5" w14:textId="77777777" w:rsidR="00F270FB" w:rsidRDefault="00000000">
      <w:pPr>
        <w:numPr>
          <w:ilvl w:val="0"/>
          <w:numId w:val="24"/>
        </w:numPr>
      </w:pPr>
      <w:r>
        <w:rPr>
          <w:b/>
        </w:rPr>
        <w:t xml:space="preserve">opérations de réglage fin</w:t>
      </w:r>
      <w:r>
        <w:t xml:space="preserve"> : interventions ponctuelles pour corriger un manque ou un excès soudain de liquidités sur le marché ;</w:t>
      </w:r>
    </w:p>
    <w:p w14:paraId="49C6921D" w14:textId="77777777" w:rsidR="00F270FB" w:rsidRDefault="00000000">
      <w:pPr>
        <w:numPr>
          <w:ilvl w:val="0"/>
          <w:numId w:val="24"/>
        </w:numPr>
      </w:pPr>
      <w:r>
        <w:rPr>
          <w:b/>
        </w:rPr>
        <w:t xml:space="preserve">opérations structurelles</w:t>
      </w:r>
      <w:r>
        <w:t xml:space="preserve"> : pour modifier durablement la quantité de liquidités dans le système bancaire.</w:t>
      </w:r>
    </w:p>
    <w:p w14:paraId="24A62751" w14:textId="77777777" w:rsidR="00F270FB" w:rsidRDefault="00000000">
      <w:pPr>
        <w:pStyle w:val="Titre4"/>
      </w:pPr>
      <w:r>
        <w:t xml:space="preserve">c) Les différents taux d'intérêt directeurs (2) : les facilités permanentes</w:t>
      </w:r>
    </w:p>
    <w:p w14:paraId="2DDA52B8" w14:textId="77777777" w:rsidR="00F270FB" w:rsidRDefault="00000000">
      <w:r>
        <w:rPr>
          <w:b/>
        </w:rPr>
        <w:t xml:space="preserve">Facilités permanentes</w:t>
      </w:r>
      <w:r>
        <w:t xml:space="preserve"> : </w:t>
      </w:r>
      <w:r>
        <w:rPr>
          <w:b/>
        </w:rPr>
        <w:t xml:space="preserve">opérations accessibles en permanence</w:t>
      </w:r>
      <w:r>
        <w:t xml:space="preserve">, à l'initiative des banques, </w:t>
      </w:r>
      <w:r>
        <w:rPr>
          <w:b/>
        </w:rPr>
        <w:t xml:space="preserve">permettant de fournir ou de retirer des liquidités pour 24h</w:t>
      </w:r>
      <w:r>
        <w:t xml:space="preserve"> (jusqu'au lendemain).</w:t>
      </w:r>
    </w:p>
    <w:p w14:paraId="370DE59C" w14:textId="77777777" w:rsidR="00F270FB" w:rsidRDefault="00000000">
      <w:pPr>
        <w:numPr>
          <w:ilvl w:val="0"/>
          <w:numId w:val="24"/>
        </w:numPr>
      </w:pPr>
      <w:r>
        <w:rPr>
          <w:b/>
        </w:rPr>
        <w:t xml:space="preserve">Facilité de dépôt</w:t>
      </w:r>
      <w:r>
        <w:t xml:space="preserve"> ⇒ </w:t>
      </w:r>
      <w:r>
        <w:rPr>
          <w:b/>
        </w:rPr>
        <w:t xml:space="preserve">taux de facilité de dépôt</w:t>
      </w:r>
      <w:r>
        <w:t xml:space="preserve"> : une banque qui a trop de liquidités peut les déposer pour la nuit à la BCE, rémunérées à ce taux. ⇒ C'est le </w:t>
      </w:r>
      <w:r>
        <w:rPr>
          <w:b/>
        </w:rPr>
        <w:t xml:space="preserve">taux plancher sur le marché interbancaire</w:t>
      </w:r>
      <w:r>
        <w:t xml:space="preserve"> : aucune banque n'acceptera de prêter à une autre banque à un taux inférieur à ce qu'elle obtient sans risque à la BCE.</w:t>
      </w:r>
    </w:p>
    <w:p w14:paraId="313C6130" w14:textId="77777777" w:rsidR="00F270FB" w:rsidRDefault="00000000">
      <w:pPr>
        <w:numPr>
          <w:ilvl w:val="0"/>
          <w:numId w:val="24"/>
        </w:numPr>
      </w:pPr>
      <w:r>
        <w:rPr>
          <w:b/>
        </w:rPr>
        <w:t xml:space="preserve">Facilité de prêt marginal</w:t>
      </w:r>
      <w:r>
        <w:t xml:space="preserve"> ⇒ </w:t>
      </w:r>
      <w:r>
        <w:rPr>
          <w:b/>
        </w:rPr>
        <w:t xml:space="preserve">taux de prêt marginal</w:t>
      </w:r>
      <w:r>
        <w:t xml:space="preserve"> : une banque qui manque de liquidités en fin de journée peut emprunter pour la nuit à la BCE, à ce taux (plus élevé). ⇒ C'est le </w:t>
      </w:r>
      <w:r>
        <w:rPr>
          <w:b/>
        </w:rPr>
        <w:t xml:space="preserve">taux plafond sur le marché interbancaire</w:t>
      </w:r>
      <w:r>
        <w:t xml:space="preserve"> : aucune banque n'acceptera d'emprunter à une autre plus cher que ce que lui demande la BCE.</w:t>
      </w:r>
    </w:p>
    <w:p w14:paraId="78030662" w14:textId="77777777" w:rsidR="00F270FB" w:rsidRDefault="00000000">
      <w:r>
        <w:t xml:space="preserve">Le </w:t>
      </w:r>
      <w:r>
        <w:rPr>
          <w:b/>
        </w:rPr>
        <w:t xml:space="preserve">marché interbancaire</w:t>
      </w:r>
      <w:r>
        <w:t xml:space="preserve"> est le marché où les banques se prêtent entre elles. Grâce aux facilités permanentes, le taux de ce marché reste </w:t>
      </w:r>
      <w:r>
        <w:rPr>
          <w:b/>
        </w:rPr>
        <w:t xml:space="preserve">dans un « corridor »</w:t>
      </w:r>
      <w:r>
        <w:t xml:space="preserve"> compris entre le taux de dépôt (plancher) et le taux de prêt marginal (plafond), avec le taux de refinancement entre les deux.</w:t>
      </w:r>
    </w:p>
    <w:tbl>
      <w:tblPr>
        <w:tblW w:w="90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60" w:type="dxa"/>
          <w:left w:w="100" w:type="dxa"/>
          <w:bottom w:w="60" w:type="dxa"/>
          <w:right w:w="100" w:type="dxa"/>
        </w:tblCellMar>
        <w:tblLook w:val="04A0" w:firstRow="1" w:lastRow="0" w:firstColumn="1" w:lastColumn="0" w:noHBand="0" w:noVBand="1"/>
      </w:tblPr>
      <w:tblGrid>
        <w:gridCol w:w="3000"/>
        <w:gridCol w:w="3036"/>
        <w:gridCol w:w="3036"/>
      </w:tblGrid>
      <w:tr w:rsidR="00F270FB">
        <w:trPr>
          <w:cantSplit/>
          <w:tblHeader/>
        </w:trPr>
        <w:tc>
          <w:tcPr>
            <w:tcW w:w="3000" w:type="dxa"/>
            <w:shd w:val="clear" w:color="auto" w:fill="DEEAF6"/>
          </w:tcPr>
          <w:p w14:paraId="7610E744" w14:textId="77777777" w:rsidR="00F270FB" w:rsidRDefault="00000000">
            <w:pPr>
              <w:keepNext/>
              <w:spacing w:after="0" w:line="252" w:lineRule="auto"/>
            </w:pPr>
            <w:r>
              <w:rPr>
                <w:sz w:val="21"/>
                <w:szCs w:val="21"/>
                <w:b/>
              </w:rPr>
              <w:t xml:space="preserve">Taux directeur</w:t>
            </w:r>
          </w:p>
        </w:tc>
        <w:tc>
          <w:tcPr>
            <w:tcW w:w="3036" w:type="dxa"/>
            <w:shd w:val="clear" w:color="auto" w:fill="DEEAF6"/>
          </w:tcPr>
          <w:p w14:paraId="1588D694" w14:textId="77777777" w:rsidR="00F270FB" w:rsidRDefault="00000000">
            <w:pPr>
              <w:keepNext/>
              <w:spacing w:after="0" w:line="252" w:lineRule="auto"/>
            </w:pPr>
            <w:r>
              <w:rPr>
                <w:sz w:val="21"/>
                <w:szCs w:val="21"/>
                <w:b/>
              </w:rPr>
              <w:t xml:space="preserve">Opération</w:t>
            </w:r>
          </w:p>
        </w:tc>
        <w:tc>
          <w:tcPr>
            <w:tcW w:w="3036" w:type="dxa"/>
            <w:shd w:val="clear" w:color="auto" w:fill="DEEAF6"/>
          </w:tcPr>
          <w:p w14:paraId="1A60AE48" w14:textId="77777777" w:rsidR="00F270FB" w:rsidRDefault="00000000">
            <w:pPr>
              <w:keepNext/>
              <w:spacing w:after="0" w:line="252" w:lineRule="auto"/>
            </w:pPr>
            <w:r>
              <w:rPr>
                <w:sz w:val="21"/>
                <w:szCs w:val="21"/>
                <w:b/>
              </w:rPr>
              <w:t xml:space="preserve">Rôle</w:t>
            </w:r>
          </w:p>
        </w:tc>
      </w:tr>
      <w:tr w:rsidR="00F270FB">
        <w:trPr>
          <w:cantSplit/>
        </w:trPr>
        <w:tc>
          <w:tcPr>
            <w:tcW w:w="3000" w:type="dxa"/>
            <w:shd w:val="clear" w:color="auto" w:fill="F2F7FC"/>
          </w:tcPr>
          <w:p w14:paraId="15EDE11D" w14:textId="77777777" w:rsidR="00F270FB" w:rsidRDefault="00000000">
            <w:pPr>
              <w:keepNext/>
              <w:spacing w:after="0" w:line="252" w:lineRule="auto"/>
            </w:pPr>
            <w:r>
              <w:rPr>
                <w:sz w:val="21"/>
                <w:szCs w:val="21"/>
                <w:b/>
              </w:rPr>
              <w:t xml:space="preserve">Taux de facilité de dépôt</w:t>
            </w:r>
          </w:p>
        </w:tc>
        <w:tc>
          <w:tcPr>
            <w:tcW w:w="3036" w:type="dxa"/>
            <w:shd w:val="clear" w:color="auto" w:fill="FFFFFF"/>
          </w:tcPr>
          <w:p w14:paraId="4B38C31E" w14:textId="77777777" w:rsidR="00F270FB" w:rsidRDefault="00000000">
            <w:pPr>
              <w:keepNext/>
              <w:spacing w:after="0" w:line="252" w:lineRule="auto"/>
            </w:pPr>
            <w:r>
              <w:rPr>
                <w:sz w:val="21"/>
                <w:szCs w:val="21"/>
              </w:rPr>
              <w:t xml:space="preserve">La banque dépose ses liquidités 24h à la BCE</w:t>
            </w:r>
          </w:p>
        </w:tc>
        <w:tc>
          <w:tcPr>
            <w:tcW w:w="3036" w:type="dxa"/>
            <w:shd w:val="clear" w:color="auto" w:fill="FFFFFF"/>
          </w:tcPr>
          <w:p w14:paraId="602C42D6" w14:textId="77777777" w:rsidR="00F270FB" w:rsidRDefault="00000000">
            <w:pPr>
              <w:keepNext/>
              <w:spacing w:after="0" w:line="252" w:lineRule="auto"/>
            </w:pPr>
            <w:r>
              <w:rPr>
                <w:sz w:val="21"/>
                <w:szCs w:val="21"/>
              </w:rPr>
              <w:t xml:space="preserve">Plancher du corridor (le plus bas des trois)</w:t>
            </w:r>
          </w:p>
        </w:tc>
      </w:tr>
      <w:tr w:rsidR="00F270FB">
        <w:trPr>
          <w:cantSplit/>
        </w:trPr>
        <w:tc>
          <w:tcPr>
            <w:tcW w:w="3000" w:type="dxa"/>
            <w:shd w:val="clear" w:color="auto" w:fill="F2F7FC"/>
          </w:tcPr>
          <w:p w14:paraId="33E53C41" w14:textId="77777777" w:rsidR="00F270FB" w:rsidRDefault="00000000">
            <w:pPr>
              <w:keepNext/>
              <w:spacing w:after="0" w:line="252" w:lineRule="auto"/>
            </w:pPr>
            <w:r>
              <w:rPr>
                <w:sz w:val="21"/>
                <w:szCs w:val="21"/>
                <w:b/>
              </w:rPr>
              <w:t xml:space="preserve">Taux de refinancement (MRO)</w:t>
            </w:r>
          </w:p>
        </w:tc>
        <w:tc>
          <w:tcPr>
            <w:tcW w:w="3036" w:type="dxa"/>
            <w:shd w:val="clear" w:color="auto" w:fill="FFFFFF"/>
          </w:tcPr>
          <w:p w14:paraId="526A668F" w14:textId="77777777" w:rsidR="00F270FB" w:rsidRDefault="00000000">
            <w:pPr>
              <w:keepNext/>
              <w:spacing w:after="0" w:line="252" w:lineRule="auto"/>
            </w:pPr>
            <w:r>
              <w:rPr>
                <w:sz w:val="21"/>
                <w:szCs w:val="21"/>
              </w:rPr>
              <w:t xml:space="preserve">La BCE prête pour 1 semaine contre des titres en garantie</w:t>
            </w:r>
          </w:p>
        </w:tc>
        <w:tc>
          <w:tcPr>
            <w:tcW w:w="3036" w:type="dxa"/>
            <w:shd w:val="clear" w:color="auto" w:fill="FFFFFF"/>
          </w:tcPr>
          <w:p w14:paraId="546E7CA1" w14:textId="77777777" w:rsidR="00F270FB" w:rsidRDefault="00000000">
            <w:pPr>
              <w:keepNext/>
              <w:spacing w:after="0" w:line="252" w:lineRule="auto"/>
            </w:pPr>
            <w:r>
              <w:rPr>
                <w:sz w:val="21"/>
                <w:szCs w:val="21"/>
              </w:rPr>
              <w:t xml:space="preserve">Taux principal, au milieu</w:t>
            </w:r>
          </w:p>
        </w:tc>
      </w:tr>
      <w:tr w:rsidR="00F270FB">
        <w:trPr>
          <w:cantSplit/>
        </w:trPr>
        <w:tc>
          <w:tcPr>
            <w:tcW w:w="3000" w:type="dxa"/>
            <w:shd w:val="clear" w:color="auto" w:fill="F2F7FC"/>
          </w:tcPr>
          <w:p w14:paraId="62F199E5" w14:textId="77777777" w:rsidR="00F270FB" w:rsidRDefault="00000000">
            <w:pPr>
              <w:spacing w:after="0" w:line="252" w:lineRule="auto"/>
            </w:pPr>
            <w:r>
              <w:rPr>
                <w:sz w:val="21"/>
                <w:szCs w:val="21"/>
                <w:b/>
              </w:rPr>
              <w:t xml:space="preserve">Taux de prêt marginal</w:t>
            </w:r>
          </w:p>
        </w:tc>
        <w:tc>
          <w:tcPr>
            <w:tcW w:w="3036" w:type="dxa"/>
            <w:shd w:val="clear" w:color="auto" w:fill="FFFFFF"/>
          </w:tcPr>
          <w:p w14:paraId="4C519850" w14:textId="77777777" w:rsidR="00F270FB" w:rsidRDefault="00000000">
            <w:pPr>
              <w:spacing w:after="0" w:line="252" w:lineRule="auto"/>
            </w:pPr>
            <w:r>
              <w:rPr>
                <w:sz w:val="21"/>
                <w:szCs w:val="21"/>
              </w:rPr>
              <w:t xml:space="preserve">La BCE prête 24h à une banque qui en a besoin</w:t>
            </w:r>
          </w:p>
        </w:tc>
        <w:tc>
          <w:tcPr>
            <w:tcW w:w="3036" w:type="dxa"/>
            <w:shd w:val="clear" w:color="auto" w:fill="FFFFFF"/>
          </w:tcPr>
          <w:p w14:paraId="69B664D5" w14:textId="77777777" w:rsidR="00F270FB" w:rsidRDefault="00000000">
            <w:pPr>
              <w:spacing w:after="0" w:line="252" w:lineRule="auto"/>
            </w:pPr>
            <w:r>
              <w:rPr>
                <w:sz w:val="21"/>
                <w:szCs w:val="21"/>
              </w:rPr>
              <w:t xml:space="preserve">Plafond du corridor (le plus haut des trois)</w:t>
            </w:r>
          </w:p>
        </w:tc>
      </w:tr>
    </w:tbl>
    <w:p w14:paraId="3BE249C8" w14:textId="77777777" w:rsidR="00F270FB" w:rsidRDefault="00000000"/>
    <w:p w14:paraId="22916A9C" w14:textId="77777777" w:rsidR="00F270FB" w:rsidRDefault="00000000">
      <w:r>
        <w:rPr>
          <w:b/>
        </w:rPr>
        <w:t xml:space="preserve">Exemple</w:t>
      </w:r>
      <w:r>
        <w:t xml:space="preserve"> : à partir de juin 2025, les taux de la BCE étaient de </w:t>
      </w:r>
      <w:r>
        <w:rPr>
          <w:b/>
        </w:rPr>
        <w:t xml:space="preserve">2 %</w:t>
      </w:r>
      <w:r>
        <w:t xml:space="preserve"> (dépôt), </w:t>
      </w:r>
      <w:r>
        <w:rPr>
          <w:b/>
        </w:rPr>
        <w:t xml:space="preserve">2,15 %</w:t>
      </w:r>
      <w:r>
        <w:t xml:space="preserve"> (refinancement) et </w:t>
      </w:r>
      <w:r>
        <w:rPr>
          <w:b/>
        </w:rPr>
        <w:t xml:space="preserve">2,40 %</w:t>
      </w:r>
      <w:r>
        <w:t xml:space="preserve"> (prêt marginal). On retrouve bien l'ordre plancher &lt; principal &lt; plafond.</w:t>
      </w:r>
    </w:p>
    <w:p w14:paraId="663E6252" w14:textId="77777777" w:rsidR="00F270FB" w:rsidRDefault="00000000">
      <w:pPr>
        <w:pStyle w:val="Titre3"/>
      </w:pPr>
      <w:bookmarkStart w:id="108" w:name="_Toc2431232108"/>
      <w:r>
        <w:t xml:space="preserve">2°) Les réserves obligatoires</w:t>
      </w:r>
      <w:bookmarkEnd w:id="108"/>
    </w:p>
    <w:p w14:paraId="29088D60" w14:textId="77777777" w:rsidR="00F270FB" w:rsidRDefault="00000000">
      <w:r>
        <w:rPr>
          <w:b/>
        </w:rPr>
        <w:t xml:space="preserve">Réserve obligatoire</w:t>
      </w:r>
      <w:r>
        <w:t xml:space="preserve"> : </w:t>
      </w:r>
      <w:r>
        <w:rPr>
          <w:b/>
        </w:rPr>
        <w:t xml:space="preserve">portion des dépôts que les banques commerciales doivent conserver auprès de la banque centrale</w:t>
      </w:r>
      <w:r>
        <w:t xml:space="preserve"> (le « r » du I 2°).</w:t>
      </w:r>
    </w:p>
    <w:p w14:paraId="18810E4F" w14:textId="77777777" w:rsidR="00F270FB" w:rsidRDefault="00000000">
      <w:pPr>
        <w:numPr>
          <w:ilvl w:val="0"/>
          <w:numId w:val="24"/>
        </w:numPr>
      </w:pPr>
      <w:r>
        <w:t xml:space="preserve">Dans la zone euro, le taux est de </w:t>
      </w:r>
      <w:r>
        <w:rPr>
          <w:b/>
        </w:rPr>
        <w:t xml:space="preserve">1 %</w:t>
      </w:r>
      <w:r>
        <w:t xml:space="preserve"> des dépôts concernés depuis 2012 (2 % avant).</w:t>
      </w:r>
    </w:p>
    <w:p w14:paraId="44D67489" w14:textId="77777777" w:rsidR="00F270FB" w:rsidRDefault="00000000">
      <w:pPr>
        <w:numPr>
          <w:ilvl w:val="0"/>
          <w:numId w:val="24"/>
        </w:numPr>
      </w:pPr>
      <w:r>
        <w:rPr>
          <w:b/>
        </w:rPr>
        <w:t xml:space="preserve">Hausse de r</w:t>
      </w:r>
      <w:r>
        <w:t xml:space="preserve"> ⇒ les banques doivent immobiliser plus de monnaie ⇒ elles peuvent moins prêter ⇒ politique </w:t>
      </w:r>
      <w:r>
        <w:rPr>
          <w:b/>
        </w:rPr>
        <w:t xml:space="preserve">restrictive</w:t>
      </w:r>
      <w:r>
        <w:t xml:space="preserve">. </w:t>
      </w:r>
      <w:r>
        <w:rPr>
          <w:b/>
        </w:rPr>
        <w:t xml:space="preserve">Baisse de r</w:t>
      </w:r>
      <w:r>
        <w:t xml:space="preserve"> ⇒ politique </w:t>
      </w:r>
      <w:r>
        <w:rPr>
          <w:b/>
        </w:rPr>
        <w:t xml:space="preserve">expansionniste</w:t>
      </w:r>
      <w:r>
        <w:t xml:space="preserve">.</w:t>
      </w:r>
    </w:p>
    <w:p w14:paraId="29F11C5A" w14:textId="77777777" w:rsidR="00F270FB" w:rsidRDefault="00000000">
      <w:pPr>
        <w:numPr>
          <w:ilvl w:val="0"/>
          <w:numId w:val="24"/>
        </w:numPr>
      </w:pPr>
      <w:r>
        <w:t xml:space="preserve">En pratique, la BCE utilise </w:t>
      </w:r>
      <w:r>
        <w:rPr>
          <w:b/>
        </w:rPr>
        <w:t xml:space="preserve">rarement</w:t>
      </w:r>
      <w:r>
        <w:t xml:space="preserve"> cet instrument pour piloter sa politique : ce sont surtout les taux directeurs qui comptent.</w:t>
      </w:r>
    </w:p>
    <w:p w14:paraId="61484E5B" w14:textId="77777777" w:rsidR="00F270FB" w:rsidRDefault="00000000">
      <w:pPr>
        <w:pStyle w:val="Titre3"/>
      </w:pPr>
      <w:bookmarkStart w:id="109" w:name="_Toc2431232109"/>
      <w:r>
        <w:t xml:space="preserve">3°) Les canaux de transmission de la politique monétaire</w:t>
      </w:r>
      <w:bookmarkEnd w:id="109"/>
    </w:p>
    <w:p w14:paraId="60FB2A83" w14:textId="77777777" w:rsidR="00F270FB" w:rsidRDefault="00000000">
      <w:r>
        <w:rPr>
          <w:b/>
        </w:rPr>
        <w:t xml:space="preserve">Canaux de transmission de la politique monétaire</w:t>
      </w:r>
      <w:r>
        <w:t xml:space="preserve"> : </w:t>
      </w:r>
      <w:r>
        <w:rPr>
          <w:b/>
        </w:rPr>
        <w:t xml:space="preserve">mécanismes qui interviennent entre l'action de la banque centrale et les effets de cette action sur l'économie.</w:t>
      </w:r>
      <w:r>
        <w:t xml:space="preserve"> Autrement dit : comment une décision prise à Francfort finit par changer la consommation, l'investissement et les prix.</w:t>
      </w:r>
    </w:p>
    <w:p w14:paraId="4877AAD8" w14:textId="77777777" w:rsidR="00F270FB" w:rsidRDefault="00000000">
      <w:r>
        <w:t xml:space="preserve">Deux sens possibles pour chaque canal :</w:t>
      </w:r>
    </w:p>
    <w:p w14:paraId="335DF4F4" w14:textId="77777777" w:rsidR="00F270FB" w:rsidRDefault="00000000">
      <w:pPr>
        <w:numPr>
          <w:ilvl w:val="0"/>
          <w:numId w:val="24"/>
        </w:numPr>
      </w:pPr>
      <w:r>
        <w:rPr>
          <w:b/>
        </w:rPr>
        <w:t xml:space="preserve">politique monétaire expansionniste</w:t>
      </w:r>
      <w:r>
        <w:t xml:space="preserve"> (souple) : </w:t>
      </w:r>
      <w:r>
        <w:rPr>
          <w:b/>
        </w:rPr>
        <w:t xml:space="preserve">baisse</w:t>
      </w:r>
      <w:r>
        <w:t xml:space="preserve"> des taux directeurs, pour relancer l'activité (en vert sur les diapos) ;</w:t>
      </w:r>
    </w:p>
    <w:p w14:paraId="278399E4" w14:textId="77777777" w:rsidR="00F270FB" w:rsidRDefault="00000000">
      <w:pPr>
        <w:numPr>
          <w:ilvl w:val="0"/>
          <w:numId w:val="24"/>
        </w:numPr>
      </w:pPr>
      <w:r>
        <w:rPr>
          <w:b/>
        </w:rPr>
        <w:t xml:space="preserve">politique monétaire restrictive</w:t>
      </w:r>
      <w:r>
        <w:t xml:space="preserve"> (dure) : </w:t>
      </w:r>
      <w:r>
        <w:rPr>
          <w:b/>
        </w:rPr>
        <w:t xml:space="preserve">hausse</w:t>
      </w:r>
      <w:r>
        <w:t xml:space="preserve"> des taux directeurs, pour freiner l'activité et l'inflation (en rouge sur les diapos).</w:t>
      </w:r>
    </w:p>
    <w:p w14:paraId="3D8BDCB3" w14:textId="77777777" w:rsidR="00F270FB" w:rsidRDefault="00000000">
      <w:pPr>
        <w:pStyle w:val="Titre4"/>
      </w:pPr>
      <w:r>
        <w:t xml:space="preserve">a) Le canal du taux d'intérêt</w:t>
      </w:r>
    </w:p>
    <w:p w14:paraId="47CC5E51" w14:textId="77777777" w:rsidR="00F270FB" w:rsidRDefault="00000000">
      <w:r>
        <w:t xml:space="preserve">Décrit le processus par lequel </w:t>
      </w:r>
      <w:r>
        <w:rPr>
          <w:b/>
        </w:rPr>
        <w:t xml:space="preserve">les changements des taux d'intérêt directeurs entraînent une modification des taux d'intérêt pour les agents économiques.</w:t>
      </w:r>
    </w:p>
    <w:p w14:paraId="6F9BD15F" w14:textId="77777777" w:rsidR="00F270FB" w:rsidRDefault="00000000">
      <w:pPr>
        <w:keepNext/>
        <w:spacing w:before="120" w:after="40"/>
        <w:jc w:val="center"/>
      </w:pPr>
      <w:r>
        <w:rPr>
          <w:noProof/>
        </w:rPr>
        <w:drawing>
          <wp:inline distT="0" distB="0" distL="0" distR="0">
            <wp:extent cx="4680000" cy="2502100"/>
            <wp:effectExtent l="0" t="0" r="0" b="0"/>
            <wp:docPr id="7102" name="Illustration 7102" descr="Le canal du taux d'intérêt (diapo 13) – en vert : politique expansionniste, en rouge : politique restri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 name="slide_c4_13.png"/>
                    <pic:cNvPicPr/>
                  </pic:nvPicPr>
                  <pic:blipFill>
                    <a:blip r:embed="rId202"/>
                    <a:stretch>
                      <a:fillRect/>
                    </a:stretch>
                  </pic:blipFill>
                  <pic:spPr>
                    <a:xfrm>
                      <a:off x="0" y="0"/>
                      <a:ext cx="4680000" cy="2502100"/>
                    </a:xfrm>
                    <a:prstGeom prst="rect">
                      <a:avLst/>
                    </a:prstGeom>
                    <a:ln w="6350">
                      <a:solidFill>
                        <a:srgbClr val="BFBFBF"/>
                      </a:solidFill>
                    </a:ln>
                  </pic:spPr>
                </pic:pic>
              </a:graphicData>
            </a:graphic>
          </wp:inline>
        </w:drawing>
      </w:r>
    </w:p>
    <w:p w14:paraId="5B5CC5AF" w14:textId="77777777" w:rsidR="00F270FB" w:rsidRDefault="00000000">
      <w:pPr>
        <w:spacing w:after="200"/>
        <w:jc w:val="center"/>
      </w:pPr>
      <w:r>
        <w:rPr>
          <w:i/>
          <w:color w:val="6B6B6B"/>
          <w:sz w:val="19"/>
          <w:szCs w:val="19"/>
        </w:rPr>
        <w:t xml:space="preserve">Le canal du taux d'intérêt (diapo 13) – en vert : politique expansionniste, en rouge : politique restrictive.</w:t>
      </w:r>
    </w:p>
    <w:tbl>
      <w:tblPr>
        <w:tblW w:w="9072"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top w:w="60" w:type="dxa"/>
          <w:left w:w="100" w:type="dxa"/>
          <w:bottom w:w="60" w:type="dxa"/>
          <w:right w:w="100" w:type="dxa"/>
        </w:tblCellMar>
        <w:tblLook w:val="04A0" w:firstRow="1" w:lastRow="0" w:firstColumn="1" w:lastColumn="0" w:noHBand="0" w:noVBand="1"/>
      </w:tblPr>
      <w:tblGrid>
        <w:gridCol w:w="2400"/>
        <w:gridCol w:w="3336"/>
        <w:gridCol w:w="3336"/>
      </w:tblGrid>
      <w:tr w:rsidR="00F270FB">
        <w:trPr>
          <w:cantSplit/>
          <w:tblHeader/>
        </w:trPr>
        <w:tc>
          <w:tcPr>
            <w:tcW w:w="2400" w:type="dxa"/>
            <w:shd w:val="clear" w:color="auto" w:fill="DEEAF6"/>
          </w:tcPr>
          <w:p w14:paraId="390BADBD" w14:textId="77777777" w:rsidR="00F270FB" w:rsidRDefault="00000000">
            <w:pPr>
              <w:keepNext/>
              <w:spacing w:after="0" w:line="252" w:lineRule="auto"/>
            </w:pPr>
            <w:r>
              <w:rPr>
                <w:sz w:val="21"/>
                <w:szCs w:val="21"/>
                <w:b/>
              </w:rPr>
              <w:t xml:space="preserve">Étape</w:t>
            </w:r>
          </w:p>
        </w:tc>
        <w:tc>
          <w:tcPr>
            <w:tcW w:w="3336" w:type="dxa"/>
            <w:shd w:val="clear" w:color="auto" w:fill="DEEAF6"/>
          </w:tcPr>
          <w:p w14:paraId="613512E4" w14:textId="77777777" w:rsidR="00F270FB" w:rsidRDefault="00000000">
            <w:pPr>
              <w:keepNext/>
              <w:spacing w:after="0" w:line="252" w:lineRule="auto"/>
            </w:pPr>
            <w:r>
              <w:rPr>
                <w:sz w:val="21"/>
                <w:szCs w:val="21"/>
                <w:b/>
              </w:rPr>
              <w:t xml:space="preserve">Politique expansionniste</w:t>
            </w:r>
          </w:p>
        </w:tc>
        <w:tc>
          <w:tcPr>
            <w:tcW w:w="3336" w:type="dxa"/>
            <w:shd w:val="clear" w:color="auto" w:fill="DEEAF6"/>
          </w:tcPr>
          <w:p w14:paraId="577DE0B8" w14:textId="77777777" w:rsidR="00F270FB" w:rsidRDefault="00000000">
            <w:pPr>
              <w:keepNext/>
              <w:spacing w:after="0" w:line="252" w:lineRule="auto"/>
            </w:pPr>
            <w:r>
              <w:rPr>
                <w:sz w:val="21"/>
                <w:szCs w:val="21"/>
                <w:b/>
              </w:rPr>
              <w:t xml:space="preserve">Politique restrictive</w:t>
            </w:r>
          </w:p>
        </w:tc>
      </w:tr>
      <w:tr w:rsidR="00F270FB">
        <w:trPr>
          <w:cantSplit/>
        </w:trPr>
        <w:tc>
          <w:tcPr>
            <w:tcW w:w="2400" w:type="dxa"/>
            <w:shd w:val="clear" w:color="auto" w:fill="F2F7FC"/>
          </w:tcPr>
          <w:p w14:paraId="296F66B5" w14:textId="77777777" w:rsidR="00F270FB" w:rsidRDefault="00000000">
            <w:pPr>
              <w:keepNext/>
              <w:spacing w:after="0" w:line="252" w:lineRule="auto"/>
            </w:pPr>
            <w:r>
              <w:rPr>
                <w:sz w:val="21"/>
                <w:szCs w:val="21"/>
                <w:b/>
              </w:rPr>
              <w:t xml:space="preserve">1. Taux directeurs</w:t>
            </w:r>
          </w:p>
        </w:tc>
        <w:tc>
          <w:tcPr>
            <w:tcW w:w="3336" w:type="dxa"/>
            <w:shd w:val="clear" w:color="auto" w:fill="FFFFFF"/>
          </w:tcPr>
          <w:p w14:paraId="396991BB" w14:textId="77777777" w:rsidR="00F270FB" w:rsidRDefault="00000000">
            <w:pPr>
              <w:keepNext/>
              <w:spacing w:after="0" w:line="252" w:lineRule="auto"/>
            </w:pPr>
            <w:r>
              <w:rPr>
                <w:sz w:val="21"/>
                <w:szCs w:val="21"/>
              </w:rPr>
              <w:t xml:space="preserve">Baisse</w:t>
            </w:r>
          </w:p>
        </w:tc>
        <w:tc>
          <w:tcPr>
            <w:tcW w:w="3336" w:type="dxa"/>
            <w:shd w:val="clear" w:color="auto" w:fill="FFFFFF"/>
          </w:tcPr>
          <w:p w14:paraId="1CECE4E6" w14:textId="77777777" w:rsidR="00F270FB" w:rsidRDefault="00000000">
            <w:pPr>
              <w:keepNext/>
              <w:spacing w:after="0" w:line="252" w:lineRule="auto"/>
            </w:pPr>
            <w:r>
              <w:rPr>
                <w:sz w:val="21"/>
                <w:szCs w:val="21"/>
              </w:rPr>
              <w:t xml:space="preserve">Hausse</w:t>
            </w:r>
          </w:p>
        </w:tc>
      </w:tr>
      <w:tr w:rsidR="00F270FB">
        <w:trPr>
          <w:cantSplit/>
        </w:trPr>
        <w:tc>
          <w:tcPr>
            <w:tcW w:w="2400" w:type="dxa"/>
            <w:shd w:val="clear" w:color="auto" w:fill="F2F7FC"/>
          </w:tcPr>
          <w:p w14:paraId="7B72528A" w14:textId="77777777" w:rsidR="00F270FB" w:rsidRDefault="00000000">
            <w:pPr>
              <w:keepNext/>
              <w:spacing w:after="0" w:line="252" w:lineRule="auto"/>
            </w:pPr>
            <w:r>
              <w:rPr>
                <w:sz w:val="21"/>
                <w:szCs w:val="21"/>
                <w:b/>
              </w:rPr>
              <w:t xml:space="preserve">2. Taux du marché</w:t>
            </w:r>
          </w:p>
        </w:tc>
        <w:tc>
          <w:tcPr>
            <w:tcW w:w="3336" w:type="dxa"/>
            <w:shd w:val="clear" w:color="auto" w:fill="FFFFFF"/>
          </w:tcPr>
          <w:p w14:paraId="17E2D821" w14:textId="77777777" w:rsidR="00F270FB" w:rsidRDefault="00000000">
            <w:pPr>
              <w:keepNext/>
              <w:spacing w:after="0" w:line="252" w:lineRule="auto"/>
            </w:pPr>
            <w:r>
              <w:rPr>
                <w:sz w:val="21"/>
                <w:szCs w:val="21"/>
              </w:rPr>
              <w:t xml:space="preserve">Les banques se refinancent à taux plus bas ⇒ taux créditeurs et débiteurs diminuent</w:t>
            </w:r>
          </w:p>
        </w:tc>
        <w:tc>
          <w:tcPr>
            <w:tcW w:w="3336" w:type="dxa"/>
            <w:shd w:val="clear" w:color="auto" w:fill="FFFFFF"/>
          </w:tcPr>
          <w:p w14:paraId="6AA51181" w14:textId="77777777" w:rsidR="00F270FB" w:rsidRDefault="00000000">
            <w:pPr>
              <w:keepNext/>
              <w:spacing w:after="0" w:line="252" w:lineRule="auto"/>
            </w:pPr>
            <w:r>
              <w:rPr>
                <w:sz w:val="21"/>
                <w:szCs w:val="21"/>
              </w:rPr>
              <w:t xml:space="preserve">Les banques se refinancent à taux plus élevés ⇒ taux créditeurs et débiteurs augmentent</w:t>
            </w:r>
          </w:p>
        </w:tc>
      </w:tr>
      <w:tr w:rsidR="00F270FB">
        <w:trPr>
          <w:cantSplit/>
        </w:trPr>
        <w:tc>
          <w:tcPr>
            <w:tcW w:w="2400" w:type="dxa"/>
            <w:shd w:val="clear" w:color="auto" w:fill="F2F7FC"/>
          </w:tcPr>
          <w:p w14:paraId="2D4B9800" w14:textId="77777777" w:rsidR="00F270FB" w:rsidRDefault="00000000">
            <w:pPr>
              <w:keepNext/>
              <w:spacing w:after="0" w:line="252" w:lineRule="auto"/>
            </w:pPr>
            <w:r>
              <w:rPr>
                <w:sz w:val="21"/>
                <w:szCs w:val="21"/>
                <w:b/>
              </w:rPr>
              <w:t xml:space="preserve">3a. Emprunteurs</w:t>
            </w:r>
          </w:p>
        </w:tc>
        <w:tc>
          <w:tcPr>
            <w:tcW w:w="3336" w:type="dxa"/>
            <w:shd w:val="clear" w:color="auto" w:fill="FFFFFF"/>
          </w:tcPr>
          <w:p w14:paraId="33846CC4" w14:textId="77777777" w:rsidR="00F270FB" w:rsidRDefault="00000000">
            <w:pPr>
              <w:keepNext/>
              <w:spacing w:after="0" w:line="252" w:lineRule="auto"/>
            </w:pPr>
            <w:r>
              <w:rPr>
                <w:sz w:val="21"/>
                <w:szCs w:val="21"/>
              </w:rPr>
              <w:t xml:space="preserve">Plus d'emprunts</w:t>
            </w:r>
          </w:p>
        </w:tc>
        <w:tc>
          <w:tcPr>
            <w:tcW w:w="3336" w:type="dxa"/>
            <w:shd w:val="clear" w:color="auto" w:fill="FFFFFF"/>
          </w:tcPr>
          <w:p w14:paraId="71F0D61D" w14:textId="77777777" w:rsidR="00F270FB" w:rsidRDefault="00000000">
            <w:pPr>
              <w:keepNext/>
              <w:spacing w:after="0" w:line="252" w:lineRule="auto"/>
            </w:pPr>
            <w:r>
              <w:rPr>
                <w:sz w:val="21"/>
                <w:szCs w:val="21"/>
              </w:rPr>
              <w:t xml:space="preserve">Moins d'emprunts</w:t>
            </w:r>
          </w:p>
        </w:tc>
      </w:tr>
      <w:tr w:rsidR="00F270FB">
        <w:trPr>
          <w:cantSplit/>
        </w:trPr>
        <w:tc>
          <w:tcPr>
            <w:tcW w:w="2400" w:type="dxa"/>
            <w:shd w:val="clear" w:color="auto" w:fill="F2F7FC"/>
          </w:tcPr>
          <w:p w14:paraId="5A858B7F" w14:textId="77777777" w:rsidR="00F270FB" w:rsidRDefault="00000000">
            <w:pPr>
              <w:keepNext/>
              <w:spacing w:after="0" w:line="252" w:lineRule="auto"/>
            </w:pPr>
            <w:r>
              <w:rPr>
                <w:sz w:val="21"/>
                <w:szCs w:val="21"/>
                <w:b/>
              </w:rPr>
              <w:t xml:space="preserve">3b. Épargnants</w:t>
            </w:r>
          </w:p>
        </w:tc>
        <w:tc>
          <w:tcPr>
            <w:tcW w:w="3336" w:type="dxa"/>
            <w:shd w:val="clear" w:color="auto" w:fill="FFFFFF"/>
          </w:tcPr>
          <w:p w14:paraId="5EC67A6A" w14:textId="77777777" w:rsidR="00F270FB" w:rsidRDefault="00000000">
            <w:pPr>
              <w:keepNext/>
              <w:spacing w:after="0" w:line="252" w:lineRule="auto"/>
            </w:pPr>
            <w:r>
              <w:rPr>
                <w:sz w:val="21"/>
                <w:szCs w:val="21"/>
              </w:rPr>
              <w:t xml:space="preserve">Moins d'épargne</w:t>
            </w:r>
          </w:p>
        </w:tc>
        <w:tc>
          <w:tcPr>
            <w:tcW w:w="3336" w:type="dxa"/>
            <w:shd w:val="clear" w:color="auto" w:fill="FFFFFF"/>
          </w:tcPr>
          <w:p w14:paraId="7E5942FC" w14:textId="77777777" w:rsidR="00F270FB" w:rsidRDefault="00000000">
            <w:pPr>
              <w:keepNext/>
              <w:spacing w:after="0" w:line="252" w:lineRule="auto"/>
            </w:pPr>
            <w:r>
              <w:rPr>
                <w:sz w:val="21"/>
                <w:szCs w:val="21"/>
              </w:rPr>
              <w:t xml:space="preserve">Plus d'épargne</w:t>
            </w:r>
          </w:p>
        </w:tc>
      </w:tr>
      <w:tr w:rsidR="00F270FB">
        <w:trPr>
          <w:cantSplit/>
        </w:trPr>
        <w:tc>
          <w:tcPr>
            <w:tcW w:w="2400" w:type="dxa"/>
            <w:shd w:val="clear" w:color="auto" w:fill="F2F7FC"/>
          </w:tcPr>
          <w:p w14:paraId="2E63AF9F" w14:textId="77777777" w:rsidR="00F270FB" w:rsidRDefault="00000000">
            <w:pPr>
              <w:spacing w:after="0" w:line="252" w:lineRule="auto"/>
            </w:pPr>
            <w:r>
              <w:rPr>
                <w:sz w:val="21"/>
                <w:szCs w:val="21"/>
                <w:b/>
              </w:rPr>
              <w:t xml:space="preserve">4. Économie</w:t>
            </w:r>
          </w:p>
        </w:tc>
        <w:tc>
          <w:tcPr>
            <w:tcW w:w="3336" w:type="dxa"/>
            <w:shd w:val="clear" w:color="auto" w:fill="FFFFFF"/>
          </w:tcPr>
          <w:p w14:paraId="1FA275E8" w14:textId="77777777" w:rsidR="00F270FB" w:rsidRDefault="00000000">
            <w:pPr>
              <w:spacing w:after="0" w:line="252" w:lineRule="auto"/>
            </w:pPr>
            <w:r>
              <w:rPr>
                <w:sz w:val="21"/>
                <w:szCs w:val="21"/>
              </w:rPr>
              <w:t xml:space="preserve">Consommation et investissement augmentent</w:t>
            </w:r>
          </w:p>
        </w:tc>
        <w:tc>
          <w:tcPr>
            <w:tcW w:w="3336" w:type="dxa"/>
            <w:shd w:val="clear" w:color="auto" w:fill="FFFFFF"/>
          </w:tcPr>
          <w:p w14:paraId="3A606734" w14:textId="77777777" w:rsidR="00F270FB" w:rsidRDefault="00000000">
            <w:pPr>
              <w:spacing w:after="0" w:line="252" w:lineRule="auto"/>
            </w:pPr>
            <w:r>
              <w:rPr>
                <w:sz w:val="21"/>
                <w:szCs w:val="21"/>
              </w:rPr>
              <w:t xml:space="preserve">Consommation et investissement diminuent</w:t>
            </w:r>
          </w:p>
        </w:tc>
      </w:tr>
    </w:tbl>
    <w:p w14:paraId="26B99EE6" w14:textId="77777777" w:rsidR="00F270FB" w:rsidRDefault="00000000"/>
    <w:p w14:paraId="353D0182" w14:textId="77777777" w:rsidR="00F270FB" w:rsidRDefault="00000000">
      <w:pPr>
        <w:numPr>
          <w:ilvl w:val="0"/>
          <w:numId w:val="24"/>
        </w:numPr>
      </w:pPr>
      <w:r>
        <w:rPr>
          <w:b/>
        </w:rPr>
        <w:t xml:space="preserve">Taux créditeurs</w:t>
      </w:r>
      <w:r>
        <w:t xml:space="preserve"> = taux que la banque </w:t>
      </w:r>
      <w:r>
        <w:rPr>
          <w:b/>
        </w:rPr>
        <w:t xml:space="preserve">verse</w:t>
      </w:r>
      <w:r>
        <w:t xml:space="preserve"> aux épargnants (Livret, compte à terme…). </w:t>
      </w:r>
      <w:r>
        <w:rPr>
          <w:b/>
        </w:rPr>
        <w:t xml:space="preserve">Taux débiteurs</w:t>
      </w:r>
      <w:r>
        <w:t xml:space="preserve"> = taux que la banque </w:t>
      </w:r>
      <w:r>
        <w:rPr>
          <w:b/>
        </w:rPr>
        <w:t xml:space="preserve">fait payer</w:t>
      </w:r>
      <w:r>
        <w:t xml:space="preserve"> aux emprunteurs (crédit immobilier, crédit à la consommation…).</w:t>
      </w:r>
    </w:p>
    <w:p w14:paraId="4AC1206F" w14:textId="77777777" w:rsidR="00F270FB" w:rsidRDefault="00000000">
      <w:pPr>
        <w:numPr>
          <w:ilvl w:val="0"/>
          <w:numId w:val="24"/>
        </w:numPr>
      </w:pPr>
      <w:r>
        <w:t xml:space="preserve">Si l'épargne rapporte moins, on a moins intérêt à épargner et plus intérêt à consommer ; si emprunter coûte moins cher, on emprunte plus pour consommer ou investir. Et inversement.</w:t>
      </w:r>
    </w:p>
    <w:p w14:paraId="13495A9A" w14:textId="77777777" w:rsidR="00F270FB" w:rsidRDefault="00000000">
      <w:pPr>
        <w:pStyle w:val="Titre4"/>
      </w:pPr>
      <w:r>
        <w:t xml:space="preserve">b) Le canal du crédit</w:t>
      </w:r>
    </w:p>
    <w:p w14:paraId="157AD643" w14:textId="77777777" w:rsidR="00F270FB" w:rsidRDefault="00000000">
      <w:r>
        <w:rPr>
          <w:i/>
          <w:color w:val="6B6B6B"/>
        </w:rPr>
        <w:t xml:space="preserve">Diapo barrée par le professeur : a priori hors programme. Pour info : ce canal décrit comment la politique monétaire modifie la capacité et la volonté des banques à prêter (expansionniste : plus de réserves ⇒ plus de prêts ; restrictive : moins de réserves ⇒ moins de prêts).</w:t>
      </w:r>
    </w:p>
    <w:p w14:paraId="3DB4EE11" w14:textId="77777777" w:rsidR="00F270FB" w:rsidRDefault="00000000">
      <w:pPr>
        <w:pStyle w:val="Titre4"/>
      </w:pPr>
      <w:r>
        <w:t xml:space="preserve">c) Le canal du prix des actifs réels et financiers</w:t>
      </w:r>
    </w:p>
    <w:p w14:paraId="6940DC44" w14:textId="77777777" w:rsidR="00F270FB" w:rsidRDefault="00000000">
      <w:r>
        <w:t xml:space="preserve">Décrit </w:t>
      </w:r>
      <w:r>
        <w:rPr>
          <w:b/>
        </w:rPr>
        <w:t xml:space="preserve">comment les changements dans la valeur des actifs affectent la consommation et l'investissement.</w:t>
      </w:r>
      <w:r>
        <w:t xml:space="preserve"> Les actifs = le patrimoine : </w:t>
      </w:r>
      <w:r>
        <w:rPr>
          <w:b/>
        </w:rPr>
        <w:t xml:space="preserve">actifs réels</w:t>
      </w:r>
      <w:r>
        <w:t xml:space="preserve"> (immobilier) et </w:t>
      </w:r>
      <w:r>
        <w:rPr>
          <w:b/>
        </w:rPr>
        <w:t xml:space="preserve">actifs financiers</w:t>
      </w:r>
      <w:r>
        <w:t xml:space="preserve"> (actions, obligations).</w:t>
      </w:r>
    </w:p>
    <w:p w14:paraId="1A92F9B1" w14:textId="77777777" w:rsidR="00F270FB" w:rsidRDefault="00000000">
      <w:pPr>
        <w:numPr>
          <w:ilvl w:val="0"/>
          <w:numId w:val="24"/>
        </w:numPr>
      </w:pPr>
      <w:r>
        <w:rPr>
          <w:b/>
        </w:rPr>
        <w:t xml:space="preserve">Modification des taux directeurs</w:t>
      </w:r>
      <w:r>
        <w:t xml:space="preserve"> (expansionniste / restrictive).</w:t>
      </w:r>
    </w:p>
    <w:p w14:paraId="34915CE6" w14:textId="77777777" w:rsidR="00F270FB" w:rsidRDefault="00000000">
      <w:pPr>
        <w:numPr>
          <w:ilvl w:val="0"/>
          <w:numId w:val="24"/>
        </w:numPr>
      </w:pPr>
      <w:r>
        <w:rPr>
          <w:b/>
        </w:rPr>
        <w:t xml:space="preserve">Impact sur le prix des actifs</w:t>
      </w:r>
      <w:r>
        <w:t xml:space="preserve"> : quand les taux baissent, emprunter pour acheter un logement coûte moins cher et les placements sans risque rapportent moins, donc on achète plus d'actions et d'immobilier ⇒ </w:t>
      </w:r>
      <w:r>
        <w:rPr>
          <w:b/>
        </w:rPr>
        <w:t xml:space="preserve">leur prix augmente</w:t>
      </w:r>
      <w:r>
        <w:t xml:space="preserve">. Quand les taux montent ⇒ </w:t>
      </w:r>
      <w:r>
        <w:rPr>
          <w:b/>
        </w:rPr>
        <w:t xml:space="preserve">le prix des actifs baisse</w:t>
      </w:r>
      <w:r>
        <w:t xml:space="preserve">.</w:t>
      </w:r>
    </w:p>
    <w:p w14:paraId="6E107B13" w14:textId="77777777" w:rsidR="00F270FB" w:rsidRDefault="00000000">
      <w:pPr>
        <w:numPr>
          <w:ilvl w:val="0"/>
          <w:numId w:val="24"/>
        </w:numPr>
      </w:pPr>
      <w:r>
        <w:rPr>
          <w:b/>
        </w:rPr>
        <w:t xml:space="preserve">Modification de la richesse des ménages</w:t>
      </w:r>
      <w:r>
        <w:t xml:space="preserve"> : hausse du patrimoine ⇒ consommation </w:t>
      </w:r>
      <w:r>
        <w:rPr>
          <w:b/>
        </w:rPr>
        <w:t xml:space="preserve">incitée</w:t>
      </w:r>
      <w:r>
        <w:t xml:space="preserve"> (on se sent plus riche) ; baisse du patrimoine ⇒ consommation </w:t>
      </w:r>
      <w:r>
        <w:rPr>
          <w:b/>
        </w:rPr>
        <w:t xml:space="preserve">désincitée</w:t>
      </w:r>
      <w:r>
        <w:t xml:space="preserve">. C'est l'</w:t>
      </w:r>
      <w:r>
        <w:rPr>
          <w:b/>
        </w:rPr>
        <w:t xml:space="preserve">effet richesse</w:t>
      </w:r>
      <w:r>
        <w:t xml:space="preserve">.</w:t>
      </w:r>
    </w:p>
    <w:p w14:paraId="666D630A" w14:textId="77777777" w:rsidR="00F270FB" w:rsidRDefault="00000000">
      <w:pPr>
        <w:numPr>
          <w:ilvl w:val="0"/>
          <w:numId w:val="24"/>
        </w:numPr>
      </w:pPr>
      <w:r>
        <w:rPr>
          <w:b/>
        </w:rPr>
        <w:t xml:space="preserve">Effet sur l'économie</w:t>
      </w:r>
      <w:r>
        <w:t xml:space="preserve"> : la consommation augmente / diminue.</w:t>
      </w:r>
    </w:p>
    <w:p w14:paraId="39DF2390" w14:textId="77777777" w:rsidR="00F270FB" w:rsidRDefault="00000000">
      <w:pPr>
        <w:numPr>
          <w:ilvl w:val="1"/>
          <w:numId w:val="24"/>
        </w:numPr>
      </w:pPr>
      <w:r>
        <w:t xml:space="preserve">Exemple : un ménage dont l'appartement passe de 250 000 € à 280 000 € se sent plus riche et dépense plus facilement, même s'il n'a pas vendu son logement.</w:t>
      </w:r>
    </w:p>
    <w:p w14:paraId="1253F803" w14:textId="77777777" w:rsidR="00F270FB" w:rsidRDefault="00000000">
      <w:pPr>
        <w:pStyle w:val="Titre4"/>
      </w:pPr>
      <w:r>
        <w:t xml:space="preserve">d) Le canal des anticipations</w:t>
      </w:r>
    </w:p>
    <w:p w14:paraId="3951D8C0" w14:textId="77777777" w:rsidR="00F270FB" w:rsidRDefault="00000000">
      <w:r>
        <w:rPr>
          <w:b/>
        </w:rPr>
        <w:t xml:space="preserve">Manière dont les attentes des agents économiques sur l'évolution future de l'économie et de la politique monétaire influencent les décisions actuelles de consommation, épargne et investissement.</w:t>
      </w:r>
    </w:p>
    <w:p w14:paraId="34FDD61B" w14:textId="77777777" w:rsidR="00F270FB" w:rsidRDefault="00000000">
      <w:pPr>
        <w:numPr>
          <w:ilvl w:val="0"/>
          <w:numId w:val="24"/>
        </w:numPr>
      </w:pPr>
      <w:r>
        <w:t xml:space="preserve">Ce canal </w:t>
      </w:r>
      <w:r>
        <w:rPr>
          <w:b/>
        </w:rPr>
        <w:t xml:space="preserve">dépend de la crédibilité de la banque centrale</w:t>
      </w:r>
      <w:r>
        <w:t xml:space="preserve"> : si les agents </w:t>
      </w:r>
      <w:r>
        <w:rPr>
          <w:b/>
        </w:rPr>
        <w:t xml:space="preserve">croient</w:t>
      </w:r>
      <w:r>
        <w:t xml:space="preserve"> que la BCE ramènera l'inflation à 2 %, ils anticipent 2 % d'inflation, les salaires et les prix sont négociés sur cette base… et l'inflation reste effectivement proche de 2 %. Les anticipations sont « autoréalisatrices ».</w:t>
      </w:r>
    </w:p>
    <w:p w14:paraId="392CAED7" w14:textId="77777777" w:rsidR="00F270FB" w:rsidRDefault="00000000">
      <w:pPr>
        <w:numPr>
          <w:ilvl w:val="0"/>
          <w:numId w:val="24"/>
        </w:numPr>
      </w:pPr>
      <w:r>
        <w:t xml:space="preserve">C'est un argument en faveur de l'</w:t>
      </w:r>
      <w:r>
        <w:rPr>
          <w:b/>
        </w:rPr>
        <w:t xml:space="preserve">indépendance</w:t>
      </w:r>
      <w:r>
        <w:t xml:space="preserve"> et de la </w:t>
      </w:r>
      <w:r>
        <w:rPr>
          <w:b/>
        </w:rPr>
        <w:t xml:space="preserve">transparence</w:t>
      </w:r>
      <w:r>
        <w:t xml:space="preserve"> des banques centrales (cf. chapitre 3).</w:t>
      </w:r>
    </w:p>
    <w:p w14:paraId="23928AE6" w14:textId="77777777" w:rsidR="00F270FB" w:rsidRDefault="00000000">
      <w:pPr>
        <w:pStyle w:val="Titre4"/>
      </w:pPr>
      <w:r>
        <w:t xml:space="preserve">e) Le canal du taux de change</w:t>
      </w:r>
    </w:p>
    <w:p w14:paraId="733B0BB5" w14:textId="77777777" w:rsidR="00F270FB" w:rsidRDefault="00000000">
      <w:r>
        <w:t xml:space="preserve">Décrit </w:t>
      </w:r>
      <w:r>
        <w:rPr>
          <w:b/>
        </w:rPr>
        <w:t xml:space="preserve">de quelle manière les changements de politique monétaire affectent l'économie par le biais des fluctuations des taux de change.</w:t>
      </w:r>
    </w:p>
    <w:p w14:paraId="63723329" w14:textId="77777777" w:rsidR="00F270FB" w:rsidRDefault="00000000">
      <w:pPr>
        <w:numPr>
          <w:ilvl w:val="0"/>
          <w:numId w:val="24"/>
        </w:numPr>
      </w:pPr>
      <w:r>
        <w:rPr>
          <w:b/>
        </w:rPr>
        <w:t xml:space="preserve">Politique expansionniste</w:t>
      </w:r>
      <w:r>
        <w:t xml:space="preserve"> : les taux d'intérêt deviennent </w:t>
      </w:r>
      <w:r>
        <w:rPr>
          <w:b/>
        </w:rPr>
        <w:t xml:space="preserve">relativement moins élevés qu'ailleurs dans le monde</w:t>
      </w:r>
      <w:r>
        <w:t xml:space="preserve"> ⇒ les investisseurs placent moins leur argent en euros ⇒ </w:t>
      </w:r>
      <w:r>
        <w:rPr>
          <w:b/>
        </w:rPr>
        <w:t xml:space="preserve">la monnaie se déprécie</w:t>
      </w:r>
      <w:r>
        <w:t xml:space="preserve"> ⇒ </w:t>
      </w:r>
      <w:r>
        <w:rPr>
          <w:b/>
        </w:rPr>
        <w:t xml:space="preserve">exportations augmentent et importations diminuent</w:t>
      </w:r>
      <w:r>
        <w:t xml:space="preserve"> ⇒ </w:t>
      </w:r>
      <w:r>
        <w:rPr>
          <w:b/>
        </w:rPr>
        <w:t xml:space="preserve">la production augmente</w:t>
      </w:r>
      <w:r>
        <w:t xml:space="preserve">.</w:t>
      </w:r>
    </w:p>
    <w:p w14:paraId="4488E4EE" w14:textId="77777777" w:rsidR="00F270FB" w:rsidRDefault="00000000">
      <w:pPr>
        <w:numPr>
          <w:ilvl w:val="0"/>
          <w:numId w:val="24"/>
        </w:numPr>
      </w:pPr>
      <w:r>
        <w:rPr>
          <w:b/>
        </w:rPr>
        <w:t xml:space="preserve">Politique restrictive</w:t>
      </w:r>
      <w:r>
        <w:t xml:space="preserve"> : les taux deviennent </w:t>
      </w:r>
      <w:r>
        <w:rPr>
          <w:b/>
        </w:rPr>
        <w:t xml:space="preserve">relativement plus élevés qu'ailleurs</w:t>
      </w:r>
      <w:r>
        <w:t xml:space="preserve"> ⇒ les capitaux affluent ⇒ </w:t>
      </w:r>
      <w:r>
        <w:rPr>
          <w:b/>
        </w:rPr>
        <w:t xml:space="preserve">la monnaie s'apprécie</w:t>
      </w:r>
      <w:r>
        <w:t xml:space="preserve"> ⇒ </w:t>
      </w:r>
      <w:r>
        <w:rPr>
          <w:b/>
        </w:rPr>
        <w:t xml:space="preserve">exportations diminuent et importations augmentent</w:t>
      </w:r>
      <w:r>
        <w:t xml:space="preserve"> ⇒ </w:t>
      </w:r>
      <w:r>
        <w:rPr>
          <w:b/>
        </w:rPr>
        <w:t xml:space="preserve">la production diminue</w:t>
      </w:r>
      <w:r>
        <w:t xml:space="preserve">.</w:t>
      </w:r>
    </w:p>
    <w:p w14:paraId="7E417929" w14:textId="77777777" w:rsidR="00F270FB" w:rsidRDefault="00000000">
      <w:pPr>
        <w:keepNext/>
        <w:spacing w:before="120" w:after="40"/>
        <w:jc w:val="center"/>
      </w:pPr>
      <w:r>
        <w:rPr>
          <w:noProof/>
        </w:rPr>
        <w:drawing>
          <wp:inline distT="0" distB="0" distL="0" distR="0">
            <wp:extent cx="5400000" cy="2239578"/>
            <wp:effectExtent l="0" t="0" r="0" b="0"/>
            <wp:docPr id="7103" name="Illustration 7103" descr="Le canal du taux de change, avec les exemples chiffrés (diap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 name="slide_c4_17.png"/>
                    <pic:cNvPicPr/>
                  </pic:nvPicPr>
                  <pic:blipFill>
                    <a:blip r:embed="rId203"/>
                    <a:stretch>
                      <a:fillRect/>
                    </a:stretch>
                  </pic:blipFill>
                  <pic:spPr>
                    <a:xfrm>
                      <a:off x="0" y="0"/>
                      <a:ext cx="5400000" cy="2239578"/>
                    </a:xfrm>
                    <a:prstGeom prst="rect">
                      <a:avLst/>
                    </a:prstGeom>
                    <a:ln w="6350">
                      <a:solidFill>
                        <a:srgbClr val="BFBFBF"/>
                      </a:solidFill>
                    </a:ln>
                  </pic:spPr>
                </pic:pic>
              </a:graphicData>
            </a:graphic>
          </wp:inline>
        </w:drawing>
      </w:r>
    </w:p>
    <w:p w14:paraId="7F4BFD78" w14:textId="77777777" w:rsidR="00F270FB" w:rsidRDefault="00000000">
      <w:pPr>
        <w:spacing w:after="200"/>
        <w:jc w:val="center"/>
      </w:pPr>
      <w:r>
        <w:rPr>
          <w:i/>
          <w:color w:val="6B6B6B"/>
          <w:sz w:val="19"/>
          <w:szCs w:val="19"/>
        </w:rPr>
        <w:t xml:space="preserve">Le canal du taux de change, avec les exemples chiffrés (diapo 17).</w:t>
      </w:r>
    </w:p>
    <w:p w14:paraId="5F6CE310" w14:textId="77777777" w:rsidR="00F270FB" w:rsidRDefault="00000000">
      <w:r>
        <w:rPr>
          <w:b/>
        </w:rPr>
        <w:t xml:space="preserve">Exemples de la diapo :</w:t>
      </w:r>
    </w:p>
    <w:p w14:paraId="670BAC25" w14:textId="77777777" w:rsidR="00F270FB" w:rsidRDefault="00000000">
      <w:pPr>
        <w:numPr>
          <w:ilvl w:val="0"/>
          <w:numId w:val="24"/>
        </w:numPr>
      </w:pPr>
      <w:r>
        <w:rPr>
          <w:b/>
        </w:rPr>
        <w:t xml:space="preserve">Monnaie qui se déprécie</w:t>
      </w:r>
      <w:r>
        <w:t xml:space="preserve"> : on passe de 1 € = 1,1 $ à 1 € = 1 $.</w:t>
      </w:r>
    </w:p>
    <w:p w14:paraId="78B1DBB2" w14:textId="77777777" w:rsidR="00F270FB" w:rsidRDefault="00000000">
      <w:pPr>
        <w:numPr>
          <w:ilvl w:val="1"/>
          <w:numId w:val="24"/>
        </w:numPr>
      </w:pPr>
      <w:r>
        <w:t xml:space="preserve">Exportations : un bien vendu 10 000 € en Europe passe de 11 000 $ (10 000 × 1,1) à 10 000 $ aux États-Unis ⇒ moins cher pour les Américains ⇒ </w:t>
      </w:r>
      <w:r>
        <w:rPr>
          <w:b/>
        </w:rPr>
        <w:t xml:space="preserve">les exportations augmentent</w:t>
      </w:r>
      <w:r>
        <w:t xml:space="preserve">.</w:t>
      </w:r>
    </w:p>
    <w:p w14:paraId="19F3EB08" w14:textId="77777777" w:rsidR="00F270FB" w:rsidRDefault="00000000">
      <w:pPr>
        <w:numPr>
          <w:ilvl w:val="1"/>
          <w:numId w:val="24"/>
        </w:numPr>
      </w:pPr>
      <w:r>
        <w:t xml:space="preserve">Importations : un bien vendu 10 000 $ aux États-Unis passe de 9 090 € (10 000 / 1,1) à 10 000 € en Europe ⇒ plus cher pour nous ⇒ </w:t>
      </w:r>
      <w:r>
        <w:rPr>
          <w:b/>
        </w:rPr>
        <w:t xml:space="preserve">les importations diminuent</w:t>
      </w:r>
      <w:r>
        <w:t xml:space="preserve">.</w:t>
      </w:r>
    </w:p>
    <w:p w14:paraId="358E779C" w14:textId="77777777" w:rsidR="00F270FB" w:rsidRDefault="00000000">
      <w:pPr>
        <w:numPr>
          <w:ilvl w:val="0"/>
          <w:numId w:val="24"/>
        </w:numPr>
      </w:pPr>
      <w:r>
        <w:rPr>
          <w:b/>
        </w:rPr>
        <w:t xml:space="preserve">Monnaie qui s'apprécie</w:t>
      </w:r>
      <w:r>
        <w:t xml:space="preserve"> : on passe de 1 € = 1,1 $ à 1 € = 1,2 $.</w:t>
      </w:r>
    </w:p>
    <w:p w14:paraId="5F11C3D2" w14:textId="77777777" w:rsidR="00F270FB" w:rsidRDefault="00000000">
      <w:pPr>
        <w:numPr>
          <w:ilvl w:val="1"/>
          <w:numId w:val="24"/>
        </w:numPr>
      </w:pPr>
      <w:r>
        <w:t xml:space="preserve">Exportations : le bien à 10 000 € passe de 11 000 $ à 12 000 $ aux États-Unis ⇒ </w:t>
      </w:r>
      <w:r>
        <w:rPr>
          <w:b/>
        </w:rPr>
        <w:t xml:space="preserve">les exportations diminuent</w:t>
      </w:r>
      <w:r>
        <w:t xml:space="preserve">.</w:t>
      </w:r>
    </w:p>
    <w:p w14:paraId="28804B12" w14:textId="77777777" w:rsidR="00F270FB" w:rsidRDefault="00000000">
      <w:pPr>
        <w:numPr>
          <w:ilvl w:val="1"/>
          <w:numId w:val="24"/>
        </w:numPr>
      </w:pPr>
      <w:r>
        <w:t xml:space="preserve">Importations : le bien à 10 000 $ passe de 9 090 € à 8 333 € (10 000 / 1,2) en Europe ⇒ </w:t>
      </w:r>
      <w:r>
        <w:rPr>
          <w:b/>
        </w:rPr>
        <w:t xml:space="preserve">les importations augmentent</w:t>
      </w:r>
      <w:r>
        <w:t xml:space="preserve">.</w:t>
      </w:r>
    </w:p>
    <w:p w14:paraId="48D9A723" w14:textId="77777777" w:rsidR="00F270FB" w:rsidRDefault="00000000">
      <w:pPr>
        <w:pStyle w:val="Titre3"/>
      </w:pPr>
      <w:bookmarkStart w:id="110" w:name="_Toc2431232110"/>
      <w:r>
        <w:t xml:space="preserve">4°) Les règles de politique monétaire</w:t>
      </w:r>
      <w:bookmarkEnd w:id="110"/>
    </w:p>
    <w:p w14:paraId="35601A67" w14:textId="77777777" w:rsidR="00F270FB" w:rsidRDefault="00000000">
      <w:r>
        <w:t xml:space="preserve">Plutôt que de décider au cas par cas (politique </w:t>
      </w:r>
      <w:r>
        <w:rPr>
          <w:b/>
        </w:rPr>
        <w:t xml:space="preserve">discrétionnaire</w:t>
      </w:r>
      <w:r>
        <w:t xml:space="preserve">), certains économistes proposent que la banque centrale suive une </w:t>
      </w:r>
      <w:r>
        <w:rPr>
          <w:b/>
        </w:rPr>
        <w:t xml:space="preserve">règle</w:t>
      </w:r>
      <w:r>
        <w:t xml:space="preserve"> simple et connue de tous. On retrouve le débat règles / discrétion vu au chapitre 1 avec Friedman et la nouvelle économie classique.</w:t>
      </w:r>
    </w:p>
    <w:p w14:paraId="2176C9C3" w14:textId="77777777" w:rsidR="00F270FB" w:rsidRDefault="00000000">
      <w:pPr>
        <w:pStyle w:val="Titre4"/>
      </w:pPr>
      <w:r>
        <w:t xml:space="preserve">a) La k-percent rule de Friedman</w:t>
      </w:r>
    </w:p>
    <w:p w14:paraId="30018D6B" w14:textId="77777777" w:rsidR="00F270FB" w:rsidRDefault="00000000">
      <w:pPr>
        <w:jc w:val="center"/>
      </w:pPr>
      <w:r>
        <w:rPr>
          <w:b/>
          <w:color w:val="1F3864"/>
          <w:sz w:val="26"/>
          <w:szCs w:val="26"/>
        </w:rPr>
        <w:t xml:space="preserve">ΔM = k × M</w:t>
      </w:r>
    </w:p>
    <w:p w14:paraId="40D9675D" w14:textId="77777777" w:rsidR="00F270FB" w:rsidRDefault="00000000">
      <w:r>
        <w:rPr>
          <w:b/>
        </w:rPr>
        <w:t xml:space="preserve">La banque centrale doit augmenter la masse monétaire à un taux constant k, indépendamment des fluctuations économiques ou des circonstances conjoncturelles.</w:t>
      </w:r>
    </w:p>
    <w:p w14:paraId="5CA5CB8B" w14:textId="77777777" w:rsidR="00F270FB" w:rsidRDefault="00000000">
      <w:pPr>
        <w:numPr>
          <w:ilvl w:val="0"/>
          <w:numId w:val="24"/>
        </w:numPr>
      </w:pPr>
      <w:r>
        <w:t xml:space="preserve">k est choisi pour correspondre à la croissance de long terme de l'économie (plus l'inflation souhaitée). Exemple : si M = 10 000 Md€ et k = 4 %, la masse monétaire doit augmenter de 400 Md€ par an, que l'économie aille bien ou mal.</w:t>
      </w:r>
    </w:p>
    <w:p w14:paraId="2456FCE3" w14:textId="77777777" w:rsidR="00F270FB" w:rsidRDefault="00000000">
      <w:pPr>
        <w:numPr>
          <w:ilvl w:val="0"/>
          <w:numId w:val="24"/>
        </w:numPr>
      </w:pPr>
      <w:r>
        <w:t xml:space="preserve">Pour Friedman (monétariste), les politiques discrétionnaires agissent avec des </w:t>
      </w:r>
      <w:r>
        <w:rPr>
          <w:b/>
        </w:rPr>
        <w:t xml:space="preserve">délais</w:t>
      </w:r>
      <w:r>
        <w:t xml:space="preserve"> imprévisibles et finissent par créer de l'inflation : mieux vaut une règle stable et crédible.</w:t>
      </w:r>
    </w:p>
    <w:p w14:paraId="3A684673" w14:textId="77777777" w:rsidR="00F270FB" w:rsidRDefault="00000000">
      <w:pPr>
        <w:numPr>
          <w:ilvl w:val="0"/>
          <w:numId w:val="24"/>
        </w:numPr>
      </w:pPr>
      <w:r>
        <w:t xml:space="preserve">On retrouve cette logique dans le </w:t>
      </w:r>
      <w:r>
        <w:rPr>
          <w:b/>
        </w:rPr>
        <w:t xml:space="preserve">pilier monétaire</w:t>
      </w:r>
      <w:r>
        <w:t xml:space="preserve"> de la BCE à ses débuts (objectif de croissance de M3 de 4,5 % par an, cf. chapitre 3).</w:t>
      </w:r>
    </w:p>
    <w:p w14:paraId="595B03EA" w14:textId="77777777" w:rsidR="00F270FB" w:rsidRDefault="00000000">
      <w:pPr>
        <w:pStyle w:val="Titre4"/>
      </w:pPr>
      <w:r>
        <w:t xml:space="preserve">b) La règle de Taylor</w:t>
      </w:r>
    </w:p>
    <w:p w14:paraId="1133E746" w14:textId="77777777" w:rsidR="00F270FB" w:rsidRDefault="00000000">
      <w:r>
        <w:t xml:space="preserve">Proposée par </w:t>
      </w:r>
      <w:r>
        <w:rPr>
          <w:b/>
        </w:rPr>
        <w:t xml:space="preserve">John Taylor (né en 1946)</w:t>
      </w:r>
      <w:r>
        <w:t xml:space="preserve"> en 1993, elle indique </w:t>
      </w:r>
      <w:r>
        <w:rPr>
          <w:b/>
        </w:rPr>
        <w:t xml:space="preserve">quel devrait être le taux d'intérêt directeur</w:t>
      </w:r>
      <w:r>
        <w:t xml:space="preserve"> selon l'inflation et la production :</w:t>
      </w:r>
    </w:p>
    <w:p w14:paraId="3E816DA1" w14:textId="77777777" w:rsidR="00F270FB" w:rsidRDefault="00000000">
      <w:pPr>
        <w:jc w:val="center"/>
      </w:pPr>
      <w:r>
        <w:rPr>
          <w:b/>
          <w:color w:val="1F3864"/>
          <w:sz w:val="26"/>
          <w:szCs w:val="26"/>
        </w:rPr>
        <w:t xml:space="preserve">iₜ = r* + πₜ + 0,5 × (πₜ − π*) + 0,5 × (yₜ − ȳₜ)</w:t>
      </w:r>
    </w:p>
    <w:p w14:paraId="15BBEA1D" w14:textId="77777777" w:rsidR="00F270FB" w:rsidRDefault="00000000">
      <w:pPr>
        <w:keepNext/>
        <w:spacing w:before="120" w:after="40"/>
        <w:jc w:val="center"/>
      </w:pPr>
      <w:r>
        <w:rPr>
          <w:noProof/>
        </w:rPr>
        <w:drawing>
          <wp:inline distT="0" distB="0" distL="0" distR="0">
            <wp:extent cx="4680000" cy="1122674"/>
            <wp:effectExtent l="0" t="0" r="0" b="0"/>
            <wp:docPr id="7104" name="Illustration 7104" descr="La règle de Taylor et la signification de chaque terme (diap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 name="slide_c4_19.png"/>
                    <pic:cNvPicPr/>
                  </pic:nvPicPr>
                  <pic:blipFill>
                    <a:blip r:embed="rId204"/>
                    <a:stretch>
                      <a:fillRect/>
                    </a:stretch>
                  </pic:blipFill>
                  <pic:spPr>
                    <a:xfrm>
                      <a:off x="0" y="0"/>
                      <a:ext cx="4680000" cy="1122674"/>
                    </a:xfrm>
                    <a:prstGeom prst="rect">
                      <a:avLst/>
                    </a:prstGeom>
                    <a:ln w="6350">
                      <a:solidFill>
                        <a:srgbClr val="BFBFBF"/>
                      </a:solidFill>
                    </a:ln>
                  </pic:spPr>
                </pic:pic>
              </a:graphicData>
            </a:graphic>
          </wp:inline>
        </w:drawing>
      </w:r>
    </w:p>
    <w:p w14:paraId="4A3667E6" w14:textId="77777777" w:rsidR="00F270FB" w:rsidRDefault="00000000">
      <w:pPr>
        <w:spacing w:after="200"/>
        <w:jc w:val="center"/>
      </w:pPr>
      <w:r>
        <w:rPr>
          <w:i/>
          <w:color w:val="6B6B6B"/>
          <w:sz w:val="19"/>
          <w:szCs w:val="19"/>
        </w:rPr>
        <w:t xml:space="preserve">La règle de Taylor et la signification de chaque terme (diapo 19).</w:t>
      </w:r>
    </w:p>
    <w:p w14:paraId="25B45F77" w14:textId="77777777" w:rsidR="00F270FB" w:rsidRDefault="00000000">
      <w:pPr>
        <w:numPr>
          <w:ilvl w:val="0"/>
          <w:numId w:val="24"/>
        </w:numPr>
      </w:pPr>
      <w:r>
        <w:rPr>
          <w:b/>
        </w:rPr>
        <w:t xml:space="preserve">iₜ</w:t>
      </w:r>
      <w:r>
        <w:t xml:space="preserve"> = taux d'intérêt directeur </w:t>
      </w:r>
      <w:r>
        <w:rPr>
          <w:b/>
        </w:rPr>
        <w:t xml:space="preserve">cible</w:t>
      </w:r>
      <w:r>
        <w:t xml:space="preserve"> ;</w:t>
      </w:r>
    </w:p>
    <w:p w14:paraId="3EBE92AF" w14:textId="77777777" w:rsidR="00F270FB" w:rsidRDefault="00000000">
      <w:pPr>
        <w:numPr>
          <w:ilvl w:val="0"/>
          <w:numId w:val="24"/>
        </w:numPr>
      </w:pPr>
      <w:r>
        <w:rPr>
          <w:b/>
        </w:rPr>
        <w:t xml:space="preserve">r</w:t>
      </w:r>
      <w:r>
        <w:t xml:space="preserve">* = taux d'intérêt </w:t>
      </w:r>
      <w:r>
        <w:rPr>
          <w:b/>
        </w:rPr>
        <w:t xml:space="preserve">réel neutre</w:t>
      </w:r>
      <w:r>
        <w:t xml:space="preserve"> (le taux qui ne freine ni ne stimule l'économie) ;</w:t>
      </w:r>
    </w:p>
    <w:p w14:paraId="7451C73D" w14:textId="77777777" w:rsidR="00F270FB" w:rsidRDefault="00000000">
      <w:pPr>
        <w:numPr>
          <w:ilvl w:val="0"/>
          <w:numId w:val="24"/>
        </w:numPr>
      </w:pPr>
      <w:r>
        <w:rPr>
          <w:b/>
        </w:rPr>
        <w:t xml:space="preserve">πₜ</w:t>
      </w:r>
      <w:r>
        <w:t xml:space="preserve"> = taux d'inflation de l'économie ;</w:t>
      </w:r>
    </w:p>
    <w:p w14:paraId="76F4E918" w14:textId="77777777" w:rsidR="00F270FB" w:rsidRDefault="00000000">
      <w:pPr>
        <w:numPr>
          <w:ilvl w:val="0"/>
          <w:numId w:val="24"/>
        </w:numPr>
      </w:pPr>
      <w:r>
        <w:rPr>
          <w:b/>
        </w:rPr>
        <w:t xml:space="preserve">(πₜ − π*)</w:t>
      </w:r>
      <w:r>
        <w:t xml:space="preserve"> = différence entre l'inflation et l'</w:t>
      </w:r>
      <w:r>
        <w:rPr>
          <w:b/>
        </w:rPr>
        <w:t xml:space="preserve">inflation cible</w:t>
      </w:r>
      <w:r>
        <w:t xml:space="preserve"> (π* = 2 % pour la BCE) ;</w:t>
      </w:r>
    </w:p>
    <w:p w14:paraId="3E6DBFA6" w14:textId="77777777" w:rsidR="00F270FB" w:rsidRDefault="00000000">
      <w:pPr>
        <w:numPr>
          <w:ilvl w:val="0"/>
          <w:numId w:val="24"/>
        </w:numPr>
      </w:pPr>
      <w:r>
        <w:rPr>
          <w:b/>
        </w:rPr>
        <w:t xml:space="preserve">(yₜ − ȳₜ)</w:t>
      </w:r>
      <w:r>
        <w:t xml:space="preserve"> = </w:t>
      </w:r>
      <w:r>
        <w:rPr>
          <w:b/>
        </w:rPr>
        <w:t xml:space="preserve">output gap</w:t>
      </w:r>
      <w:r>
        <w:t xml:space="preserve"> (écart de production) : différence entre la </w:t>
      </w:r>
      <w:r>
        <w:rPr>
          <w:b/>
        </w:rPr>
        <w:t xml:space="preserve">production réelle</w:t>
      </w:r>
      <w:r>
        <w:t xml:space="preserve"> et la </w:t>
      </w:r>
      <w:r>
        <w:rPr>
          <w:b/>
        </w:rPr>
        <w:t xml:space="preserve">production potentielle</w:t>
      </w:r>
      <w:r>
        <w:t xml:space="preserve"> (ce que l'économie peut produire sans tensions inflationnistes), en %.</w:t>
      </w:r>
    </w:p>
    <w:p w14:paraId="3529AC1D" w14:textId="77777777" w:rsidR="00F270FB" w:rsidRDefault="00000000">
      <w:r>
        <w:t xml:space="preserve">Lecture :</w:t>
      </w:r>
    </w:p>
    <w:p w14:paraId="5925765F" w14:textId="77777777" w:rsidR="00F270FB" w:rsidRDefault="00000000">
      <w:pPr>
        <w:numPr>
          <w:ilvl w:val="0"/>
          <w:numId w:val="24"/>
        </w:numPr>
      </w:pPr>
      <w:r>
        <w:rPr>
          <w:b/>
        </w:rPr>
        <w:t xml:space="preserve">Inflation au-dessus de la cible</w:t>
      </w:r>
      <w:r>
        <w:t xml:space="preserve"> : le taux d'intérêt directeur doit </w:t>
      </w:r>
      <w:r>
        <w:rPr>
          <w:b/>
        </w:rPr>
        <w:t xml:space="preserve">augmenter</w:t>
      </w:r>
      <w:r>
        <w:t xml:space="preserve">.</w:t>
      </w:r>
    </w:p>
    <w:p w14:paraId="1C6DD860" w14:textId="77777777" w:rsidR="00F270FB" w:rsidRDefault="00000000">
      <w:pPr>
        <w:numPr>
          <w:ilvl w:val="0"/>
          <w:numId w:val="24"/>
        </w:numPr>
      </w:pPr>
      <w:r>
        <w:rPr>
          <w:b/>
        </w:rPr>
        <w:t xml:space="preserve">Production réelle supérieure à la production potentielle</w:t>
      </w:r>
      <w:r>
        <w:t xml:space="preserve"> (économie en « surchauffe ») : le taux d'intérêt directeur doit </w:t>
      </w:r>
      <w:r>
        <w:rPr>
          <w:b/>
        </w:rPr>
        <w:t xml:space="preserve">augmenter</w:t>
      </w:r>
      <w:r>
        <w:t xml:space="preserve">.</w:t>
      </w:r>
    </w:p>
    <w:p w14:paraId="483BDC0E" w14:textId="77777777" w:rsidR="00F270FB" w:rsidRDefault="00000000">
      <w:pPr>
        <w:numPr>
          <w:ilvl w:val="0"/>
          <w:numId w:val="24"/>
        </w:numPr>
      </w:pPr>
      <w:r>
        <w:t xml:space="preserve">Et inversement : inflation sous la cible ou économie en dessous de son potentiel ⇒ le taux doit </w:t>
      </w:r>
      <w:r>
        <w:rPr>
          <w:b/>
        </w:rPr>
        <w:t xml:space="preserve">baisser</w:t>
      </w:r>
      <w:r>
        <w:t xml:space="preserve">.</w:t>
      </w:r>
    </w:p>
    <w:p w14:paraId="2A86BBAE" w14:textId="77777777" w:rsidR="00F270FB" w:rsidRDefault="00000000">
      <w:r>
        <w:rPr>
          <w:b/>
        </w:rPr>
        <w:t xml:space="preserve">Exemple chiffré</w:t>
      </w:r>
      <w:r>
        <w:t xml:space="preserve"> : r* = 2 %, inflation π = 4 %, cible π* = 2 %, output gap = +1 %.</w:t>
      </w:r>
    </w:p>
    <w:p w14:paraId="46441376" w14:textId="77777777" w:rsidR="00F270FB" w:rsidRDefault="00000000">
      <w:pPr>
        <w:numPr>
          <w:ilvl w:val="1"/>
          <w:numId w:val="24"/>
        </w:numPr>
      </w:pPr>
      <w:r>
        <w:t xml:space="preserve">i = 2 + 4 + 0,5 × (4 − 2) + 0,5 × 1 = 2 + 4 + 1 + 0,5 = </w:t>
      </w:r>
      <w:r>
        <w:rPr>
          <w:b/>
        </w:rPr>
        <w:t xml:space="preserve">7,5 %</w:t>
      </w:r>
      <w:r>
        <w:t xml:space="preserve">.</w:t>
      </w:r>
    </w:p>
    <w:p w14:paraId="2A9D04E7" w14:textId="77777777" w:rsidR="00F270FB" w:rsidRDefault="00000000">
      <w:pPr>
        <w:numPr>
          <w:ilvl w:val="1"/>
          <w:numId w:val="24"/>
        </w:numPr>
      </w:pPr>
      <w:r>
        <w:t xml:space="preserve">Si l'inflation est à la cible (2 %) et l'output gap nul : i = 2 + 2 + 0 + 0 = </w:t>
      </w:r>
      <w:r>
        <w:rPr>
          <w:b/>
        </w:rPr>
        <w:t xml:space="preserve">4 %</w:t>
      </w:r>
      <w:r>
        <w:t xml:space="preserve"> (taux « normal »).</w:t>
      </w:r>
    </w:p>
    <w:p w14:paraId="1E8B0AD6" w14:textId="77777777" w:rsidR="00F270FB" w:rsidRDefault="00000000">
      <w:r>
        <w:t xml:space="preserve">La règle de Taylor </w:t>
      </w:r>
      <w:r>
        <w:rPr>
          <w:b/>
        </w:rPr>
        <w:t xml:space="preserve">permet d'observer comment est menée la politique monétaire selon l'inflation et la production</w:t>
      </w:r>
      <w:r>
        <w:t xml:space="preserve"> : on compare le taux réellement fixé par la banque centrale au taux donné par la règle pour voir si la politique est plutôt souple ou plutôt dure.</w:t>
      </w:r>
    </w:p>
    <w:p w14:paraId="17987002" w14:textId="77777777" w:rsidR="00F270FB" w:rsidRDefault="00000000">
      <w:pPr>
        <w:pStyle w:val="Titre2"/>
      </w:pPr>
      <w:bookmarkStart w:id="111" w:name="_Toc2431232111"/>
      <w:r>
        <w:t xml:space="preserve">III – Les années 2010 : des politiques traditionnelles aux politiques non conventionnelles</w:t>
      </w:r>
      <w:bookmarkEnd w:id="111"/>
    </w:p>
    <w:p w14:paraId="17F67887" w14:textId="77777777" w:rsidR="00F270FB" w:rsidRDefault="00000000">
      <w:pPr>
        <w:pStyle w:val="Titre3"/>
      </w:pPr>
      <w:bookmarkStart w:id="112" w:name="_Toc2431232112"/>
      <w:r>
        <w:t xml:space="preserve">1°) La crise de 2008 : une forte baisse des taux d'intérêt directeurs</w:t>
      </w:r>
      <w:bookmarkEnd w:id="112"/>
    </w:p>
    <w:p w14:paraId="17131B98" w14:textId="77777777" w:rsidR="00F270FB" w:rsidRDefault="00000000">
      <w:r>
        <w:t xml:space="preserve">Face à la crise des subprimes (cf. chapitre 2), la BCE baisse </w:t>
      </w:r>
      <w:r>
        <w:rPr>
          <w:b/>
        </w:rPr>
        <w:t xml:space="preserve">très fortement</w:t>
      </w:r>
      <w:r>
        <w:t xml:space="preserve"> ses taux directeurs :</w:t>
      </w:r>
    </w:p>
    <w:p w14:paraId="6E59FEA8" w14:textId="77777777" w:rsidR="00F270FB" w:rsidRDefault="00000000">
      <w:pPr>
        <w:numPr>
          <w:ilvl w:val="0"/>
          <w:numId w:val="24"/>
        </w:numPr>
      </w:pPr>
      <w:r>
        <w:t xml:space="preserve">le taux de refinancement passe de </w:t>
      </w:r>
      <w:r>
        <w:rPr>
          <w:b/>
        </w:rPr>
        <w:t xml:space="preserve">4,25 % (été 2008) à 1 % (mai 2009)</w:t>
      </w:r>
      <w:r>
        <w:t xml:space="preserve"> ;</w:t>
      </w:r>
    </w:p>
    <w:p w14:paraId="2596FCC6" w14:textId="77777777" w:rsidR="00F270FB" w:rsidRDefault="00000000">
      <w:pPr>
        <w:numPr>
          <w:ilvl w:val="0"/>
          <w:numId w:val="24"/>
        </w:numPr>
      </w:pPr>
      <w:r>
        <w:t xml:space="preserve">après une petite remontée en 2011, les taux baissent encore : taux de refinancement à </w:t>
      </w:r>
      <w:r>
        <w:rPr>
          <w:b/>
        </w:rPr>
        <w:t xml:space="preserve">0 % en 2016</w:t>
      </w:r>
      <w:r>
        <w:t xml:space="preserve"> ;</w:t>
      </w:r>
    </w:p>
    <w:p w14:paraId="5C3A7C41" w14:textId="77777777" w:rsidR="00F270FB" w:rsidRDefault="00000000">
      <w:pPr>
        <w:numPr>
          <w:ilvl w:val="0"/>
          <w:numId w:val="24"/>
        </w:numPr>
      </w:pPr>
      <w:r>
        <w:t xml:space="preserve">le taux de facilité de dépôt devient même </w:t>
      </w:r>
      <w:r>
        <w:rPr>
          <w:b/>
        </w:rPr>
        <w:t xml:space="preserve">négatif</w:t>
      </w:r>
      <w:r>
        <w:t xml:space="preserve"> à partir de 2014 (jusqu'à </w:t>
      </w:r>
      <w:r>
        <w:rPr>
          <w:b/>
        </w:rPr>
        <w:t xml:space="preserve">−0,5 %</w:t>
      </w:r>
      <w:r>
        <w:t xml:space="preserve"> en 2019) : les banques </w:t>
      </w:r>
      <w:r>
        <w:rPr>
          <w:b/>
        </w:rPr>
        <w:t xml:space="preserve">paient</w:t>
      </w:r>
      <w:r>
        <w:t xml:space="preserve"> pour laisser leurs liquidités à la BCE, ce qui les pousse à prêter plutôt qu'à garder l'argent.</w:t>
      </w:r>
    </w:p>
    <w:p w14:paraId="66A2455E" w14:textId="77777777" w:rsidR="00F270FB" w:rsidRDefault="00000000">
      <w:pPr>
        <w:keepNext/>
        <w:spacing w:before="120" w:after="40"/>
        <w:jc w:val="center"/>
      </w:pPr>
      <w:r>
        <w:rPr>
          <w:noProof/>
        </w:rPr>
        <w:drawing>
          <wp:inline distT="0" distB="0" distL="0" distR="0">
            <wp:extent cx="4680000" cy="1955571"/>
            <wp:effectExtent l="0" t="0" r="0" b="0"/>
            <wp:docPr id="7105" name="Illustration 7105" descr="Les taux directeurs de la BCE de 1999 à 2019 : refinancement, facilité de dépôt, prêt marginal (diapo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 name="slide_c4_20.png"/>
                    <pic:cNvPicPr/>
                  </pic:nvPicPr>
                  <pic:blipFill>
                    <a:blip r:embed="rId205"/>
                    <a:stretch>
                      <a:fillRect/>
                    </a:stretch>
                  </pic:blipFill>
                  <pic:spPr>
                    <a:xfrm>
                      <a:off x="0" y="0"/>
                      <a:ext cx="4680000" cy="1955571"/>
                    </a:xfrm>
                    <a:prstGeom prst="rect">
                      <a:avLst/>
                    </a:prstGeom>
                    <a:ln w="6350">
                      <a:solidFill>
                        <a:srgbClr val="BFBFBF"/>
                      </a:solidFill>
                    </a:ln>
                  </pic:spPr>
                </pic:pic>
              </a:graphicData>
            </a:graphic>
          </wp:inline>
        </w:drawing>
      </w:r>
    </w:p>
    <w:p w14:paraId="23276BC3" w14:textId="77777777" w:rsidR="00F270FB" w:rsidRDefault="00000000">
      <w:pPr>
        <w:spacing w:after="200"/>
        <w:jc w:val="center"/>
      </w:pPr>
      <w:r>
        <w:rPr>
          <w:i/>
          <w:color w:val="6B6B6B"/>
          <w:sz w:val="19"/>
          <w:szCs w:val="19"/>
        </w:rPr>
        <w:t xml:space="preserve">Les taux directeurs de la BCE de 1999 à 2019 : refinancement, facilité de dépôt, prêt marginal (diapo 20).</w:t>
      </w:r>
    </w:p>
    <w:p w14:paraId="5DA25D7A" w14:textId="77777777" w:rsidR="00F270FB" w:rsidRDefault="00000000">
      <w:r>
        <w:rPr>
          <w:b/>
        </w:rPr>
        <w:t xml:space="preserve">Problème</w:t>
      </w:r>
      <w:r>
        <w:t xml:space="preserve"> : on ne peut pas descendre beaucoup sous 0 % (sinon les agents retireraient leur argent en billets). Une fois les taux au plancher, l'instrument traditionnel est </w:t>
      </w:r>
      <w:r>
        <w:rPr>
          <w:b/>
        </w:rPr>
        <w:t xml:space="preserve">épuisé</w:t>
      </w:r>
      <w:r>
        <w:t xml:space="preserve">, alors que l'économie reste faible et l'inflation trop basse. Il faut donc d'</w:t>
      </w:r>
      <w:r>
        <w:rPr>
          <w:b/>
        </w:rPr>
        <w:t xml:space="preserve">autres outils</w:t>
      </w:r>
      <w:r>
        <w:t xml:space="preserve"> : les politiques </w:t>
      </w:r>
      <w:r>
        <w:rPr>
          <w:b/>
        </w:rPr>
        <w:t xml:space="preserve">non conventionnelles</w:t>
      </w:r>
      <w:r>
        <w:t xml:space="preserve">.</w:t>
      </w:r>
    </w:p>
    <w:p w14:paraId="153BF606" w14:textId="77777777" w:rsidR="00F270FB" w:rsidRDefault="00000000">
      <w:pPr>
        <w:pStyle w:val="Titre3"/>
      </w:pPr>
      <w:bookmarkStart w:id="113" w:name="_Toc2431232113"/>
      <w:r>
        <w:t xml:space="preserve">2°) Les années 2010 : les politiques monétaires non conventionnelles</w:t>
      </w:r>
      <w:bookmarkEnd w:id="113"/>
    </w:p>
    <w:p w14:paraId="55EADDB8" w14:textId="77777777" w:rsidR="00F270FB" w:rsidRDefault="00000000">
      <w:pPr>
        <w:keepNext/>
        <w:spacing w:before="120" w:after="40"/>
        <w:jc w:val="center"/>
      </w:pPr>
      <w:r>
        <w:rPr>
          <w:noProof/>
        </w:rPr>
        <w:drawing>
          <wp:inline distT="0" distB="0" distL="0" distR="0">
            <wp:extent cx="4320000" cy="1944000"/>
            <wp:effectExtent l="0" t="0" r="0" b="0"/>
            <wp:docPr id="7106" name="Illustration 7106" descr="Les politiques monétaires non conventionnelles (diapo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 name="slide_c4_21.png"/>
                    <pic:cNvPicPr/>
                  </pic:nvPicPr>
                  <pic:blipFill>
                    <a:blip r:embed="rId206"/>
                    <a:stretch>
                      <a:fillRect/>
                    </a:stretch>
                  </pic:blipFill>
                  <pic:spPr>
                    <a:xfrm>
                      <a:off x="0" y="0"/>
                      <a:ext cx="4320000" cy="1944000"/>
                    </a:xfrm>
                    <a:prstGeom prst="rect">
                      <a:avLst/>
                    </a:prstGeom>
                    <a:ln w="6350">
                      <a:solidFill>
                        <a:srgbClr val="BFBFBF"/>
                      </a:solidFill>
                    </a:ln>
                  </pic:spPr>
                </pic:pic>
              </a:graphicData>
            </a:graphic>
          </wp:inline>
        </w:drawing>
      </w:r>
    </w:p>
    <w:p w14:paraId="4ECE324D" w14:textId="77777777" w:rsidR="00F270FB" w:rsidRDefault="00000000">
      <w:pPr>
        <w:spacing w:after="200"/>
        <w:jc w:val="center"/>
      </w:pPr>
      <w:r>
        <w:rPr>
          <w:i/>
          <w:color w:val="6B6B6B"/>
          <w:sz w:val="19"/>
          <w:szCs w:val="19"/>
        </w:rPr>
        <w:t xml:space="preserve">Les politiques monétaires non conventionnelles (diapo 21).</w:t>
      </w:r>
    </w:p>
    <w:p w14:paraId="5A94C4E0" w14:textId="77777777" w:rsidR="00F270FB" w:rsidRDefault="00000000">
      <w:pPr>
        <w:pStyle w:val="Titre4"/>
      </w:pPr>
      <w:r>
        <w:t xml:space="preserve">a) Le forward guidance</w:t>
      </w:r>
    </w:p>
    <w:p w14:paraId="2FE12760" w14:textId="77777777" w:rsidR="00F270FB" w:rsidRDefault="00000000">
      <w:r>
        <w:rPr>
          <w:b/>
        </w:rPr>
        <w:t xml:space="preserve">La banque centrale annonce à l'avance ce qu'elle fera</w:t>
      </w:r>
      <w:r>
        <w:t xml:space="preserve"> (l'évolution future de ses taux).</w:t>
      </w:r>
    </w:p>
    <w:p w14:paraId="3924B70F" w14:textId="77777777" w:rsidR="00F270FB" w:rsidRDefault="00000000">
      <w:pPr>
        <w:numPr>
          <w:ilvl w:val="0"/>
          <w:numId w:val="24"/>
        </w:numPr>
      </w:pPr>
      <w:r>
        <w:rPr>
          <w:b/>
        </w:rPr>
        <w:t xml:space="preserve">Objectif : maintenir les taux d'intérêt à des niveaux faibles pour encourager l'investissement et la consommation.</w:t>
      </w:r>
    </w:p>
    <w:p w14:paraId="148DAFFD" w14:textId="77777777" w:rsidR="00F270FB" w:rsidRDefault="00000000">
      <w:pPr>
        <w:numPr>
          <w:ilvl w:val="0"/>
          <w:numId w:val="24"/>
        </w:numPr>
      </w:pPr>
      <w:r>
        <w:t xml:space="preserve">Exemple : en 2013, la BCE annonce que ses taux resteront à leur niveau actuel ou plus bas « pendant une période prolongée ». Une entreprise sait alors qu'elle peut emprunter à taux bas sur plusieurs années : les taux à long terme baissent aussi. C'est une utilisation directe du </w:t>
      </w:r>
      <w:r>
        <w:rPr>
          <w:b/>
        </w:rPr>
        <w:t xml:space="preserve">canal des anticipations</w:t>
      </w:r>
      <w:r>
        <w:t xml:space="preserve">.</w:t>
      </w:r>
    </w:p>
    <w:p w14:paraId="1FA6A662" w14:textId="77777777" w:rsidR="00F270FB" w:rsidRDefault="00000000">
      <w:pPr>
        <w:pStyle w:val="Titre4"/>
      </w:pPr>
      <w:r>
        <w:t xml:space="preserve">b) Le credit easing</w:t>
      </w:r>
    </w:p>
    <w:p w14:paraId="7ADC612A" w14:textId="77777777" w:rsidR="00F270FB" w:rsidRDefault="00000000">
      <w:r>
        <w:rPr>
          <w:b/>
        </w:rPr>
        <w:t xml:space="preserve">La banque centrale élargit la gamme de titres qu'elle refinance</w:t>
      </w:r>
      <w:r>
        <w:t xml:space="preserve">, c'est-à-dire qu'elle accepte en garantie des titres qu'elle refusait avant (de moins bonne qualité), et elle prête aux banques autant qu'elles le demandent.</w:t>
      </w:r>
    </w:p>
    <w:p w14:paraId="53BE3037" w14:textId="77777777" w:rsidR="00F270FB" w:rsidRDefault="00000000">
      <w:pPr>
        <w:numPr>
          <w:ilvl w:val="0"/>
          <w:numId w:val="24"/>
        </w:numPr>
      </w:pPr>
      <w:r>
        <w:rPr>
          <w:b/>
        </w:rPr>
        <w:t xml:space="preserve">Objectif : les banques ont des actifs de meilleure qualité et ne sont pas à cours de liquidité, retour de la confiance interbancaire.</w:t>
      </w:r>
    </w:p>
    <w:p w14:paraId="357DFD72" w14:textId="77777777" w:rsidR="00F270FB" w:rsidRDefault="00000000">
      <w:pPr>
        <w:numPr>
          <w:ilvl w:val="0"/>
          <w:numId w:val="24"/>
        </w:numPr>
      </w:pPr>
      <w:r>
        <w:t xml:space="preserve">En 2008, les banques ne se faisaient plus confiance et ne se prêtaient plus entre elles (marché interbancaire bloqué) : la BCE a pris le relais.</w:t>
      </w:r>
    </w:p>
    <w:p w14:paraId="730B9ECA" w14:textId="77777777" w:rsidR="00F270FB" w:rsidRDefault="00000000">
      <w:pPr>
        <w:pStyle w:val="Titre4"/>
      </w:pPr>
      <w:r>
        <w:t xml:space="preserve">c) Le quantitative easing</w:t>
      </w:r>
    </w:p>
    <w:p w14:paraId="4464A358" w14:textId="77777777" w:rsidR="00F270FB" w:rsidRDefault="00000000">
      <w:r>
        <w:rPr>
          <w:b/>
        </w:rPr>
        <w:t xml:space="preserve">La banque centrale rachète des titres de dette publique sur le marché secondaire</w:t>
      </w:r>
      <w:r>
        <w:t xml:space="preserve"> (le marché de « l'occasion », où s'échangent des titres déjà émis).</w:t>
      </w:r>
    </w:p>
    <w:p w14:paraId="6368071A" w14:textId="77777777" w:rsidR="00F270FB" w:rsidRDefault="00000000">
      <w:pPr>
        <w:numPr>
          <w:ilvl w:val="0"/>
          <w:numId w:val="24"/>
        </w:numPr>
      </w:pPr>
      <w:r>
        <w:rPr>
          <w:b/>
        </w:rPr>
        <w:t xml:space="preserve">Objectif : augmenter la quantité de monnaie pour faire repartir les prix (et la croissance).</w:t>
      </w:r>
    </w:p>
    <w:p w14:paraId="29A22A99" w14:textId="77777777" w:rsidR="00F270FB" w:rsidRDefault="00000000">
      <w:pPr>
        <w:numPr>
          <w:ilvl w:val="0"/>
          <w:numId w:val="24"/>
        </w:numPr>
      </w:pPr>
      <w:r>
        <w:t xml:space="preserve">Pourquoi sur le marché </w:t>
      </w:r>
      <w:r>
        <w:rPr>
          <w:b/>
        </w:rPr>
        <w:t xml:space="preserve">secondaire</w:t>
      </w:r>
      <w:r>
        <w:t xml:space="preserve"> ? Parce que la BCE n'a </w:t>
      </w:r>
      <w:r>
        <w:rPr>
          <w:b/>
        </w:rPr>
        <w:t xml:space="preserve">pas le droit</w:t>
      </w:r>
      <w:r>
        <w:t xml:space="preserve"> d'acheter directement des titres à un État qui les émet (marché primaire) : c'est l'interdiction du financement monétaire des États (article 123 TFUE).</w:t>
      </w:r>
    </w:p>
    <w:p w14:paraId="4D274DD1" w14:textId="77777777" w:rsidR="00F270FB" w:rsidRDefault="00000000">
      <w:pPr>
        <w:numPr>
          <w:ilvl w:val="0"/>
          <w:numId w:val="24"/>
        </w:numPr>
      </w:pPr>
      <w:r>
        <w:t xml:space="preserve">Mécanisme : la BCE achète des obligations aux banques ⇒ les banques reçoivent de la monnaie qu'elles peuvent prêter ; la demande d'obligations augmente donc leur prix monte et </w:t>
      </w:r>
      <w:r>
        <w:rPr>
          <w:b/>
        </w:rPr>
        <w:t xml:space="preserve">les taux d'intérêt à long terme baissent</w:t>
      </w:r>
      <w:r>
        <w:t xml:space="preserve">.</w:t>
      </w:r>
    </w:p>
    <w:p w14:paraId="29D3B070" w14:textId="77777777" w:rsidR="00F270FB" w:rsidRDefault="00000000">
      <w:pPr>
        <w:pStyle w:val="Titre4"/>
      </w:pPr>
      <w:r>
        <w:t xml:space="preserve">d) Le programme d'achat d'obligations du secteur privé</w:t>
      </w:r>
    </w:p>
    <w:p w14:paraId="2EF556EE" w14:textId="77777777" w:rsidR="00F270FB" w:rsidRDefault="00000000">
      <w:r>
        <w:rPr>
          <w:i/>
          <w:color w:val="6B6B6B"/>
        </w:rPr>
        <w:t xml:space="preserve">Diapo sans contenu : complément ajouté.</w:t>
      </w:r>
    </w:p>
    <w:p w14:paraId="482B1039" w14:textId="77777777" w:rsidR="00F270FB" w:rsidRDefault="00000000">
      <w:r>
        <w:t xml:space="preserve">Même principe que le quantitative easing, mais la banque centrale achète des </w:t>
      </w:r>
      <w:r>
        <w:rPr>
          <w:b/>
        </w:rPr>
        <w:t xml:space="preserve">titres émis par des acteurs privés</w:t>
      </w:r>
      <w:r>
        <w:t xml:space="preserve"> :</w:t>
      </w:r>
    </w:p>
    <w:p w14:paraId="448F471D" w14:textId="77777777" w:rsidR="00F270FB" w:rsidRDefault="00000000">
      <w:pPr>
        <w:numPr>
          <w:ilvl w:val="0"/>
          <w:numId w:val="24"/>
        </w:numPr>
      </w:pPr>
      <w:r>
        <w:rPr>
          <w:b/>
        </w:rPr>
        <w:t xml:space="preserve">obligations d'entreprises</w:t>
      </w:r>
      <w:r>
        <w:t xml:space="preserve"> (non financières, bien notées) : programme </w:t>
      </w:r>
      <w:r>
        <w:rPr>
          <w:b/>
        </w:rPr>
        <w:t xml:space="preserve">CSPP</w:t>
      </w:r>
      <w:r>
        <w:t xml:space="preserve"> (Corporate Sector Purchase Programme) lancé en </w:t>
      </w:r>
      <w:r>
        <w:rPr>
          <w:b/>
        </w:rPr>
        <w:t xml:space="preserve">2016</w:t>
      </w:r>
      <w:r>
        <w:t xml:space="preserve"> ⇒ les grandes entreprises peuvent se financer moins cher ;</w:t>
      </w:r>
    </w:p>
    <w:p w14:paraId="4EF7D895" w14:textId="77777777" w:rsidR="00F270FB" w:rsidRDefault="00000000">
      <w:pPr>
        <w:numPr>
          <w:ilvl w:val="0"/>
          <w:numId w:val="24"/>
        </w:numPr>
      </w:pPr>
      <w:r>
        <w:rPr>
          <w:b/>
        </w:rPr>
        <w:t xml:space="preserve">obligations sécurisées des banques</w:t>
      </w:r>
      <w:r>
        <w:t xml:space="preserve"> (CBPP3) et </w:t>
      </w:r>
      <w:r>
        <w:rPr>
          <w:b/>
        </w:rPr>
        <w:t xml:space="preserve">titres adossés à des actifs</w:t>
      </w:r>
      <w:r>
        <w:t xml:space="preserve"> (ABSPP, des paquets de crédits regroupés).</w:t>
      </w:r>
    </w:p>
    <w:p w14:paraId="14B8212D" w14:textId="77777777" w:rsidR="00F270FB" w:rsidRDefault="00000000">
      <w:pPr>
        <w:pStyle w:val="Titre3"/>
      </w:pPr>
      <w:bookmarkStart w:id="114" w:name="_Toc2431232114"/>
      <w:r>
        <w:t xml:space="preserve">3°) Exemple de la Banque centrale européenne : le programme d'achat de titres étendu</w:t>
      </w:r>
      <w:bookmarkEnd w:id="114"/>
    </w:p>
    <w:p w14:paraId="2C0A3517" w14:textId="77777777" w:rsidR="00F270FB" w:rsidRDefault="00000000">
      <w:r>
        <w:rPr>
          <w:b/>
        </w:rPr>
        <w:t xml:space="preserve">Expanded Asset Purchase Programme (APP)</w:t>
      </w:r>
      <w:r>
        <w:t xml:space="preserve">, lancé en </w:t>
      </w:r>
      <w:r>
        <w:rPr>
          <w:b/>
        </w:rPr>
        <w:t xml:space="preserve">2015</w:t>
      </w:r>
      <w:r>
        <w:t xml:space="preserve"> : il regroupe tous les programmes d'achat de titres de la BCE.</w:t>
      </w:r>
    </w:p>
    <w:p w14:paraId="45EA918F" w14:textId="77777777" w:rsidR="00F270FB" w:rsidRDefault="00000000">
      <w:pPr>
        <w:keepNext/>
        <w:spacing w:before="120" w:after="40"/>
        <w:jc w:val="center"/>
      </w:pPr>
      <w:r>
        <w:rPr>
          <w:noProof/>
        </w:rPr>
        <w:drawing>
          <wp:inline distT="0" distB="0" distL="0" distR="0">
            <wp:extent cx="4680000" cy="2254571"/>
            <wp:effectExtent l="0" t="0" r="0" b="0"/>
            <wp:docPr id="7107" name="Illustration 7107" descr="Achats nets mensuels de l'APP, en milliards d'euros, de 2015 à 2022 (diapo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 name="slide_c4_24.png"/>
                    <pic:cNvPicPr/>
                  </pic:nvPicPr>
                  <pic:blipFill>
                    <a:blip r:embed="rId207"/>
                    <a:stretch>
                      <a:fillRect/>
                    </a:stretch>
                  </pic:blipFill>
                  <pic:spPr>
                    <a:xfrm>
                      <a:off x="0" y="0"/>
                      <a:ext cx="4680000" cy="2254571"/>
                    </a:xfrm>
                    <a:prstGeom prst="rect">
                      <a:avLst/>
                    </a:prstGeom>
                    <a:ln w="6350">
                      <a:solidFill>
                        <a:srgbClr val="BFBFBF"/>
                      </a:solidFill>
                    </a:ln>
                  </pic:spPr>
                </pic:pic>
              </a:graphicData>
            </a:graphic>
          </wp:inline>
        </w:drawing>
      </w:r>
    </w:p>
    <w:p w14:paraId="48C4AD51" w14:textId="77777777" w:rsidR="00F270FB" w:rsidRDefault="00000000">
      <w:pPr>
        <w:spacing w:after="200"/>
        <w:jc w:val="center"/>
      </w:pPr>
      <w:r>
        <w:rPr>
          <w:i/>
          <w:color w:val="6B6B6B"/>
          <w:sz w:val="19"/>
          <w:szCs w:val="19"/>
        </w:rPr>
        <w:t xml:space="preserve">Achats nets mensuels de l'APP, en milliards d'euros, de 2015 à 2022 (diapo 24).</w:t>
      </w:r>
    </w:p>
    <w:p w14:paraId="2FD1AA4D" w14:textId="77777777" w:rsidR="00F270FB" w:rsidRDefault="00000000">
      <w:pPr>
        <w:numPr>
          <w:ilvl w:val="0"/>
          <w:numId w:val="24"/>
        </w:numPr>
      </w:pPr>
      <w:r>
        <w:rPr>
          <w:b/>
        </w:rPr>
        <w:t xml:space="preserve">PSPP</w:t>
      </w:r>
      <w:r>
        <w:t xml:space="preserve"> (titres publics, en bleu) : de loin la plus grosse part ; </w:t>
      </w:r>
      <w:r>
        <w:rPr>
          <w:b/>
        </w:rPr>
        <w:t xml:space="preserve">CBPP3</w:t>
      </w:r>
      <w:r>
        <w:t xml:space="preserve"> (obligations sécurisées), </w:t>
      </w:r>
      <w:r>
        <w:rPr>
          <w:b/>
        </w:rPr>
        <w:t xml:space="preserve">CSPP</w:t>
      </w:r>
      <w:r>
        <w:t xml:space="preserve"> (obligations d'entreprises), </w:t>
      </w:r>
      <w:r>
        <w:rPr>
          <w:b/>
        </w:rPr>
        <w:t xml:space="preserve">ABSPP</w:t>
      </w:r>
      <w:r>
        <w:t xml:space="preserve"> (titres adossés à des actifs).</w:t>
      </w:r>
    </w:p>
    <w:p w14:paraId="62DF2BEC" w14:textId="77777777" w:rsidR="00F270FB" w:rsidRDefault="00000000">
      <w:pPr>
        <w:numPr>
          <w:ilvl w:val="0"/>
          <w:numId w:val="24"/>
        </w:numPr>
      </w:pPr>
      <w:r>
        <w:t xml:space="preserve">Rythme : </w:t>
      </w:r>
      <w:r>
        <w:rPr>
          <w:b/>
        </w:rPr>
        <w:t xml:space="preserve">60 Md€ par mois</w:t>
      </w:r>
      <w:r>
        <w:t xml:space="preserve"> à partir de 2015, </w:t>
      </w:r>
      <w:r>
        <w:rPr>
          <w:b/>
        </w:rPr>
        <w:t xml:space="preserve">80 Md€</w:t>
      </w:r>
      <w:r>
        <w:t xml:space="preserve"> en 2016-2017, puis réduction progressive (30 puis 15 Md€ en 2018), arrêt des achats nets en 2019, reprise fin 2019 et renforcement en 2020 face au Covid, puis </w:t>
      </w:r>
      <w:r>
        <w:rPr>
          <w:b/>
        </w:rPr>
        <w:t xml:space="preserve">fin des achats nets en 2022</w:t>
      </w:r>
      <w:r>
        <w:t xml:space="preserve">.</w:t>
      </w:r>
    </w:p>
    <w:p w14:paraId="46C35C46" w14:textId="77777777" w:rsidR="00F270FB" w:rsidRDefault="00000000">
      <w:pPr>
        <w:numPr>
          <w:ilvl w:val="0"/>
          <w:numId w:val="24"/>
        </w:numPr>
      </w:pPr>
      <w:r>
        <w:t xml:space="preserve">En 2020, la BCE a aussi lancé un programme spécifique à la pandémie, le </w:t>
      </w:r>
      <w:r>
        <w:rPr>
          <w:b/>
        </w:rPr>
        <w:t xml:space="preserve">PEPP</w:t>
      </w:r>
      <w:r>
        <w:t xml:space="preserve"> (1 850 Md€), en plus de l'APP.</w:t>
      </w:r>
    </w:p>
    <w:p w14:paraId="7A5FC08A" w14:textId="77777777" w:rsidR="00F270FB" w:rsidRDefault="00000000">
      <w:pPr>
        <w:pStyle w:val="Titre2"/>
      </w:pPr>
      <w:bookmarkStart w:id="115" w:name="_Toc2431232115"/>
      <w:r>
        <w:t xml:space="preserve">IV – La reprise de l'inflation en 2021 : une hausse des taux d'intérêt directeurs</w:t>
      </w:r>
      <w:bookmarkEnd w:id="115"/>
    </w:p>
    <w:p w14:paraId="2B9CB4AB" w14:textId="77777777" w:rsidR="00F270FB" w:rsidRDefault="00000000">
      <w:r>
        <w:t xml:space="preserve">À partir de 2021, l'inflation repart brutalement, aux États-Unis comme dans la zone euro, et dans presque tous les pays du monde.</w:t>
      </w:r>
    </w:p>
    <w:p w14:paraId="4FD175DE" w14:textId="77777777" w:rsidR="00F270FB" w:rsidRDefault="00000000">
      <w:pPr>
        <w:keepNext/>
        <w:spacing w:before="120" w:after="40"/>
        <w:jc w:val="center"/>
      </w:pPr>
      <w:r>
        <w:rPr>
          <w:noProof/>
        </w:rPr>
        <w:drawing>
          <wp:inline distT="0" distB="0" distL="0" distR="0">
            <wp:extent cx="3960000" cy="2700382"/>
            <wp:effectExtent l="0" t="0" r="0" b="0"/>
            <wp:docPr id="7108" name="Illustration 7108" descr="Taux d'inflation annuels aux États-Unis et en zone euro, 1982-2021 (diapo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 name="slide_c4_25.png"/>
                    <pic:cNvPicPr/>
                  </pic:nvPicPr>
                  <pic:blipFill>
                    <a:blip r:embed="rId208"/>
                    <a:stretch>
                      <a:fillRect/>
                    </a:stretch>
                  </pic:blipFill>
                  <pic:spPr>
                    <a:xfrm>
                      <a:off x="0" y="0"/>
                      <a:ext cx="3960000" cy="2700382"/>
                    </a:xfrm>
                    <a:prstGeom prst="rect">
                      <a:avLst/>
                    </a:prstGeom>
                    <a:ln w="6350">
                      <a:solidFill>
                        <a:srgbClr val="BFBFBF"/>
                      </a:solidFill>
                    </a:ln>
                  </pic:spPr>
                </pic:pic>
              </a:graphicData>
            </a:graphic>
          </wp:inline>
        </w:drawing>
      </w:r>
    </w:p>
    <w:p w14:paraId="2806E261" w14:textId="77777777" w:rsidR="00F270FB" w:rsidRDefault="00000000">
      <w:pPr>
        <w:spacing w:after="200"/>
        <w:jc w:val="center"/>
      </w:pPr>
      <w:r>
        <w:rPr>
          <w:i/>
          <w:color w:val="6B6B6B"/>
          <w:sz w:val="19"/>
          <w:szCs w:val="19"/>
        </w:rPr>
        <w:t xml:space="preserve">Taux d'inflation annuels aux États-Unis et en zone euro, 1982-2021 (diapo 25).</w:t>
      </w:r>
    </w:p>
    <w:p w14:paraId="140D1E7F" w14:textId="77777777" w:rsidR="00F270FB" w:rsidRDefault="00000000">
      <w:pPr>
        <w:numPr>
          <w:ilvl w:val="0"/>
          <w:numId w:val="24"/>
        </w:numPr>
      </w:pPr>
      <w:r>
        <w:t xml:space="preserve">Fin 2021, l'inflation atteint près de </w:t>
      </w:r>
      <w:r>
        <w:rPr>
          <w:b/>
        </w:rPr>
        <w:t xml:space="preserve">7 % aux États-Unis</w:t>
      </w:r>
      <w:r>
        <w:t xml:space="preserve"> et </w:t>
      </w:r>
      <w:r>
        <w:rPr>
          <w:b/>
        </w:rPr>
        <w:t xml:space="preserve">5 % en zone euro</w:t>
      </w:r>
      <w:r>
        <w:t xml:space="preserve">, des niveaux jamais vus depuis les années 1980. Elle monte jusqu'à </w:t>
      </w:r>
      <w:r>
        <w:rPr>
          <w:b/>
        </w:rPr>
        <w:t xml:space="preserve">10,6 % en zone euro en octobre 2022</w:t>
      </w:r>
      <w:r>
        <w:t xml:space="preserve">.</w:t>
      </w:r>
    </w:p>
    <w:p w14:paraId="14B60EDD" w14:textId="77777777" w:rsidR="00F270FB" w:rsidRDefault="00000000">
      <w:pPr>
        <w:numPr>
          <w:ilvl w:val="0"/>
          <w:numId w:val="24"/>
        </w:numPr>
      </w:pPr>
      <w:r>
        <w:t xml:space="preserve">D'après les prévisions du FMI pour 2022, certains pays connaissent une inflation extrême : </w:t>
      </w:r>
      <w:r>
        <w:rPr>
          <w:b/>
        </w:rPr>
        <w:t xml:space="preserve">284,9 %</w:t>
      </w:r>
      <w:r>
        <w:t xml:space="preserve"> au Zimbabwe, </w:t>
      </w:r>
      <w:r>
        <w:rPr>
          <w:b/>
        </w:rPr>
        <w:t xml:space="preserve">210 %</w:t>
      </w:r>
      <w:r>
        <w:t xml:space="preserve"> au Venezuela, </w:t>
      </w:r>
      <w:r>
        <w:rPr>
          <w:b/>
        </w:rPr>
        <w:t xml:space="preserve">154,9 %</w:t>
      </w:r>
      <w:r>
        <w:t xml:space="preserve"> au Soudan, </w:t>
      </w:r>
      <w:r>
        <w:rPr>
          <w:b/>
        </w:rPr>
        <w:t xml:space="preserve">73,1 %</w:t>
      </w:r>
      <w:r>
        <w:t xml:space="preserve"> en Turquie, </w:t>
      </w:r>
      <w:r>
        <w:rPr>
          <w:b/>
        </w:rPr>
        <w:t xml:space="preserve">72,4 %</w:t>
      </w:r>
      <w:r>
        <w:t xml:space="preserve"> en Argentine.</w:t>
      </w:r>
    </w:p>
    <w:p w14:paraId="308FF8BC" w14:textId="77777777" w:rsidR="00F270FB" w:rsidRDefault="00000000">
      <w:pPr>
        <w:pStyle w:val="Titre3"/>
      </w:pPr>
      <w:bookmarkStart w:id="116" w:name="_Toc2431232116"/>
      <w:r>
        <w:t xml:space="preserve">1°) Les origines de la reprise de l'inflation</w:t>
      </w:r>
      <w:bookmarkEnd w:id="116"/>
    </w:p>
    <w:p w14:paraId="306EFF6C" w14:textId="77777777" w:rsidR="00F270FB" w:rsidRDefault="00000000">
      <w:pPr>
        <w:pStyle w:val="Titre4"/>
      </w:pPr>
      <w:r>
        <w:t xml:space="preserve">Reprise économique : du côté de l'offre</w:t>
      </w:r>
    </w:p>
    <w:p w14:paraId="2F069B5B" w14:textId="77777777" w:rsidR="00F270FB" w:rsidRDefault="00000000">
      <w:r>
        <w:rPr>
          <w:b/>
        </w:rPr>
        <w:t xml:space="preserve">Problèmes d'approvisionnement</w:t>
      </w:r>
      <w:r>
        <w:t xml:space="preserve"> : après les confinements, les usines ont redémarré lentement et les chaînes de production mondiales ont été désorganisées. Un smartphone, par exemple, fait « </w:t>
      </w:r>
      <w:r>
        <w:rPr>
          <w:b/>
        </w:rPr>
        <w:t xml:space="preserve">quatre tours du monde</w:t>
      </w:r>
      <w:r>
        <w:t xml:space="preserve"> » avant d'arriver en magasin (conception aux États-Unis, matières premières en Asie, Afrique, Amérique du Sud, composants en Asie, assemblage en Asie du Sud-Est). Si un maillon bloque, toute la chaîne est bloquée.</w:t>
      </w:r>
    </w:p>
    <w:p w14:paraId="53496379" w14:textId="77777777" w:rsidR="00F270FB" w:rsidRDefault="00000000">
      <w:pPr>
        <w:keepNext/>
        <w:spacing w:before="120" w:after="40"/>
        <w:jc w:val="center"/>
      </w:pPr>
      <w:r>
        <w:rPr>
          <w:noProof/>
        </w:rPr>
        <w:drawing>
          <wp:inline distT="0" distB="0" distL="0" distR="0">
            <wp:extent cx="2880000" cy="2522666"/>
            <wp:effectExtent l="0" t="0" r="0" b="0"/>
            <wp:docPr id="7109" name="Illustration 7109" descr="Quatre tours du monde pour fabriquer un smartphone (diapo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 name="slide_c4_26.png"/>
                    <pic:cNvPicPr/>
                  </pic:nvPicPr>
                  <pic:blipFill>
                    <a:blip r:embed="rId209"/>
                    <a:stretch>
                      <a:fillRect/>
                    </a:stretch>
                  </pic:blipFill>
                  <pic:spPr>
                    <a:xfrm>
                      <a:off x="0" y="0"/>
                      <a:ext cx="2880000" cy="2522666"/>
                    </a:xfrm>
                    <a:prstGeom prst="rect">
                      <a:avLst/>
                    </a:prstGeom>
                    <a:ln w="6350">
                      <a:solidFill>
                        <a:srgbClr val="BFBFBF"/>
                      </a:solidFill>
                    </a:ln>
                  </pic:spPr>
                </pic:pic>
              </a:graphicData>
            </a:graphic>
          </wp:inline>
        </w:drawing>
      </w:r>
    </w:p>
    <w:p w14:paraId="2AA1E3D3" w14:textId="77777777" w:rsidR="00F270FB" w:rsidRDefault="00000000">
      <w:pPr>
        <w:spacing w:after="200"/>
        <w:jc w:val="center"/>
      </w:pPr>
      <w:r>
        <w:rPr>
          <w:i/>
          <w:color w:val="6B6B6B"/>
          <w:sz w:val="19"/>
          <w:szCs w:val="19"/>
        </w:rPr>
        <w:t xml:space="preserve">Quatre tours du monde pour fabriquer un smartphone (diapo 26).</w:t>
      </w:r>
    </w:p>
    <w:p w14:paraId="72DB3CCC" w14:textId="77777777" w:rsidR="00F270FB" w:rsidRDefault="00000000">
      <w:pPr>
        <w:numPr>
          <w:ilvl w:val="0"/>
          <w:numId w:val="24"/>
        </w:numPr>
      </w:pPr>
      <w:r>
        <w:t xml:space="preserve">Autre exemple : le </w:t>
      </w:r>
      <w:r>
        <w:rPr>
          <w:b/>
        </w:rPr>
        <w:t xml:space="preserve">silicium</w:t>
      </w:r>
      <w:r>
        <w:t xml:space="preserve"> (indispensable aux puces électroniques) est produit en très grande majorité par la </w:t>
      </w:r>
      <w:r>
        <w:rPr>
          <w:b/>
        </w:rPr>
        <w:t xml:space="preserve">Chine</w:t>
      </w:r>
      <w:r>
        <w:t xml:space="preserve"> : une forte dépendance à un seul pays.</w:t>
      </w:r>
    </w:p>
    <w:p w14:paraId="2DA0B308" w14:textId="77777777" w:rsidR="00F270FB" w:rsidRDefault="00000000">
      <w:pPr>
        <w:numPr>
          <w:ilvl w:val="0"/>
          <w:numId w:val="24"/>
        </w:numPr>
      </w:pPr>
      <w:r>
        <w:t xml:space="preserve">⇒ Les entreprises paient plus cher leurs composants et le transport, et répercutent ces coûts sur leurs prix : </w:t>
      </w:r>
      <w:r>
        <w:rPr>
          <w:b/>
        </w:rPr>
        <w:t xml:space="preserve">inflation par les coûts</w:t>
      </w:r>
      <w:r>
        <w:t xml:space="preserve">.</w:t>
      </w:r>
    </w:p>
    <w:p w14:paraId="4564AB9E" w14:textId="77777777" w:rsidR="00F270FB" w:rsidRDefault="00000000">
      <w:pPr>
        <w:pStyle w:val="Titre4"/>
      </w:pPr>
      <w:r>
        <w:t xml:space="preserve">Reprise économique : du côté de la demande</w:t>
      </w:r>
    </w:p>
    <w:p w14:paraId="7F52A435" w14:textId="77777777" w:rsidR="00F270FB" w:rsidRDefault="00000000">
      <w:r>
        <w:rPr>
          <w:b/>
        </w:rPr>
        <w:t xml:space="preserve">Hausse de la demande</w:t>
      </w:r>
      <w:r>
        <w:t xml:space="preserve"> : après la chute de 2020, la croissance repart très fort en 2021 (ménages qui dépensent l'épargne accumulée pendant les confinements, plans de relance, cf. chapitre 2).</w:t>
      </w:r>
    </w:p>
    <w:p w14:paraId="317EF7BB" w14:textId="77777777" w:rsidR="00F270FB" w:rsidRDefault="00000000">
      <w:pPr>
        <w:keepNext/>
        <w:spacing w:before="120" w:after="40"/>
        <w:jc w:val="center"/>
      </w:pPr>
      <w:r>
        <w:rPr>
          <w:noProof/>
        </w:rPr>
        <w:drawing>
          <wp:inline distT="0" distB="0" distL="0" distR="0">
            <wp:extent cx="4680000" cy="2575708"/>
            <wp:effectExtent l="0" t="0" r="0" b="0"/>
            <wp:docPr id="7110" name="Illustration 7110" descr="Taux de croissance du PIB en 2020 et 2021 (diapo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 name="slide_c4_27.png"/>
                    <pic:cNvPicPr/>
                  </pic:nvPicPr>
                  <pic:blipFill>
                    <a:blip r:embed="rId210"/>
                    <a:stretch>
                      <a:fillRect/>
                    </a:stretch>
                  </pic:blipFill>
                  <pic:spPr>
                    <a:xfrm>
                      <a:off x="0" y="0"/>
                      <a:ext cx="4680000" cy="2575708"/>
                    </a:xfrm>
                    <a:prstGeom prst="rect">
                      <a:avLst/>
                    </a:prstGeom>
                    <a:ln w="6350">
                      <a:solidFill>
                        <a:srgbClr val="BFBFBF"/>
                      </a:solidFill>
                    </a:ln>
                  </pic:spPr>
                </pic:pic>
              </a:graphicData>
            </a:graphic>
          </wp:inline>
        </w:drawing>
      </w:r>
    </w:p>
    <w:p w14:paraId="2223489C" w14:textId="77777777" w:rsidR="00F270FB" w:rsidRDefault="00000000">
      <w:pPr>
        <w:spacing w:after="200"/>
        <w:jc w:val="center"/>
      </w:pPr>
      <w:r>
        <w:rPr>
          <w:i/>
          <w:color w:val="6B6B6B"/>
          <w:sz w:val="19"/>
          <w:szCs w:val="19"/>
        </w:rPr>
        <w:t xml:space="preserve">Taux de croissance du PIB en 2020 et 2021 (diapo 27).</w:t>
      </w:r>
    </w:p>
    <w:p w14:paraId="399A0FAD" w14:textId="77777777" w:rsidR="00F270FB" w:rsidRDefault="00000000">
      <w:pPr>
        <w:numPr>
          <w:ilvl w:val="0"/>
          <w:numId w:val="24"/>
        </w:numPr>
      </w:pPr>
      <w:r>
        <w:t xml:space="preserve">Production mondiale : </w:t>
      </w:r>
      <w:r>
        <w:rPr>
          <w:b/>
        </w:rPr>
        <w:t xml:space="preserve">−3,1 %</w:t>
      </w:r>
      <w:r>
        <w:t xml:space="preserve"> en 2020 puis </w:t>
      </w:r>
      <w:r>
        <w:rPr>
          <w:b/>
        </w:rPr>
        <w:t xml:space="preserve">+6,1 %</w:t>
      </w:r>
      <w:r>
        <w:t xml:space="preserve"> en 2021 ; zone euro : </w:t>
      </w:r>
      <w:r>
        <w:rPr>
          <w:b/>
        </w:rPr>
        <w:t xml:space="preserve">−6,3 %</w:t>
      </w:r>
      <w:r>
        <w:t xml:space="preserve"> puis </w:t>
      </w:r>
      <w:r>
        <w:rPr>
          <w:b/>
        </w:rPr>
        <w:t xml:space="preserve">+5,4 %</w:t>
      </w:r>
      <w:r>
        <w:t xml:space="preserve"> ; France : </w:t>
      </w:r>
      <w:r>
        <w:rPr>
          <w:b/>
        </w:rPr>
        <w:t xml:space="preserve">−8,0 %</w:t>
      </w:r>
      <w:r>
        <w:t xml:space="preserve"> puis </w:t>
      </w:r>
      <w:r>
        <w:rPr>
          <w:b/>
        </w:rPr>
        <w:t xml:space="preserve">+6,8 %</w:t>
      </w:r>
      <w:r>
        <w:t xml:space="preserve">.</w:t>
      </w:r>
    </w:p>
    <w:p w14:paraId="16902324" w14:textId="77777777" w:rsidR="00F270FB" w:rsidRDefault="00000000">
      <w:pPr>
        <w:numPr>
          <w:ilvl w:val="0"/>
          <w:numId w:val="24"/>
        </w:numPr>
      </w:pPr>
      <w:r>
        <w:t xml:space="preserve">⇒ La demande augmente plus vite que ce que l'offre (désorganisée) peut fournir : </w:t>
      </w:r>
      <w:r>
        <w:rPr>
          <w:b/>
        </w:rPr>
        <w:t xml:space="preserve">inflation par la demande</w:t>
      </w:r>
      <w:r>
        <w:t xml:space="preserve">.</w:t>
      </w:r>
    </w:p>
    <w:p w14:paraId="38421555" w14:textId="77777777" w:rsidR="00F270FB" w:rsidRDefault="00000000">
      <w:pPr>
        <w:pStyle w:val="Titre4"/>
      </w:pPr>
      <w:r>
        <w:t xml:space="preserve">Hausse du prix des matières premières</w:t>
      </w:r>
    </w:p>
    <w:p w14:paraId="585D32E8" w14:textId="77777777" w:rsidR="00F270FB" w:rsidRDefault="00000000">
      <w:pPr>
        <w:keepNext/>
        <w:spacing w:before="120" w:after="40"/>
        <w:jc w:val="center"/>
      </w:pPr>
      <w:r>
        <w:rPr>
          <w:noProof/>
        </w:rPr>
        <w:drawing>
          <wp:inline distT="0" distB="0" distL="0" distR="0">
            <wp:extent cx="4680000" cy="1765133"/>
            <wp:effectExtent l="0" t="0" r="0" b="0"/>
            <wp:docPr id="7111" name="Illustration 7111" descr="Cours du boisseau de blé, 2017-2022 (diapo 28, source : Bourso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 name="slide_c4_28.png"/>
                    <pic:cNvPicPr/>
                  </pic:nvPicPr>
                  <pic:blipFill>
                    <a:blip r:embed="rId211"/>
                    <a:stretch>
                      <a:fillRect/>
                    </a:stretch>
                  </pic:blipFill>
                  <pic:spPr>
                    <a:xfrm>
                      <a:off x="0" y="0"/>
                      <a:ext cx="4680000" cy="1765133"/>
                    </a:xfrm>
                    <a:prstGeom prst="rect">
                      <a:avLst/>
                    </a:prstGeom>
                    <a:ln w="6350">
                      <a:solidFill>
                        <a:srgbClr val="BFBFBF"/>
                      </a:solidFill>
                    </a:ln>
                  </pic:spPr>
                </pic:pic>
              </a:graphicData>
            </a:graphic>
          </wp:inline>
        </w:drawing>
      </w:r>
    </w:p>
    <w:p w14:paraId="1EF52338" w14:textId="77777777" w:rsidR="00F270FB" w:rsidRDefault="00000000">
      <w:pPr>
        <w:spacing w:after="200"/>
        <w:jc w:val="center"/>
      </w:pPr>
      <w:r>
        <w:rPr>
          <w:i/>
          <w:color w:val="6B6B6B"/>
          <w:sz w:val="19"/>
          <w:szCs w:val="19"/>
        </w:rPr>
        <w:t xml:space="preserve">Cours du boisseau de blé, 2017-2022 (diapo 28, source : Boursorama).</w:t>
      </w:r>
    </w:p>
    <w:p w14:paraId="58EC398F" w14:textId="77777777" w:rsidR="00F270FB" w:rsidRDefault="00000000">
      <w:pPr>
        <w:numPr>
          <w:ilvl w:val="0"/>
          <w:numId w:val="24"/>
        </w:numPr>
      </w:pPr>
      <w:r>
        <w:t xml:space="preserve">Les prix du </w:t>
      </w:r>
      <w:r>
        <w:rPr>
          <w:b/>
        </w:rPr>
        <w:t xml:space="preserve">blé</w:t>
      </w:r>
      <w:r>
        <w:t xml:space="preserve"> et du </w:t>
      </w:r>
      <w:r>
        <w:rPr>
          <w:b/>
        </w:rPr>
        <w:t xml:space="preserve">gaz</w:t>
      </w:r>
      <w:r>
        <w:t xml:space="preserve"> s'envolent, surtout avec la </w:t>
      </w:r>
      <w:r>
        <w:rPr>
          <w:b/>
        </w:rPr>
        <w:t xml:space="preserve">guerre en Ukraine (février 2022)</w:t>
      </w:r>
      <w:r>
        <w:t xml:space="preserve"> : la Russie et l'Ukraine sont de grands exportateurs de blé, et la Russie fournissait une grande partie du gaz européen.</w:t>
      </w:r>
    </w:p>
    <w:p w14:paraId="439442C0" w14:textId="77777777" w:rsidR="00F270FB" w:rsidRDefault="00000000">
      <w:pPr>
        <w:numPr>
          <w:ilvl w:val="0"/>
          <w:numId w:val="24"/>
        </w:numPr>
      </w:pPr>
      <w:r>
        <w:t xml:space="preserve">Certains pays européens dépendaient fortement du </w:t>
      </w:r>
      <w:r>
        <w:rPr>
          <w:b/>
        </w:rPr>
        <w:t xml:space="preserve">gaz russe</w:t>
      </w:r>
      <w:r>
        <w:t xml:space="preserve"> (Allemagne, Europe de l'Est, Finlande…). La France était moins exposée : son gaz venait surtout de </w:t>
      </w:r>
      <w:r>
        <w:rPr>
          <w:b/>
        </w:rPr>
        <w:t xml:space="preserve">Norvège (36 %)</w:t>
      </w:r>
      <w:r>
        <w:t xml:space="preserve">, la Russie ne représentant que </w:t>
      </w:r>
      <w:r>
        <w:rPr>
          <w:b/>
        </w:rPr>
        <w:t xml:space="preserve">20 %</w:t>
      </w:r>
      <w:r>
        <w:t xml:space="preserve">.</w:t>
      </w:r>
    </w:p>
    <w:p w14:paraId="63947007" w14:textId="77777777" w:rsidR="00F270FB" w:rsidRDefault="00000000">
      <w:pPr>
        <w:keepNext/>
        <w:spacing w:before="120" w:after="40"/>
        <w:jc w:val="center"/>
      </w:pPr>
      <w:r>
        <w:rPr>
          <w:noProof/>
        </w:rPr>
        <w:drawing>
          <wp:inline distT="0" distB="0" distL="0" distR="0">
            <wp:extent cx="5040000" cy="2435086"/>
            <wp:effectExtent l="0" t="0" r="0" b="0"/>
            <wp:docPr id="7112" name="Illustration 7112" descr="La dépendance des États membres au gaz russe et la provenance du gaz consommé en France (diapo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 name="slide_c4_29.png"/>
                    <pic:cNvPicPr/>
                  </pic:nvPicPr>
                  <pic:blipFill>
                    <a:blip r:embed="rId212"/>
                    <a:stretch>
                      <a:fillRect/>
                    </a:stretch>
                  </pic:blipFill>
                  <pic:spPr>
                    <a:xfrm>
                      <a:off x="0" y="0"/>
                      <a:ext cx="5040000" cy="2435086"/>
                    </a:xfrm>
                    <a:prstGeom prst="rect">
                      <a:avLst/>
                    </a:prstGeom>
                    <a:ln w="6350">
                      <a:solidFill>
                        <a:srgbClr val="BFBFBF"/>
                      </a:solidFill>
                    </a:ln>
                  </pic:spPr>
                </pic:pic>
              </a:graphicData>
            </a:graphic>
          </wp:inline>
        </w:drawing>
      </w:r>
    </w:p>
    <w:p w14:paraId="63B56704" w14:textId="77777777" w:rsidR="00F270FB" w:rsidRDefault="00000000">
      <w:pPr>
        <w:spacing w:after="200"/>
        <w:jc w:val="center"/>
      </w:pPr>
      <w:r>
        <w:rPr>
          <w:i/>
          <w:color w:val="6B6B6B"/>
          <w:sz w:val="19"/>
          <w:szCs w:val="19"/>
        </w:rPr>
        <w:t xml:space="preserve">La dépendance des États membres au gaz russe et la provenance du gaz consommé en France (diapo 29).</w:t>
      </w:r>
    </w:p>
    <w:p w14:paraId="7F7996D7" w14:textId="77777777" w:rsidR="00F270FB" w:rsidRDefault="00000000">
      <w:pPr>
        <w:numPr>
          <w:ilvl w:val="0"/>
          <w:numId w:val="24"/>
        </w:numPr>
      </w:pPr>
      <w:r>
        <w:t xml:space="preserve">Ces matières premières sont achetées à l'étranger : leur hausse de prix se répercute sur nos prix ⇒ </w:t>
      </w:r>
      <w:r>
        <w:rPr>
          <w:b/>
        </w:rPr>
        <w:t xml:space="preserve">inflation importée</w:t>
      </w:r>
      <w:r>
        <w:t xml:space="preserve">.</w:t>
      </w:r>
    </w:p>
    <w:p w14:paraId="753AD360" w14:textId="77777777" w:rsidR="00F270FB" w:rsidRDefault="00000000">
      <w:pPr>
        <w:pStyle w:val="Titre4"/>
      </w:pPr>
      <w:r>
        <w:t xml:space="preserve">Politiques de rachat d'actifs</w:t>
      </w:r>
    </w:p>
    <w:p w14:paraId="6BD234AB" w14:textId="77777777" w:rsidR="00F270FB" w:rsidRDefault="00000000">
      <w:pPr>
        <w:numPr>
          <w:ilvl w:val="0"/>
          <w:numId w:val="24"/>
        </w:numPr>
      </w:pPr>
      <w:r>
        <w:t xml:space="preserve">Avec le quantitative easing, la masse monétaire M3 de la zone euro est passée de </w:t>
      </w:r>
      <w:r>
        <w:rPr>
          <w:b/>
        </w:rPr>
        <w:t xml:space="preserve">9 332 359 millions d'euros (2010)</w:t>
      </w:r>
      <w:r>
        <w:t xml:space="preserve"> à </w:t>
      </w:r>
      <w:r>
        <w:rPr>
          <w:b/>
        </w:rPr>
        <w:t xml:space="preserve">15 850 535 millions d'euros (2022)</w:t>
      </w:r>
      <w:r>
        <w:t xml:space="preserve">, soit </w:t>
      </w:r>
      <w:r>
        <w:rPr>
          <w:b/>
        </w:rPr>
        <w:t xml:space="preserve">+69,8 %</w:t>
      </w:r>
      <w:r>
        <w:t xml:space="preserve">. Son taux de croissance a dépassé </w:t>
      </w:r>
      <w:r>
        <w:rPr>
          <w:b/>
        </w:rPr>
        <w:t xml:space="preserve">12 % en 2020-2021</w:t>
      </w:r>
      <w:r>
        <w:t xml:space="preserve">.</w:t>
      </w:r>
    </w:p>
    <w:p w14:paraId="6F5330E1" w14:textId="77777777" w:rsidR="00F270FB" w:rsidRDefault="00000000">
      <w:pPr>
        <w:numPr>
          <w:ilvl w:val="0"/>
          <w:numId w:val="24"/>
        </w:numPr>
      </w:pPr>
      <w:r>
        <w:t xml:space="preserve">D'après la théorie quantitative (I 1°), une telle hausse de la monnaie finit par se retrouver dans les prix ⇒ </w:t>
      </w:r>
      <w:r>
        <w:rPr>
          <w:b/>
        </w:rPr>
        <w:t xml:space="preserve">inflation monétaire</w:t>
      </w:r>
      <w:r>
        <w:t xml:space="preserve">.</w:t>
      </w:r>
    </w:p>
    <w:p w14:paraId="152F35F5" w14:textId="77777777" w:rsidR="00F270FB" w:rsidRDefault="00000000">
      <w:pPr>
        <w:keepNext/>
        <w:spacing w:before="120" w:after="40"/>
        <w:jc w:val="center"/>
      </w:pPr>
      <w:r>
        <w:rPr>
          <w:noProof/>
        </w:rPr>
        <w:drawing>
          <wp:inline distT="0" distB="0" distL="0" distR="0">
            <wp:extent cx="5400000" cy="2250456"/>
            <wp:effectExtent l="0" t="0" r="0" b="0"/>
            <wp:docPr id="7113" name="Illustration 7113" descr="Taux de croissance et niveau de la masse monétaire M3 dans la zone euro, 2010-2022 (diapo 30, source : 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 name="slide_c4_30.png"/>
                    <pic:cNvPicPr/>
                  </pic:nvPicPr>
                  <pic:blipFill>
                    <a:blip r:embed="rId213"/>
                    <a:stretch>
                      <a:fillRect/>
                    </a:stretch>
                  </pic:blipFill>
                  <pic:spPr>
                    <a:xfrm>
                      <a:off x="0" y="0"/>
                      <a:ext cx="5400000" cy="2250456"/>
                    </a:xfrm>
                    <a:prstGeom prst="rect">
                      <a:avLst/>
                    </a:prstGeom>
                    <a:ln w="6350">
                      <a:solidFill>
                        <a:srgbClr val="BFBFBF"/>
                      </a:solidFill>
                    </a:ln>
                  </pic:spPr>
                </pic:pic>
              </a:graphicData>
            </a:graphic>
          </wp:inline>
        </w:drawing>
      </w:r>
    </w:p>
    <w:p w14:paraId="4F44D476" w14:textId="77777777" w:rsidR="00F270FB" w:rsidRDefault="00000000">
      <w:pPr>
        <w:spacing w:after="200"/>
        <w:jc w:val="center"/>
      </w:pPr>
      <w:r>
        <w:rPr>
          <w:i/>
          <w:color w:val="6B6B6B"/>
          <w:sz w:val="19"/>
          <w:szCs w:val="19"/>
        </w:rPr>
        <w:t xml:space="preserve">Taux de croissance et niveau de la masse monétaire M3 dans la zone euro, 2010-2022 (diapo 30, source : BCE).</w:t>
      </w:r>
    </w:p>
    <w:p w14:paraId="4198B483" w14:textId="77777777" w:rsidR="00F270FB" w:rsidRDefault="00000000">
      <w:pPr>
        <w:pStyle w:val="Titre3"/>
      </w:pPr>
      <w:bookmarkStart w:id="117" w:name="_Toc2431232117"/>
      <w:r>
        <w:t xml:space="preserve">2°) Un retour aux instruments traditionnels de politique monétaire</w:t>
      </w:r>
      <w:bookmarkEnd w:id="117"/>
    </w:p>
    <w:p w14:paraId="1BE46DFE" w14:textId="77777777" w:rsidR="00F270FB" w:rsidRDefault="00000000">
      <w:r>
        <w:rPr>
          <w:b/>
        </w:rPr>
        <w:t xml:space="preserve">Hausse des taux d'intérêt directeurs (2022-2023)</w:t>
      </w:r>
      <w:r>
        <w:t xml:space="preserve"> : pour casser l'inflation, la BCE mène une politique </w:t>
      </w:r>
      <w:r>
        <w:rPr>
          <w:b/>
        </w:rPr>
        <w:t xml:space="preserve">restrictive</w:t>
      </w:r>
      <w:r>
        <w:t xml:space="preserve">.</w:t>
      </w:r>
    </w:p>
    <w:p w14:paraId="470DC3C9" w14:textId="77777777" w:rsidR="00F270FB" w:rsidRDefault="00000000">
      <w:pPr>
        <w:numPr>
          <w:ilvl w:val="0"/>
          <w:numId w:val="24"/>
        </w:numPr>
      </w:pPr>
      <w:r>
        <w:t xml:space="preserve">Première hausse en </w:t>
      </w:r>
      <w:r>
        <w:rPr>
          <w:b/>
        </w:rPr>
        <w:t xml:space="preserve">juillet 2022</w:t>
      </w:r>
      <w:r>
        <w:t xml:space="preserve"> (la première depuis 2011) ; le taux de facilité de dépôt passe de </w:t>
      </w:r>
      <w:r>
        <w:rPr>
          <w:b/>
        </w:rPr>
        <w:t xml:space="preserve">−0,5 % à 4 %</w:t>
      </w:r>
      <w:r>
        <w:t xml:space="preserve"> en un peu plus d'un an (septembre 2023) : une hausse </w:t>
      </w:r>
      <w:r>
        <w:rPr>
          <w:b/>
        </w:rPr>
        <w:t xml:space="preserve">très rapide et inédite</w:t>
      </w:r>
      <w:r>
        <w:t xml:space="preserve">.</w:t>
      </w:r>
    </w:p>
    <w:p w14:paraId="2AFF7806" w14:textId="77777777" w:rsidR="00F270FB" w:rsidRDefault="00000000">
      <w:pPr>
        <w:numPr>
          <w:ilvl w:val="0"/>
          <w:numId w:val="24"/>
        </w:numPr>
      </w:pPr>
      <w:r>
        <w:t xml:space="preserve">Puis, l'inflation reculant, la BCE </w:t>
      </w:r>
      <w:r>
        <w:rPr>
          <w:b/>
        </w:rPr>
        <w:t xml:space="preserve">baisse</w:t>
      </w:r>
      <w:r>
        <w:t xml:space="preserve"> ses taux à partir de </w:t>
      </w:r>
      <w:r>
        <w:rPr>
          <w:b/>
        </w:rPr>
        <w:t xml:space="preserve">juin 2024</w:t>
      </w:r>
      <w:r>
        <w:t xml:space="preserve">, jusqu'à 2 % (dépôt) en juin 2025.</w:t>
      </w:r>
    </w:p>
    <w:p w14:paraId="7FD8E1E6" w14:textId="77777777" w:rsidR="00F270FB" w:rsidRDefault="00000000">
      <w:pPr>
        <w:keepNext/>
        <w:spacing w:before="120" w:after="40"/>
        <w:jc w:val="center"/>
      </w:pPr>
      <w:r>
        <w:rPr>
          <w:noProof/>
        </w:rPr>
        <w:drawing>
          <wp:inline distT="0" distB="0" distL="0" distR="0">
            <wp:extent cx="4680000" cy="2038064"/>
            <wp:effectExtent l="0" t="0" r="0" b="0"/>
            <wp:docPr id="7114" name="Illustration 7114" descr="Taux d'intérêt directeurs de la BCE de 1999 à 2026 (diapo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4" name="slide_c4_31.png"/>
                    <pic:cNvPicPr/>
                  </pic:nvPicPr>
                  <pic:blipFill>
                    <a:blip r:embed="rId214"/>
                    <a:stretch>
                      <a:fillRect/>
                    </a:stretch>
                  </pic:blipFill>
                  <pic:spPr>
                    <a:xfrm>
                      <a:off x="0" y="0"/>
                      <a:ext cx="4680000" cy="2038064"/>
                    </a:xfrm>
                    <a:prstGeom prst="rect">
                      <a:avLst/>
                    </a:prstGeom>
                    <a:ln w="6350">
                      <a:solidFill>
                        <a:srgbClr val="BFBFBF"/>
                      </a:solidFill>
                    </a:ln>
                  </pic:spPr>
                </pic:pic>
              </a:graphicData>
            </a:graphic>
          </wp:inline>
        </w:drawing>
      </w:r>
    </w:p>
    <w:p w14:paraId="594148F0" w14:textId="77777777" w:rsidR="00F270FB" w:rsidRDefault="00000000">
      <w:pPr>
        <w:spacing w:after="200"/>
        <w:jc w:val="center"/>
      </w:pPr>
      <w:r>
        <w:rPr>
          <w:i/>
          <w:color w:val="6B6B6B"/>
          <w:sz w:val="19"/>
          <w:szCs w:val="19"/>
        </w:rPr>
        <w:t xml:space="preserve">Taux d'intérêt directeurs de la BCE de 1999 à 2026 (diapo 31).</w:t>
      </w:r>
    </w:p>
    <w:p w14:paraId="252DA5F5" w14:textId="77777777" w:rsidR="00F270FB" w:rsidRDefault="00000000">
      <w:r>
        <w:rPr>
          <w:b/>
        </w:rPr>
        <w:t xml:space="preserve">Risques macroéconomiques</w:t>
      </w:r>
      <w:r>
        <w:t xml:space="preserve"> de cette hausse des taux :</w:t>
      </w:r>
    </w:p>
    <w:p w14:paraId="3B155E18" w14:textId="77777777" w:rsidR="00F270FB" w:rsidRDefault="00000000">
      <w:pPr>
        <w:numPr>
          <w:ilvl w:val="0"/>
          <w:numId w:val="24"/>
        </w:numPr>
      </w:pPr>
      <w:r>
        <w:rPr>
          <w:b/>
        </w:rPr>
        <w:t xml:space="preserve">Délai</w:t>
      </w:r>
      <w:r>
        <w:t xml:space="preserve"> : la politique monétaire met du temps à agir (souvent plus d'un an). La banque centrale risque de monter trop haut, car elle ne voit pas tout de suite l'effet de ses décisions.</w:t>
      </w:r>
    </w:p>
    <w:p w14:paraId="35EA08F3" w14:textId="77777777" w:rsidR="00F270FB" w:rsidRDefault="00000000">
      <w:pPr>
        <w:numPr>
          <w:ilvl w:val="0"/>
          <w:numId w:val="24"/>
        </w:numPr>
      </w:pPr>
      <w:r>
        <w:rPr>
          <w:b/>
        </w:rPr>
        <w:t xml:space="preserve">Croissance</w:t>
      </w:r>
      <w:r>
        <w:t xml:space="preserve"> : des taux plus élevés freinent le crédit, la consommation et l'investissement ⇒ risque de </w:t>
      </w:r>
      <w:r>
        <w:rPr>
          <w:b/>
        </w:rPr>
        <w:t xml:space="preserve">ralentissement, voire de récession</w:t>
      </w:r>
      <w:r>
        <w:t xml:space="preserve">.</w:t>
      </w:r>
    </w:p>
    <w:p w14:paraId="64159817" w14:textId="77777777" w:rsidR="00F270FB" w:rsidRDefault="00000000">
      <w:pPr>
        <w:numPr>
          <w:ilvl w:val="0"/>
          <w:numId w:val="24"/>
        </w:numPr>
      </w:pPr>
      <w:r>
        <w:rPr>
          <w:b/>
        </w:rPr>
        <w:t xml:space="preserve">Dette publique</w:t>
      </w:r>
      <w:r>
        <w:t xml:space="preserve"> : les États doivent emprunter plus cher ⇒ la charge de la dette augmente (cf. chapitre 2 sur la soutenabilité de la dette), surtout pour les pays très endettés comme l'Italie.</w:t>
      </w:r>
    </w:p>
    <w:p w14:paraId="4C513BD4" w14:textId="77777777" w:rsidR="00F270FB" w:rsidRDefault="00000000">
      <w:pPr>
        <w:numPr>
          <w:ilvl w:val="0"/>
          <w:numId w:val="24"/>
        </w:numPr>
      </w:pPr>
      <w:r>
        <w:rPr>
          <w:b/>
        </w:rPr>
        <w:t xml:space="preserve">Effets différenciés</w:t>
      </w:r>
      <w:r>
        <w:t xml:space="preserve"> : il n'y a </w:t>
      </w:r>
      <w:r>
        <w:rPr>
          <w:b/>
        </w:rPr>
        <w:t xml:space="preserve">qu'une seule politique monétaire pour 21 pays</w:t>
      </w:r>
      <w:r>
        <w:t xml:space="preserve"> qui n'ont pas la même situation. En 2022, l'inflation dépassait 20 % dans les pays baltes alors qu'elle était bien plus faible en France : un même taux est trop dur pour certains, pas assez pour d'autres.</w:t>
      </w:r>
    </w:p>
    <w:p w14:paraId="76562B2B" w14:textId="77777777" w:rsidR="00F270FB" w:rsidRDefault="00000000">
      <w:pPr>
        <w:numPr>
          <w:ilvl w:val="0"/>
          <w:numId w:val="24"/>
        </w:numPr>
      </w:pPr>
      <w:r>
        <w:rPr>
          <w:b/>
        </w:rPr>
        <w:t xml:space="preserve">Appréciation de la monnaie</w:t>
      </w:r>
      <w:r>
        <w:t xml:space="preserve"> : des taux plus élevés font monter l'euro (canal du taux de change), ce qui pénalise les exportations.</w:t>
      </w:r>
    </w:p>
    <w:p w14:paraId="623D3DAF" w14:textId="77777777" w:rsidR="00F270FB" w:rsidRDefault="00000000">
      <w:pPr>
        <w:pStyle w:val="Titre2"/>
      </w:pPr>
      <w:bookmarkStart w:id="118" w:name="_Toc2431232118"/>
      <w:r>
        <w:t xml:space="preserve">Conclusion</w:t>
      </w:r>
      <w:bookmarkEnd w:id="118"/>
    </w:p>
    <w:p w14:paraId="38532329" w14:textId="77777777" w:rsidR="00F270FB" w:rsidRDefault="00000000">
      <w:pPr>
        <w:keepNext/>
        <w:spacing w:before="120" w:after="40"/>
        <w:jc w:val="center"/>
      </w:pPr>
      <w:r>
        <w:rPr>
          <w:noProof/>
        </w:rPr>
        <w:drawing>
          <wp:inline distT="0" distB="0" distL="0" distR="0">
            <wp:extent cx="4320000" cy="2648160"/>
            <wp:effectExtent l="0" t="0" r="0" b="0"/>
            <wp:docPr id="7115" name="Illustration 7115" descr="Taux d'inflation annuels dans la zone euro et l'UE, 2016-2026 (diapo 32, source : Eurost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 name="slide_c4_32.png"/>
                    <pic:cNvPicPr/>
                  </pic:nvPicPr>
                  <pic:blipFill>
                    <a:blip r:embed="rId215"/>
                    <a:stretch>
                      <a:fillRect/>
                    </a:stretch>
                  </pic:blipFill>
                  <pic:spPr>
                    <a:xfrm>
                      <a:off x="0" y="0"/>
                      <a:ext cx="4320000" cy="2648160"/>
                    </a:xfrm>
                    <a:prstGeom prst="rect">
                      <a:avLst/>
                    </a:prstGeom>
                    <a:ln w="6350">
                      <a:solidFill>
                        <a:srgbClr val="BFBFBF"/>
                      </a:solidFill>
                    </a:ln>
                  </pic:spPr>
                </pic:pic>
              </a:graphicData>
            </a:graphic>
          </wp:inline>
        </w:drawing>
      </w:r>
    </w:p>
    <w:p w14:paraId="784C3953" w14:textId="77777777" w:rsidR="00F270FB" w:rsidRDefault="00000000">
      <w:pPr>
        <w:spacing w:after="200"/>
        <w:jc w:val="center"/>
      </w:pPr>
      <w:r>
        <w:rPr>
          <w:i/>
          <w:color w:val="6B6B6B"/>
          <w:sz w:val="19"/>
          <w:szCs w:val="19"/>
        </w:rPr>
        <w:t xml:space="preserve">Taux d'inflation annuels dans la zone euro et l'UE, 2016-2026 (diapo 32, source : Eurostat).</w:t>
      </w:r>
    </w:p>
    <w:p w14:paraId="45C23464" w14:textId="77777777" w:rsidR="00F270FB" w:rsidRDefault="00000000">
      <w:r>
        <w:t xml:space="preserve">La hausse des taux a fonctionné : l'inflation de la zone euro est passée d'un pic de </w:t>
      </w:r>
      <w:r>
        <w:rPr>
          <w:b/>
        </w:rPr>
        <w:t xml:space="preserve">plus de 10 %</w:t>
      </w:r>
      <w:r>
        <w:t xml:space="preserve"> fin 2022 à un niveau </w:t>
      </w:r>
      <w:r>
        <w:rPr>
          <w:b/>
        </w:rPr>
        <w:t xml:space="preserve">proche de la cible de 2 %</w:t>
      </w:r>
      <w:r>
        <w:t xml:space="preserve"> à partir de 2024. Le graphique montre une légère remontée vers 3 % en 2026, et les taux directeurs se sont stabilisés autour de 2 %.</w:t>
      </w:r>
    </w:p>
    <w:p w14:paraId="53964975" w14:textId="77777777" w:rsidR="00F270FB" w:rsidRDefault="00000000">
      <w:r>
        <w:t xml:space="preserve">À retenir de ce chapitre : la banque centrale agit </w:t>
      </w:r>
      <w:r>
        <w:rPr>
          <w:b/>
        </w:rPr>
        <w:t xml:space="preserve">surtout par les taux directeurs</w:t>
      </w:r>
      <w:r>
        <w:t xml:space="preserve"> (le prix de la monnaie). Quand ils sont bloqués à zéro, elle utilise des instruments </w:t>
      </w:r>
      <w:r>
        <w:rPr>
          <w:b/>
        </w:rPr>
        <w:t xml:space="preserve">non conventionnels</w:t>
      </w:r>
      <w:r>
        <w:t xml:space="preserve"> (forward guidance, credit easing, quantitative easing). Quand l'inflation revient, elle </w:t>
      </w:r>
      <w:r>
        <w:rPr>
          <w:b/>
        </w:rPr>
        <w:t xml:space="preserve">revient aux instruments traditionnels</w:t>
      </w:r>
      <w:r>
        <w:t xml:space="preserve"> en relevant ses taux, avec des risques pour la croissance et la dette.</w:t>
      </w:r>
    </w:p>
    <w:tbl>
      <w:tblPr>
        <w:tblW w:w="9072" w:type="dxa"/>
        <w:tblBorders>
          <w:top w:val="single" w:sz="12" w:space="0" w:color="C55A11"/>
          <w:left w:val="single" w:sz="12" w:space="0" w:color="C55A11"/>
          <w:bottom w:val="single" w:sz="12" w:space="0" w:color="C55A11"/>
          <w:right w:val="single" w:sz="12" w:space="0" w:color="C55A11"/>
        </w:tblBorders>
        <w:tblLayout w:type="fixed"/>
        <w:tblCellMar>
          <w:top w:w="120" w:type="dxa"/>
          <w:left w:w="180" w:type="dxa"/>
          <w:bottom w:w="80" w:type="dxa"/>
          <w:right w:w="180" w:type="dxa"/>
        </w:tblCellMar>
        <w:tblLook w:val="04A0" w:firstRow="1" w:lastRow="0" w:firstColumn="1" w:lastColumn="0" w:noHBand="0" w:noVBand="1"/>
      </w:tblPr>
      <w:tblGrid>
        <w:gridCol w:w="9072"/>
      </w:tblGrid>
      <w:tr w:rsidR="00F270FB">
        <w:trPr>
          <w:cantSplit/>
        </w:trPr>
        <w:tc>
          <w:tcPr>
            <w:tcW w:w="9072" w:type="dxa"/>
            <w:shd w:val="clear" w:color="auto" w:fill="FBE4D5"/>
          </w:tcPr>
          <w:p w14:paraId="2B8CEB34" w14:textId="77777777" w:rsidR="00F270FB" w:rsidRDefault="00000000">
            <w:pPr>
              <w:spacing w:before="40" w:after="40"/>
            </w:pPr>
            <w:r>
              <w:rPr>
                <w:b/>
                <w:color w:val="833C0B"/>
                <w:sz w:val="26"/>
                <w:szCs w:val="26"/>
              </w:rPr>
              <w:t xml:space="preserve">📌 À retenir – Chapitre 4</w:t>
            </w:r>
          </w:p>
          <w:p w14:paraId="63CE43AE" w14:textId="77777777" w:rsidR="00F270FB" w:rsidRDefault="00000000">
            <w:pPr>
              <w:numPr>
                <w:ilvl w:val="0"/>
                <w:numId w:val="24"/>
              </w:numPr>
              <w:spacing w:before="40" w:after="40"/>
            </w:pPr>
            <w:r>
              <w:rPr>
                <w:b/>
              </w:rPr>
              <w:t xml:space="preserve">Théorie quantitative</w:t>
            </w:r>
            <w:r>
              <w:t xml:space="preserve"> : MV = PT ; « l'inflation est toujours et partout un phénomène monétaire » (Friedman).</w:t>
            </w:r>
          </w:p>
          <w:p w14:paraId="76942F9D" w14:textId="77777777" w:rsidR="00F270FB" w:rsidRDefault="00000000">
            <w:pPr>
              <w:numPr>
                <w:ilvl w:val="0"/>
                <w:numId w:val="24"/>
              </w:numPr>
              <w:spacing w:before="40" w:after="40"/>
            </w:pPr>
            <w:r>
              <w:rPr>
                <w:b/>
              </w:rPr>
              <w:t xml:space="preserve">Multiplicateur</w:t>
            </w:r>
            <w:r>
              <w:t xml:space="preserve"> : les dépôts font les crédits, Δm = (1/r) × Dépôt, monnaie exogène. </w:t>
            </w:r>
            <w:r>
              <w:rPr>
                <w:b/>
              </w:rPr>
              <w:t xml:space="preserve">Diviseur</w:t>
            </w:r>
            <w:r>
              <w:t xml:space="preserve"> : les crédits font les dépôts, monnaie endogène (post-keynésiens), rôle clé des taux directeurs.</w:t>
            </w:r>
          </w:p>
          <w:p w14:paraId="67CD8842" w14:textId="77777777" w:rsidR="00F270FB" w:rsidRDefault="00000000">
            <w:pPr>
              <w:numPr>
                <w:ilvl w:val="0"/>
                <w:numId w:val="24"/>
              </w:numPr>
              <w:spacing w:before="40" w:after="40"/>
            </w:pPr>
            <w:r>
              <w:rPr>
                <w:b/>
              </w:rPr>
              <w:t xml:space="preserve">3 taux directeurs de la BCE</w:t>
            </w:r>
            <w:r>
              <w:t xml:space="preserve"> : facilité de dépôt (plancher) &lt; refinancement (MRO, principal) &lt; prêt marginal (plafond).</w:t>
            </w:r>
          </w:p>
          <w:p w14:paraId="768A968D" w14:textId="77777777" w:rsidR="00F270FB" w:rsidRDefault="00000000">
            <w:pPr>
              <w:numPr>
                <w:ilvl w:val="0"/>
                <w:numId w:val="24"/>
              </w:numPr>
              <w:spacing w:before="40" w:after="40"/>
            </w:pPr>
            <w:r>
              <w:rPr>
                <w:b/>
              </w:rPr>
              <w:t xml:space="preserve">Réserves obligatoires</w:t>
            </w:r>
            <w:r>
              <w:t xml:space="preserve"> : 1 % des dépôts dans la zone euro.</w:t>
            </w:r>
          </w:p>
          <w:p w14:paraId="32579F89" w14:textId="77777777" w:rsidR="00F270FB" w:rsidRDefault="00000000">
            <w:pPr>
              <w:numPr>
                <w:ilvl w:val="0"/>
                <w:numId w:val="24"/>
              </w:numPr>
              <w:spacing w:before="40" w:after="40"/>
            </w:pPr>
            <w:r>
              <w:rPr>
                <w:b/>
              </w:rPr>
              <w:t xml:space="preserve">Canaux de transmission</w:t>
            </w:r>
            <w:r>
              <w:t xml:space="preserve"> : taux d'intérêt, prix des actifs (effet richesse), anticipations (crédibilité), taux de change.</w:t>
            </w:r>
          </w:p>
          <w:p w14:paraId="3B54F89A" w14:textId="77777777" w:rsidR="00F270FB" w:rsidRDefault="00000000">
            <w:pPr>
              <w:numPr>
                <w:ilvl w:val="0"/>
                <w:numId w:val="24"/>
              </w:numPr>
              <w:spacing w:before="40" w:after="40"/>
            </w:pPr>
            <w:r>
              <w:rPr>
                <w:b/>
              </w:rPr>
              <w:t xml:space="preserve">Règles</w:t>
            </w:r>
            <w:r>
              <w:t xml:space="preserve"> : k-percent rule de Friedman (ΔM = k × M) ; règle de Taylor (i = r* + π + 0,5(π − π*) + 0,5 × output gap).</w:t>
            </w:r>
          </w:p>
          <w:p w14:paraId="423303D2" w14:textId="77777777" w:rsidR="00F270FB" w:rsidRDefault="00000000">
            <w:pPr>
              <w:numPr>
                <w:ilvl w:val="0"/>
                <w:numId w:val="24"/>
              </w:numPr>
              <w:spacing w:before="40" w:after="40"/>
            </w:pPr>
            <w:r>
              <w:rPr>
                <w:b/>
              </w:rPr>
              <w:t xml:space="preserve">Non conventionnel (années 2010)</w:t>
            </w:r>
            <w:r>
              <w:t xml:space="preserve"> : forward guidance, credit easing, quantitative easing (dette publique, marché secondaire), achat d'obligations privées ; APP de la BCE depuis 2015.</w:t>
            </w:r>
          </w:p>
          <w:p w14:paraId="4F89B8D4" w14:textId="77777777" w:rsidR="00F270FB" w:rsidRDefault="00000000">
            <w:pPr>
              <w:numPr>
                <w:ilvl w:val="0"/>
                <w:numId w:val="24"/>
              </w:numPr>
              <w:spacing w:before="40" w:after="40"/>
            </w:pPr>
            <w:r>
              <w:rPr>
                <w:b/>
              </w:rPr>
              <w:t xml:space="preserve">Inflation 2021-2022</w:t>
            </w:r>
            <w:r>
              <w:t xml:space="preserve"> : inflation par les coûts, par la demande, importée et monétaire ⇒ hausse des taux 2022-2023 ⇒ risques : délai, croissance, dette, effets différenciés, appréciation de l'euro.</w:t>
            </w:r>
          </w:p>
        </w:tc>
      </w:tr>
    </w:tbl>
    <w:p w14:paraId="19854D6D" w14:textId="77777777" w:rsidR="00F270FB" w:rsidRDefault="00000000"/>
    <w:p w14:paraId="238A8B0A" w14:textId="77777777" w:rsidR="00C56467" w:rsidRPr="0055146C" w:rsidRDefault="00C56467" w:rsidP="002A6A1E">
      <w:pPr>
        <w:rPr>
          <w:color w:val="000000" w:themeColor="text1"/>
        </w:rPr>
      </w:pPr>
    </w:p>
    <w:sectPr w:rsidR="00C56467" w:rsidRPr="0055146C">
      <w:headerReference w:type="even" r:id="rId91"/>
      <w:headerReference w:type="default" r:id="rId92"/>
      <w:footerReference w:type="even" r:id="rId93"/>
      <w:footerReference w:type="default" r:id="rId94"/>
      <w:headerReference w:type="first" r:id="rId95"/>
      <w:footerReference w:type="first" r:id="rId9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7C4DA" w14:textId="77777777" w:rsidR="00FB0A61" w:rsidRDefault="00FB0A61" w:rsidP="001E1354">
      <w:pPr>
        <w:spacing w:after="0" w:line="240" w:lineRule="auto"/>
      </w:pPr>
      <w:r>
        <w:separator/>
      </w:r>
    </w:p>
  </w:endnote>
  <w:endnote w:type="continuationSeparator" w:id="0">
    <w:p w14:paraId="6003CEED" w14:textId="77777777" w:rsidR="00FB0A61" w:rsidRDefault="00FB0A61" w:rsidP="001E1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Yu Mincho Light">
    <w:panose1 w:val="020203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B1EAE4" w14:textId="77777777" w:rsidR="001E1354" w:rsidRDefault="001E135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B6944C" w14:textId="77777777" w:rsidR="001E1354" w:rsidRDefault="001E1354">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C994D" w14:textId="77777777" w:rsidR="001E1354" w:rsidRDefault="001E135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AED3B5" w14:textId="77777777" w:rsidR="00FB0A61" w:rsidRDefault="00FB0A61" w:rsidP="001E1354">
      <w:pPr>
        <w:spacing w:after="0" w:line="240" w:lineRule="auto"/>
      </w:pPr>
      <w:r>
        <w:separator/>
      </w:r>
    </w:p>
  </w:footnote>
  <w:footnote w:type="continuationSeparator" w:id="0">
    <w:p w14:paraId="77421209" w14:textId="77777777" w:rsidR="00FB0A61" w:rsidRDefault="00FB0A61" w:rsidP="001E1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511500" w14:textId="77777777" w:rsidR="001E1354" w:rsidRDefault="001E135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84747F" w14:textId="77777777" w:rsidR="001E1354" w:rsidRDefault="001E135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0DC29E" w14:textId="77777777" w:rsidR="001E1354" w:rsidRDefault="001E135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625761E"/>
    <w:multiLevelType w:val="hybridMultilevel"/>
    <w:tmpl w:val="61F8EE0E"/>
    <w:lvl w:ilvl="0" w:tplc="4852E768">
      <w:start w:val="1"/>
      <w:numFmt w:val="bullet"/>
      <w:lvlText w:val=""/>
      <w:lvlJc w:val="left"/>
      <w:pPr>
        <w:ind w:left="720" w:hanging="360"/>
      </w:pPr>
      <w:rPr>
        <w:rFonts w:ascii="Yu Mincho Light" w:eastAsia="Yu Mincho Light" w:hAnsi="Yu Mincho Light"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E145199"/>
    <w:multiLevelType w:val="hybridMultilevel"/>
    <w:tmpl w:val="2206C4FA"/>
    <w:lvl w:ilvl="0" w:tplc="D1983312">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935060"/>
    <w:multiLevelType w:val="multilevel"/>
    <w:tmpl w:val="69EE513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143F582F"/>
    <w:multiLevelType w:val="hybridMultilevel"/>
    <w:tmpl w:val="EA6269D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1B122DC9"/>
    <w:multiLevelType w:val="hybridMultilevel"/>
    <w:tmpl w:val="02664A3E"/>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3C1AA1"/>
    <w:multiLevelType w:val="hybridMultilevel"/>
    <w:tmpl w:val="FE246FFA"/>
    <w:lvl w:ilvl="0" w:tplc="4852E768">
      <w:start w:val="1"/>
      <w:numFmt w:val="bullet"/>
      <w:lvlText w:val=""/>
      <w:lvlJc w:val="left"/>
      <w:pPr>
        <w:ind w:left="720" w:hanging="360"/>
      </w:pPr>
      <w:rPr>
        <w:rFonts w:ascii="Yu Mincho Light" w:eastAsia="Yu Mincho Light" w:hAnsi="Yu Mincho Light" w:hint="eastAsia"/>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831FFC"/>
    <w:multiLevelType w:val="hybridMultilevel"/>
    <w:tmpl w:val="C638DF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660E50"/>
    <w:multiLevelType w:val="hybridMultilevel"/>
    <w:tmpl w:val="BE82FA16"/>
    <w:lvl w:ilvl="0" w:tplc="D1983312">
      <w:start w:val="3"/>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54D3CC6"/>
    <w:multiLevelType w:val="hybridMultilevel"/>
    <w:tmpl w:val="498CF3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56927388"/>
    <w:multiLevelType w:val="hybridMultilevel"/>
    <w:tmpl w:val="F65851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D1258D3"/>
    <w:multiLevelType w:val="hybridMultilevel"/>
    <w:tmpl w:val="D0525E64"/>
    <w:lvl w:ilvl="0" w:tplc="1744CF9C">
      <w:start w:val="1"/>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3631D2E"/>
    <w:multiLevelType w:val="hybridMultilevel"/>
    <w:tmpl w:val="54026292"/>
    <w:lvl w:ilvl="0" w:tplc="171609B4">
      <w:start w:val="1"/>
      <w:numFmt w:val="bullet"/>
      <w:lvlText w:val="•"/>
      <w:lvlJc w:val="left"/>
      <w:pPr>
        <w:ind w:left="720" w:hanging="360"/>
      </w:pPr>
    </w:lvl>
    <w:lvl w:ilvl="1" w:tplc="B56C7A42">
      <w:start w:val="1"/>
      <w:numFmt w:val="bullet"/>
      <w:lvlText w:val="–"/>
      <w:lvlJc w:val="left"/>
      <w:pPr>
        <w:ind w:left="1440" w:hanging="360"/>
      </w:pPr>
    </w:lvl>
    <w:lvl w:ilvl="2" w:tplc="90BC13F2">
      <w:numFmt w:val="decimal"/>
      <w:lvlText w:val=""/>
      <w:lvlJc w:val="left"/>
    </w:lvl>
    <w:lvl w:ilvl="3" w:tplc="77E89114">
      <w:numFmt w:val="decimal"/>
      <w:lvlText w:val=""/>
      <w:lvlJc w:val="left"/>
    </w:lvl>
    <w:lvl w:ilvl="4" w:tplc="4C86276E">
      <w:numFmt w:val="decimal"/>
      <w:lvlText w:val=""/>
      <w:lvlJc w:val="left"/>
    </w:lvl>
    <w:lvl w:ilvl="5" w:tplc="303CCAAE">
      <w:numFmt w:val="decimal"/>
      <w:lvlText w:val=""/>
      <w:lvlJc w:val="left"/>
    </w:lvl>
    <w:lvl w:ilvl="6" w:tplc="0E9A92F2">
      <w:numFmt w:val="decimal"/>
      <w:lvlText w:val=""/>
      <w:lvlJc w:val="left"/>
    </w:lvl>
    <w:lvl w:ilvl="7" w:tplc="D40C92B0">
      <w:numFmt w:val="decimal"/>
      <w:lvlText w:val=""/>
      <w:lvlJc w:val="left"/>
    </w:lvl>
    <w:lvl w:ilvl="8" w:tplc="088C6570">
      <w:numFmt w:val="decimal"/>
      <w:lvlText w:val=""/>
      <w:lvlJc w:val="left"/>
    </w:lvl>
  </w:abstractNum>
  <w:abstractNum w:abstractNumId="22" w15:restartNumberingAfterBreak="0">
    <w:nsid w:val="75F15D7F"/>
    <w:multiLevelType w:val="hybridMultilevel"/>
    <w:tmpl w:val="3ED841D4"/>
    <w:lvl w:ilvl="0" w:tplc="D1983312">
      <w:start w:val="3"/>
      <w:numFmt w:val="bullet"/>
      <w:lvlText w:val="-"/>
      <w:lvlJc w:val="left"/>
      <w:pPr>
        <w:ind w:left="644"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BAD67F0"/>
    <w:multiLevelType w:val="hybridMultilevel"/>
    <w:tmpl w:val="0AA2609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E5C657A"/>
    <w:multiLevelType w:val="hybridMultilevel"/>
    <w:tmpl w:val="6B8E9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58945346">
    <w:abstractNumId w:val="24"/>
  </w:num>
  <w:num w:numId="2" w16cid:durableId="1592012361">
    <w:abstractNumId w:val="19"/>
  </w:num>
  <w:num w:numId="3" w16cid:durableId="746925988">
    <w:abstractNumId w:val="13"/>
  </w:num>
  <w:num w:numId="4" w16cid:durableId="471557206">
    <w:abstractNumId w:val="20"/>
  </w:num>
  <w:num w:numId="5" w16cid:durableId="757213124">
    <w:abstractNumId w:val="16"/>
  </w:num>
  <w:num w:numId="6" w16cid:durableId="1578786194">
    <w:abstractNumId w:val="17"/>
  </w:num>
  <w:num w:numId="7" w16cid:durableId="545803131">
    <w:abstractNumId w:val="23"/>
  </w:num>
  <w:num w:numId="8" w16cid:durableId="34625768">
    <w:abstractNumId w:val="10"/>
  </w:num>
  <w:num w:numId="9" w16cid:durableId="792211933">
    <w:abstractNumId w:val="15"/>
  </w:num>
  <w:num w:numId="10" w16cid:durableId="170410542">
    <w:abstractNumId w:val="11"/>
  </w:num>
  <w:num w:numId="11" w16cid:durableId="612594718">
    <w:abstractNumId w:val="14"/>
  </w:num>
  <w:num w:numId="12" w16cid:durableId="1119639764">
    <w:abstractNumId w:val="22"/>
  </w:num>
  <w:num w:numId="13" w16cid:durableId="389115198">
    <w:abstractNumId w:val="18"/>
  </w:num>
  <w:num w:numId="14" w16cid:durableId="953438022">
    <w:abstractNumId w:val="0"/>
  </w:num>
  <w:num w:numId="15" w16cid:durableId="1856653767">
    <w:abstractNumId w:val="1"/>
  </w:num>
  <w:num w:numId="16" w16cid:durableId="488374816">
    <w:abstractNumId w:val="2"/>
  </w:num>
  <w:num w:numId="17" w16cid:durableId="831916416">
    <w:abstractNumId w:val="3"/>
  </w:num>
  <w:num w:numId="18" w16cid:durableId="743793345">
    <w:abstractNumId w:val="4"/>
  </w:num>
  <w:num w:numId="19" w16cid:durableId="1253080396">
    <w:abstractNumId w:val="5"/>
  </w:num>
  <w:num w:numId="20" w16cid:durableId="1404186089">
    <w:abstractNumId w:val="6"/>
  </w:num>
  <w:num w:numId="21" w16cid:durableId="1958293664">
    <w:abstractNumId w:val="7"/>
  </w:num>
  <w:num w:numId="22" w16cid:durableId="610821444">
    <w:abstractNumId w:val="8"/>
  </w:num>
  <w:num w:numId="23" w16cid:durableId="634796200">
    <w:abstractNumId w:val="9"/>
  </w:num>
  <w:num w:numId="24" w16cid:durableId="1306741495">
    <w:abstractNumId w:val="21"/>
  </w:num>
  <w:num w:numId="25" w16cid:durableId="88421544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238"/>
    <w:rsid w:val="0005758C"/>
    <w:rsid w:val="000725E3"/>
    <w:rsid w:val="00073238"/>
    <w:rsid w:val="00094183"/>
    <w:rsid w:val="000F756F"/>
    <w:rsid w:val="001A4CB5"/>
    <w:rsid w:val="001E1354"/>
    <w:rsid w:val="00205323"/>
    <w:rsid w:val="00207513"/>
    <w:rsid w:val="002A6A1E"/>
    <w:rsid w:val="002B110B"/>
    <w:rsid w:val="002D034B"/>
    <w:rsid w:val="002D59E9"/>
    <w:rsid w:val="003F1786"/>
    <w:rsid w:val="00420F25"/>
    <w:rsid w:val="00435032"/>
    <w:rsid w:val="00453797"/>
    <w:rsid w:val="0046203A"/>
    <w:rsid w:val="004956C7"/>
    <w:rsid w:val="004B2F14"/>
    <w:rsid w:val="004E3E20"/>
    <w:rsid w:val="0055146C"/>
    <w:rsid w:val="0058000A"/>
    <w:rsid w:val="00626213"/>
    <w:rsid w:val="006657A8"/>
    <w:rsid w:val="006A3009"/>
    <w:rsid w:val="006D02D3"/>
    <w:rsid w:val="00713377"/>
    <w:rsid w:val="0074714D"/>
    <w:rsid w:val="00770FD5"/>
    <w:rsid w:val="00790FDC"/>
    <w:rsid w:val="007C5ECF"/>
    <w:rsid w:val="007F1B80"/>
    <w:rsid w:val="00815E86"/>
    <w:rsid w:val="00824CB6"/>
    <w:rsid w:val="0083731F"/>
    <w:rsid w:val="00850A76"/>
    <w:rsid w:val="00866782"/>
    <w:rsid w:val="0089633D"/>
    <w:rsid w:val="008A4E34"/>
    <w:rsid w:val="008B7469"/>
    <w:rsid w:val="0098518C"/>
    <w:rsid w:val="0098639A"/>
    <w:rsid w:val="009C71CF"/>
    <w:rsid w:val="009C7DA7"/>
    <w:rsid w:val="00A0536A"/>
    <w:rsid w:val="00A55619"/>
    <w:rsid w:val="00A55DA0"/>
    <w:rsid w:val="00A6270F"/>
    <w:rsid w:val="00AD073B"/>
    <w:rsid w:val="00B3099B"/>
    <w:rsid w:val="00B76A30"/>
    <w:rsid w:val="00B87B3E"/>
    <w:rsid w:val="00C33825"/>
    <w:rsid w:val="00C56467"/>
    <w:rsid w:val="00C9121B"/>
    <w:rsid w:val="00CC5993"/>
    <w:rsid w:val="00D1372B"/>
    <w:rsid w:val="00D2230E"/>
    <w:rsid w:val="00D400CF"/>
    <w:rsid w:val="00DA1845"/>
    <w:rsid w:val="00DE09E5"/>
    <w:rsid w:val="00E17D62"/>
    <w:rsid w:val="00E35942"/>
    <w:rsid w:val="00E650A5"/>
    <w:rsid w:val="00E7637D"/>
    <w:rsid w:val="00ED1B3E"/>
    <w:rsid w:val="00ED5BE8"/>
    <w:rsid w:val="00F270FB"/>
    <w:rsid w:val="00F555F7"/>
    <w:rsid w:val="00FB0A61"/>
    <w:rsid w:val="00FC2E83"/>
    <w:rsid w:val="00FC7B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CA4F1"/>
  <w15:chartTrackingRefBased/>
  <w15:docId w15:val="{045B3ADE-D7C0-DE45-9B19-DA5CF40E4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ageBreakBefore/>
      <w:pBdr>
        <w:bottom w:val="single" w:sz="18" w:space="4" w:color="2E74B5"/>
      </w:pBdr>
      <w:spacing w:after="360"/>
      <w:outlineLvl w:val="0"/>
    </w:pPr>
    <w:rPr>
      <w:b/>
      <w:bCs/>
      <w:color w:val="1F3864"/>
      <w:sz w:val="40"/>
      <w:szCs w:val="40"/>
    </w:rPr>
  </w:style>
  <w:style w:type="paragraph" w:styleId="Titre2">
    <w:name w:val="heading 2"/>
    <w:basedOn w:val="Normal"/>
    <w:next w:val="Normal"/>
    <w:link w:val="Titre2Car"/>
    <w:uiPriority w:val="9"/>
    <w:qFormat/>
    <w:pPr>
      <w:keepNext/>
      <w:keepLines/>
      <w:shd w:val="clear" w:color="auto" w:fill="DEEAF6"/>
      <w:spacing w:before="400"/>
      <w:ind w:left="113" w:right="113"/>
      <w:outlineLvl w:val="1"/>
    </w:pPr>
    <w:rPr>
      <w:b/>
      <w:bCs/>
      <w:color w:val="1F3864"/>
      <w:sz w:val="32"/>
      <w:szCs w:val="32"/>
    </w:rPr>
  </w:style>
  <w:style w:type="paragraph" w:styleId="Titre3">
    <w:name w:val="heading 3"/>
    <w:basedOn w:val="Normal"/>
    <w:next w:val="Normal"/>
    <w:link w:val="Titre3Car"/>
    <w:uiPriority w:val="9"/>
    <w:qFormat/>
    <w:pPr>
      <w:keepNext/>
      <w:keepLines/>
      <w:spacing w:before="300" w:after="120"/>
      <w:outlineLvl w:val="2"/>
    </w:pPr>
    <w:rPr>
      <w:b/>
      <w:bCs/>
      <w:color w:val="2E74B5"/>
      <w:sz w:val="28"/>
      <w:szCs w:val="28"/>
    </w:rPr>
  </w:style>
  <w:style w:type="paragraph" w:styleId="Titre4">
    <w:name w:val="heading 4"/>
    <w:basedOn w:val="Normal"/>
    <w:next w:val="Normal"/>
    <w:link w:val="Titre4Car"/>
    <w:uiPriority w:val="9"/>
    <w:qFormat/>
    <w:pPr>
      <w:keepNext/>
      <w:keepLines/>
      <w:spacing w:before="200" w:after="80"/>
      <w:ind w:left="284"/>
      <w:outlineLvl w:val="3"/>
    </w:pPr>
    <w:rPr>
      <w:b/>
      <w:bCs/>
      <w:i/>
      <w:iCs/>
      <w:color w:val="404040"/>
      <w:sz w:val="25"/>
      <w:szCs w:val="25"/>
    </w:rPr>
  </w:style>
  <w:style w:type="paragraph" w:styleId="Titre5">
    <w:name w:val="heading 5"/>
    <w:basedOn w:val="Normal"/>
    <w:next w:val="Normal"/>
    <w:link w:val="Titre5Car"/>
    <w:uiPriority w:val="9"/>
    <w:semiHidden/>
    <w:unhideWhenUsed/>
    <w:qFormat/>
    <w:rsid w:val="0007323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7323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7323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7323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7323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73238"/>
  </w:style>
  <w:style w:type="character" w:customStyle="1" w:styleId="Titre2Car">
    <w:name w:val="Titre 2 Car"/>
    <w:basedOn w:val="Policepardfaut"/>
    <w:link w:val="Titre2"/>
    <w:uiPriority w:val="9"/>
    <w:rsid w:val="00073238"/>
  </w:style>
  <w:style w:type="character" w:customStyle="1" w:styleId="Titre3Car">
    <w:name w:val="Titre 3 Car"/>
    <w:basedOn w:val="Policepardfaut"/>
    <w:link w:val="Titre3"/>
    <w:uiPriority w:val="9"/>
    <w:rsid w:val="00073238"/>
  </w:style>
  <w:style w:type="character" w:customStyle="1" w:styleId="Titre4Car">
    <w:name w:val="Titre 4 Car"/>
    <w:basedOn w:val="Policepardfaut"/>
    <w:link w:val="Titre4"/>
    <w:uiPriority w:val="9"/>
    <w:semiHidden/>
    <w:rsid w:val="00073238"/>
  </w:style>
  <w:style w:type="character" w:customStyle="1" w:styleId="Titre5Car">
    <w:name w:val="Titre 5 Car"/>
    <w:basedOn w:val="Policepardfaut"/>
    <w:link w:val="Titre5"/>
    <w:uiPriority w:val="9"/>
    <w:semiHidden/>
    <w:rsid w:val="0007323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7323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7323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7323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73238"/>
    <w:rPr>
      <w:rFonts w:eastAsiaTheme="majorEastAsia" w:cstheme="majorBidi"/>
      <w:color w:val="272727" w:themeColor="text1" w:themeTint="D8"/>
    </w:rPr>
  </w:style>
  <w:style w:type="paragraph" w:styleId="Titre">
    <w:name w:val="Title"/>
    <w:basedOn w:val="Normal"/>
    <w:next w:val="Normal"/>
    <w:link w:val="TitreCar"/>
    <w:uiPriority w:val="9"/>
    <w:qFormat/>
    <w:pPr>
      <w:spacing w:after="240" w:line="240" w:lineRule="auto"/>
      <w:jc w:val="center"/>
    </w:pPr>
    <w:rPr>
      <w:b/>
      <w:color w:val="1F3864"/>
      <w:sz w:val="60"/>
      <w:szCs w:val="60"/>
    </w:rPr>
  </w:style>
  <w:style w:type="character" w:customStyle="1" w:styleId="TitreCar">
    <w:name w:val="Titre Car"/>
    <w:basedOn w:val="Policepardfaut"/>
    <w:link w:val="Titre"/>
    <w:uiPriority w:val="10"/>
    <w:rsid w:val="0007323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7323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7323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73238"/>
    <w:pPr>
      <w:spacing w:before="160"/>
      <w:jc w:val="center"/>
    </w:pPr>
    <w:rPr>
      <w:i/>
      <w:iCs/>
      <w:color w:val="404040" w:themeColor="text1" w:themeTint="BF"/>
    </w:rPr>
  </w:style>
  <w:style w:type="character" w:customStyle="1" w:styleId="CitationCar">
    <w:name w:val="Citation Car"/>
    <w:basedOn w:val="Policepardfaut"/>
    <w:link w:val="Citation"/>
    <w:uiPriority w:val="29"/>
    <w:rsid w:val="00073238"/>
    <w:rPr>
      <w:i/>
      <w:iCs/>
      <w:color w:val="404040" w:themeColor="text1" w:themeTint="BF"/>
    </w:rPr>
  </w:style>
  <w:style w:type="paragraph" w:styleId="Paragraphedeliste">
    <w:name w:val="List Paragraph"/>
    <w:basedOn w:val="Normal"/>
    <w:uiPriority w:val="34"/>
    <w:qFormat/>
    <w:rsid w:val="00073238"/>
    <w:pPr>
      <w:ind w:left="720"/>
      <w:contextualSpacing/>
    </w:pPr>
  </w:style>
  <w:style w:type="character" w:styleId="Accentuationintense">
    <w:name w:val="Intense Emphasis"/>
    <w:basedOn w:val="Policepardfaut"/>
    <w:uiPriority w:val="21"/>
    <w:qFormat/>
    <w:rsid w:val="00073238"/>
    <w:rPr>
      <w:i/>
      <w:iCs/>
      <w:color w:val="0F4761" w:themeColor="accent1" w:themeShade="BF"/>
    </w:rPr>
  </w:style>
  <w:style w:type="paragraph" w:styleId="Citationintense">
    <w:name w:val="Intense Quote"/>
    <w:basedOn w:val="Normal"/>
    <w:next w:val="Normal"/>
    <w:link w:val="CitationintenseCar"/>
    <w:uiPriority w:val="30"/>
    <w:qFormat/>
    <w:rsid w:val="0007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73238"/>
    <w:rPr>
      <w:i/>
      <w:iCs/>
      <w:color w:val="0F4761" w:themeColor="accent1" w:themeShade="BF"/>
    </w:rPr>
  </w:style>
  <w:style w:type="character" w:styleId="Rfrenceintense">
    <w:name w:val="Intense Reference"/>
    <w:basedOn w:val="Policepardfaut"/>
    <w:uiPriority w:val="32"/>
    <w:qFormat/>
    <w:rsid w:val="00073238"/>
    <w:rPr>
      <w:b/>
      <w:bCs/>
      <w:smallCaps/>
      <w:color w:val="0F4761" w:themeColor="accent1" w:themeShade="BF"/>
      <w:spacing w:val="5"/>
    </w:rPr>
  </w:style>
  <w:style w:type="table" w:styleId="Grilledutableau">
    <w:name w:val="Table Grid"/>
    <w:basedOn w:val="TableauNormal"/>
    <w:uiPriority w:val="39"/>
    <w:rsid w:val="001A4C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1">
    <w:name w:val="toc 1"/>
    <w:basedOn w:val="Normal"/>
    <w:next w:val="Normal"/>
    <w:uiPriority w:val="39"/>
    <w:qFormat/>
    <w:pPr>
      <w:spacing w:before="120" w:after="40"/>
    </w:pPr>
    <w:rPr>
      <w:b/>
      <w:color w:val="1F3864"/>
    </w:rPr>
  </w:style>
  <w:style w:type="paragraph" w:styleId="TM2">
    <w:name w:val="toc 2"/>
    <w:basedOn w:val="Normal"/>
    <w:next w:val="Normal"/>
    <w:uiPriority w:val="39"/>
    <w:qFormat/>
    <w:pPr>
      <w:spacing w:after="40"/>
      <w:ind w:left="240"/>
    </w:pPr>
  </w:style>
  <w:style w:type="paragraph" w:styleId="TM3">
    <w:name w:val="toc 3"/>
    <w:basedOn w:val="Normal"/>
    <w:next w:val="Normal"/>
    <w:uiPriority w:val="39"/>
    <w:qFormat/>
    <w:pPr>
      <w:spacing w:after="40"/>
      <w:ind w:left="480"/>
    </w:pPr>
    <w:rPr>
      <w:color w:val="404040"/>
      <w:sz w:val="22"/>
      <w:szCs w:val="22"/>
    </w:rPr>
  </w:style>
  <w:style w:type="character" w:styleId="Lienhypertexte">
    <w:name w:val="Hyperlink"/>
    <w:basedOn w:val="Policepardfaut"/>
    <w:uiPriority w:val="99"/>
    <w:unhideWhenUsed/>
    <w:rsid w:val="004956C7"/>
    <w:rPr>
      <w:color w:val="467886" w:themeColor="hyperlink"/>
      <w:u w:val="single"/>
    </w:rPr>
  </w:style>
  <w:style w:type="paragraph" w:styleId="En-tte">
    <w:name w:val="header"/>
    <w:basedOn w:val="Normal"/>
    <w:link w:val="En-tteCar"/>
    <w:uiPriority w:val="99"/>
    <w:unhideWhenUsed/>
    <w:rsid w:val="001E1354"/>
    <w:pPr>
      <w:tabs>
        <w:tab w:val="center" w:pos="4536"/>
        <w:tab w:val="right" w:pos="9072"/>
      </w:tabs>
      <w:spacing w:after="0" w:line="240" w:lineRule="auto"/>
    </w:pPr>
  </w:style>
  <w:style w:type="character" w:customStyle="1" w:styleId="En-tteCar">
    <w:name w:val="En-tête Car"/>
    <w:basedOn w:val="Policepardfaut"/>
    <w:link w:val="En-tte"/>
    <w:uiPriority w:val="99"/>
    <w:rsid w:val="001E1354"/>
  </w:style>
  <w:style w:type="paragraph" w:styleId="Pieddepage">
    <w:name w:val="footer"/>
    <w:basedOn w:val="Normal"/>
    <w:link w:val="PieddepageCar"/>
    <w:uiPriority w:val="99"/>
    <w:unhideWhenUsed/>
    <w:rsid w:val="001E135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E1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microsoft.com/office/2007/relationships/hdphoto" Target="media/hdphoto9.wdp"/><Relationship Id="rId21" Type="http://schemas.microsoft.com/office/2007/relationships/hdphoto" Target="media/hdphoto7.wdp"/><Relationship Id="rId42" Type="http://schemas.microsoft.com/office/2007/relationships/hdphoto" Target="media/hdphoto13.wdp"/><Relationship Id="rId47" Type="http://schemas.openxmlformats.org/officeDocument/2006/relationships/customXml" Target="ink/ink5.xml"/><Relationship Id="rId63" Type="http://schemas.openxmlformats.org/officeDocument/2006/relationships/image" Target="media/image30.png"/><Relationship Id="rId68" Type="http://schemas.openxmlformats.org/officeDocument/2006/relationships/customXml" Target="ink/ink15.xml"/><Relationship Id="rId84" Type="http://schemas.openxmlformats.org/officeDocument/2006/relationships/image" Target="media/image45.png"/><Relationship Id="rId89" Type="http://schemas.openxmlformats.org/officeDocument/2006/relationships/image" Target="media/image50.png"/><Relationship Id="rId16" Type="http://schemas.openxmlformats.org/officeDocument/2006/relationships/image" Target="media/image5.png"/><Relationship Id="rId11" Type="http://schemas.microsoft.com/office/2007/relationships/hdphoto" Target="media/hdphoto2.wdp"/><Relationship Id="rId32" Type="http://schemas.openxmlformats.org/officeDocument/2006/relationships/image" Target="media/image13.png"/><Relationship Id="rId37" Type="http://schemas.openxmlformats.org/officeDocument/2006/relationships/image" Target="media/image16.png"/><Relationship Id="rId53" Type="http://schemas.openxmlformats.org/officeDocument/2006/relationships/customXml" Target="ink/ink8.xml"/><Relationship Id="rId58" Type="http://schemas.openxmlformats.org/officeDocument/2006/relationships/customXml" Target="ink/ink10.xml"/><Relationship Id="rId74" Type="http://schemas.openxmlformats.org/officeDocument/2006/relationships/image" Target="media/image36.png"/><Relationship Id="rId79" Type="http://schemas.openxmlformats.org/officeDocument/2006/relationships/image" Target="media/image40.png"/><Relationship Id="rId5" Type="http://schemas.openxmlformats.org/officeDocument/2006/relationships/webSettings" Target="webSettings.xml"/><Relationship Id="rId90" Type="http://schemas.openxmlformats.org/officeDocument/2006/relationships/image" Target="media/image51.png"/><Relationship Id="rId95"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2.png"/><Relationship Id="rId64" Type="http://schemas.openxmlformats.org/officeDocument/2006/relationships/customXml" Target="ink/ink13.xml"/><Relationship Id="rId69" Type="http://schemas.openxmlformats.org/officeDocument/2006/relationships/image" Target="media/image33.png"/><Relationship Id="rId80" Type="http://schemas.openxmlformats.org/officeDocument/2006/relationships/image" Target="media/image41.png"/><Relationship Id="rId85"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0.png"/><Relationship Id="rId33" Type="http://schemas.openxmlformats.org/officeDocument/2006/relationships/customXml" Target="ink/ink3.xml"/><Relationship Id="rId38" Type="http://schemas.microsoft.com/office/2007/relationships/hdphoto" Target="media/hdphoto11.wdp"/><Relationship Id="rId46" Type="http://schemas.openxmlformats.org/officeDocument/2006/relationships/image" Target="media/image21.png"/><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customXml" Target="ink/ink12.xml"/><Relationship Id="rId70" Type="http://schemas.openxmlformats.org/officeDocument/2006/relationships/customXml" Target="ink/ink16.xml"/><Relationship Id="rId75" Type="http://schemas.openxmlformats.org/officeDocument/2006/relationships/image" Target="media/image37.png"/><Relationship Id="rId83" Type="http://schemas.openxmlformats.org/officeDocument/2006/relationships/image" Target="media/image44.emf"/><Relationship Id="rId88" Type="http://schemas.openxmlformats.org/officeDocument/2006/relationships/image" Target="media/image49.png"/><Relationship Id="rId91" Type="http://schemas.openxmlformats.org/officeDocument/2006/relationships/header" Target="header1.xml"/><Relationship Id="rId9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hdphoto" Target="media/hdphoto4.wdp"/><Relationship Id="rId23" Type="http://schemas.microsoft.com/office/2007/relationships/hdphoto" Target="media/hdphoto8.wdp"/><Relationship Id="rId28" Type="http://schemas.microsoft.com/office/2007/relationships/hdphoto" Target="media/hdphoto10.wdp"/><Relationship Id="rId36" Type="http://schemas.openxmlformats.org/officeDocument/2006/relationships/image" Target="media/image15.png"/><Relationship Id="rId49" Type="http://schemas.openxmlformats.org/officeDocument/2006/relationships/customXml" Target="ink/ink6.xml"/><Relationship Id="rId57" Type="http://schemas.openxmlformats.org/officeDocument/2006/relationships/image" Target="media/image27.png"/><Relationship Id="rId10" Type="http://schemas.openxmlformats.org/officeDocument/2006/relationships/image" Target="media/image2.png"/><Relationship Id="rId31" Type="http://schemas.openxmlformats.org/officeDocument/2006/relationships/customXml" Target="ink/ink2.xml"/><Relationship Id="rId44" Type="http://schemas.openxmlformats.org/officeDocument/2006/relationships/image" Target="media/image20.png"/><Relationship Id="rId52" Type="http://schemas.openxmlformats.org/officeDocument/2006/relationships/image" Target="media/image24.png"/><Relationship Id="rId60" Type="http://schemas.openxmlformats.org/officeDocument/2006/relationships/customXml" Target="ink/ink11.xml"/><Relationship Id="rId65" Type="http://schemas.openxmlformats.org/officeDocument/2006/relationships/image" Target="media/image31.png"/><Relationship Id="rId73" Type="http://schemas.openxmlformats.org/officeDocument/2006/relationships/image" Target="media/image35.png"/><Relationship Id="rId78" Type="http://schemas.openxmlformats.org/officeDocument/2006/relationships/image" Target="media/image39.png"/><Relationship Id="rId81" Type="http://schemas.openxmlformats.org/officeDocument/2006/relationships/image" Target="media/image42.png"/><Relationship Id="rId86" Type="http://schemas.openxmlformats.org/officeDocument/2006/relationships/image" Target="media/image47.png"/><Relationship Id="rId94" Type="http://schemas.openxmlformats.org/officeDocument/2006/relationships/footer" Target="footer2.xml"/><Relationship Id="rId4" Type="http://schemas.openxmlformats.org/officeDocument/2006/relationships/settings" Target="settings.xml"/><Relationship Id="rId9" Type="http://schemas.microsoft.com/office/2007/relationships/hdphoto" Target="media/hdphoto1.wdp"/><Relationship Id="rId13" Type="http://schemas.microsoft.com/office/2007/relationships/hdphoto" Target="media/hdphoto3.wdp"/><Relationship Id="rId18" Type="http://schemas.openxmlformats.org/officeDocument/2006/relationships/image" Target="media/image6.png"/><Relationship Id="rId39" Type="http://schemas.openxmlformats.org/officeDocument/2006/relationships/image" Target="media/image17.png"/><Relationship Id="rId34" Type="http://schemas.openxmlformats.org/officeDocument/2006/relationships/image" Target="media/image14.png"/><Relationship Id="rId50" Type="http://schemas.openxmlformats.org/officeDocument/2006/relationships/image" Target="media/image23.png"/><Relationship Id="rId55" Type="http://schemas.openxmlformats.org/officeDocument/2006/relationships/image" Target="media/image26.png"/><Relationship Id="rId76" Type="http://schemas.microsoft.com/office/2007/relationships/hdphoto" Target="media/hdphoto15.wdp"/><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customXml" Target="ink/ink1.xml"/><Relationship Id="rId24" Type="http://schemas.openxmlformats.org/officeDocument/2006/relationships/image" Target="media/image9.png"/><Relationship Id="rId40" Type="http://schemas.microsoft.com/office/2007/relationships/hdphoto" Target="media/hdphoto12.wdp"/><Relationship Id="rId45" Type="http://schemas.microsoft.com/office/2007/relationships/hdphoto" Target="media/hdphoto14.wdp"/><Relationship Id="rId66" Type="http://schemas.openxmlformats.org/officeDocument/2006/relationships/customXml" Target="ink/ink14.xml"/><Relationship Id="rId87" Type="http://schemas.openxmlformats.org/officeDocument/2006/relationships/image" Target="media/image48.png"/><Relationship Id="rId61" Type="http://schemas.openxmlformats.org/officeDocument/2006/relationships/image" Target="media/image29.png"/><Relationship Id="rId82" Type="http://schemas.openxmlformats.org/officeDocument/2006/relationships/image" Target="media/image43.png"/><Relationship Id="rId19" Type="http://schemas.microsoft.com/office/2007/relationships/hdphoto" Target="media/hdphoto6.wdp"/><Relationship Id="rId14"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customXml" Target="ink/ink4.xml"/><Relationship Id="rId56" Type="http://schemas.openxmlformats.org/officeDocument/2006/relationships/customXml" Target="ink/ink9.xml"/><Relationship Id="rId77"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customXml" Target="ink/ink7.xml"/><Relationship Id="rId72" Type="http://schemas.openxmlformats.org/officeDocument/2006/relationships/customXml" Target="ink/ink17.xml"/><Relationship Id="rId93" Type="http://schemas.openxmlformats.org/officeDocument/2006/relationships/footer" Target="footer1.xml"/><Relationship Id="rId98" Type="http://schemas.openxmlformats.org/officeDocument/2006/relationships/theme" Target="theme/theme1.xml"/><Relationship Id="rId200" Type="http://schemas.openxmlformats.org/officeDocument/2006/relationships/image" Target="media/image52.png"/><Relationship Id="rId201" Type="http://schemas.openxmlformats.org/officeDocument/2006/relationships/image" Target="media/image53.png"/><Relationship Id="rId202" Type="http://schemas.openxmlformats.org/officeDocument/2006/relationships/image" Target="media/image54.png"/><Relationship Id="rId203" Type="http://schemas.openxmlformats.org/officeDocument/2006/relationships/image" Target="media/image55.png"/><Relationship Id="rId204" Type="http://schemas.openxmlformats.org/officeDocument/2006/relationships/image" Target="media/image56.png"/><Relationship Id="rId205" Type="http://schemas.openxmlformats.org/officeDocument/2006/relationships/image" Target="media/image57.png"/><Relationship Id="rId206" Type="http://schemas.openxmlformats.org/officeDocument/2006/relationships/image" Target="media/image58.png"/><Relationship Id="rId207" Type="http://schemas.openxmlformats.org/officeDocument/2006/relationships/image" Target="media/image59.png"/><Relationship Id="rId208" Type="http://schemas.openxmlformats.org/officeDocument/2006/relationships/image" Target="media/image60.png"/><Relationship Id="rId209" Type="http://schemas.openxmlformats.org/officeDocument/2006/relationships/image" Target="media/image61.png"/><Relationship Id="rId210" Type="http://schemas.openxmlformats.org/officeDocument/2006/relationships/image" Target="media/image62.png"/><Relationship Id="rId211" Type="http://schemas.openxmlformats.org/officeDocument/2006/relationships/image" Target="media/image63.png"/><Relationship Id="rId212" Type="http://schemas.openxmlformats.org/officeDocument/2006/relationships/image" Target="media/image64.png"/><Relationship Id="rId213" Type="http://schemas.openxmlformats.org/officeDocument/2006/relationships/image" Target="media/image65.png"/><Relationship Id="rId214" Type="http://schemas.openxmlformats.org/officeDocument/2006/relationships/image" Target="media/image66.png"/><Relationship Id="rId215" Type="http://schemas.openxmlformats.org/officeDocument/2006/relationships/image" Target="media/image6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09:06:26.730"/>
    </inkml:context>
    <inkml:brush xml:id="br0">
      <inkml:brushProperty name="width" value="0.035" units="cm"/>
      <inkml:brushProperty name="height" value="0.035" units="cm"/>
      <inkml:brushProperty name="color" value="#E71224"/>
    </inkml:brush>
  </inkml:definitions>
  <inkml:trace contextRef="#ctx0" brushRef="#br0">1 0 24575,'12'0'0,"3"0"0,3 0 0,1 0 0,0 0 0,1 0 0,-3 0 0,-1 0 0,-2 0 0,1 0 0,-1 0 0,0 0 0,0 2 0,0 0 0,0 0 0,-2-1 0,0-1 0,-1 0 0,-1 0 0,0 1 0,-2 1 0,-1-1 0,-1 0 0,0 0 0,0-1 0,0 0 0,-1 0 0,0 0 0,1 0 0,0 0 0,0 0 0,0 0 0,-1 0 0,0 1 0,-1 0 0,1 0 0,-1 1 0,2-2 0,-1 0 0,0 0 0,0 0 0,2 0 0,-2 0 0,1 0 0,-1 0 0,1 0 0,0 0 0,0 0 0,0 0 0,1 0 0,0 0 0,-1 0 0,-1 0 0,1 0 0,0 0 0,1 0 0,-1 0 0,0 0 0,2 0 0,0 0 0,0 0 0,0 0 0,-2 0 0,0 0 0,0 0 0,0 0 0,0 0 0,0 0 0,0 0 0,-3 0 0,0 0 0,-3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09:06:23.214"/>
    </inkml:context>
    <inkml:brush xml:id="br0">
      <inkml:brushProperty name="width" value="0.035" units="cm"/>
      <inkml:brushProperty name="height" value="0.035" units="cm"/>
      <inkml:brushProperty name="color" value="#E71224"/>
    </inkml:brush>
  </inkml:definitions>
  <inkml:trace contextRef="#ctx0" brushRef="#br0">0 1 24575,'0'7'0,"0"-1"0,0-2 0,0 1 0,0 1 0,0 2 0,0 1 0,0 1 0,0-1 0,0-2 0,0 1 0,0 0 0,0-1 0,0-1 0,0 0 0,0 2 0,1 0 0,1 1 0,1 0 0,0 0 0,0 0 0,-1 1 0,0-1 0,0 1 0,0-1 0,-1-1 0,1 1 0,-1-1 0,-1 0 0,1 0 0,1 0 0,-1 1 0,1 0 0,-2 1 0,1 1 0,1 1 0,0 1 0,-1 1 0,-1 0 0,0 0 0,1-1 0,1-1 0,-1-2 0,1 0 0,-2 0 0,0 0 0,0 0 0,0-1 0,0 1 0,0-1 0,0-1 0,0-1 0,0-1 0,0 1 0,0 0 0,0-1 0,0 1 0,0 1 0,0 0 0,0-1 0,0-1 0,0-1 0,0-2 0,0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09:06:19.197"/>
    </inkml:context>
    <inkml:brush xml:id="br0">
      <inkml:brushProperty name="width" value="0.035" units="cm"/>
      <inkml:brushProperty name="height" value="0.035" units="cm"/>
      <inkml:brushProperty name="color" value="#E71224"/>
    </inkml:brush>
  </inkml:definitions>
  <inkml:trace contextRef="#ctx0" brushRef="#br0">5 0 24575,'0'10'0,"0"2"0,0 0 0,0 2 0,0 0 0,0 0 0,0 3 0,0 1 0,0 2 0,0 1 0,0 1 0,0 1 0,0 0 0,0-4 0,0-2 0,0-3 0,0 0 0,0-2 0,0 0 0,0 0 0,0-2 0,0 0 0,0-1 0,0 0 0,0 0 0,0-1 0,0 0 0,0 0 0,0 0 0,0 1 0,0-2 0,0 0 0,0 1 0,0 0 0,0 3 0,0 0 0,0 1 0,0-3 0,-1-1 0,0-3 0,0 0 0,0 1 0,0-2 0,1-2 0,3-3 0,-1-1 0,4 1 0,1 0 0,1 1 0,1 0 0,0-2 0,0 0 0,1 0 0,-1 0 0,1 0 0,-2 1 0,-2-1 0,1 2 0,-1 0 0,1-1 0,1 1 0,-1 0 0,-1 0 0,0 0 0,0 0 0,1 0 0,0 0 0,0 0 0,1 0 0,-1 0 0,0 0 0,-1 0 0,0 0 0,-1 0 0,1 0 0,-2 0 0,1 0 0,1 0 0,0 0 0,0 0 0,0 2 0,0-1 0,-1 1 0,-1 0 0,0 0 0,0-1 0,0 0 0,1 0 0,0-1 0,1 0 0,0 0 0,0 0 0,-1 2 0,-2-2 0,-1 2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09:06:13.897"/>
    </inkml:context>
    <inkml:brush xml:id="br0">
      <inkml:brushProperty name="width" value="0.035" units="cm"/>
      <inkml:brushProperty name="height" value="0.035" units="cm"/>
      <inkml:brushProperty name="color" value="#E71224"/>
    </inkml:brush>
  </inkml:definitions>
  <inkml:trace contextRef="#ctx0" brushRef="#br0">56 0 24575,'7'0'0,"2"0"0,1 0 0,5 0 0,4 0 0,4 0 0,19 0 0,-16 0 0,11 0 0,-18 0 0,-2 0 0,0 0 0,-1 0 0,-2 0 0,0 0 0,-1 0 0,-1 0 0,-4 1 0,-3 2 0,-2 2 0,-1 4 0,-1 0 0,0-1 0,0 2 0,-1-2 0,0 1 0,0 0 0,0-1 0,0 1 0,0 0 0,-1 0 0,1 0 0,0 1 0,0-1 0,0-1 0,0 0 0,0 1 0,0 1 0,0 1 0,0-1 0,0-2 0,0 1 0,0-1 0,0-1 0,0 0 0,0-2 0,0 1 0,0 1 0,0 1 0,0-1 0,0 1 0,0-2 0,0 0 0,0 2 0,0 0 0,0-1 0,0-1 0,0-1 0,0 1 0,0 0 0,0 1 0,0 0 0,0-1 0,0 1 0,0-1 0,0 2 0,0-1 0,0 0 0,0-1 0,0 0 0,0-1 0,0 1 0,0-1 0,0 1 0,0 1 0,0 0 0,0-1 0,0 2 0,0 0 0,0 0 0,0 0 0,0 0 0,0 1 0,0-1 0,0-1 0,0 2 0,0-1 0,0 1 0,0-2 0,0 1 0,0 0 0,0 0 0,1 2 0,1-2 0,-1 2 0,1 0 0,-1 0 0,-1 1 0,0 0 0,0 0 0,0-1 0,0-1 0,0 1 0,0-1 0,0-1 0,0 2 0,0-1 0,0-1 0,0 2 0,0-2 0,0 2 0,0-1 0,0 1 0,0 0 0,0-1 0,0 0 0,0-1 0,0 0 0,0 0 0,0 0 0,0 0 0,0 0 0,0 1 0,0 1 0,0 1 0,0-1 0,0-2 0,0 0 0,0-1 0,0 0 0,0 0 0,0 0 0,0 1 0,0-1 0,0-1 0,0 1 0,0 1 0,0 0 0,0 2 0,0-1 0,0 0 0,0-1 0,0 0 0,0 0 0,0 1 0,0 0 0,0-1 0,0 1 0,0-1 0,0-1 0,0 0 0,0 0 0,0 1 0,0-1 0,0 2 0,0-1 0,0-2 0,0 1 0,0-1 0,0 1 0,-1 1 0,-1 0 0,0 0 0,1 0 0,0-2 0,0-1 0,-2-1 0,-1-1 0,-1-1 0,-5 0 0,-1 0 0,-1-2 0,-1 0 0,3 0 0,0 0 0,0 0 0,2 0 0,-1 1 0,0 2 0,-1 1 0,2 0 0,-1-1 0,1-1 0,0 0 0,1-1 0,0 1 0,0-1 0,0 1 0,1-2 0,0 0 0,0 1 0,-1-1 0,1 0 0,0 0 0,0 0 0,1 1 0,-1 0 0,1 1 0,-1-1 0,0 1 0,0-1 0,0 1 0,-1 1 0,-1-2 0,0 1 0,-2 1 0,0-1 0,1 1 0,0 0 0,0 1 0,-1-1 0,2-2 0,2 0 0,-1 0 0,3-2 0,1-1 0,2-2 0,-1 0 0,0 0 0,0 1 0,0 2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2:38:02.833"/>
    </inkml:context>
    <inkml:brush xml:id="br0">
      <inkml:brushProperty name="width" value="0.035" units="cm"/>
      <inkml:brushProperty name="height" value="0.035" units="cm"/>
      <inkml:brushProperty name="color" value="#E71224"/>
    </inkml:brush>
  </inkml:definitions>
  <inkml:trace contextRef="#ctx0" brushRef="#br0">69 111 24575,'-4'-3'0,"0"0"0,0-3 0,0-1 0,0-1 0,1 2 0,0-1 0,1 1 0,0 0 0,2-3 0,-1 2 0,1-1 0,0 0 0,0 1 0,2-1 0,1 3 0,1 1 0,2 2 0,0 2 0,0 0 0,-1 0 0,0 0 0,1 0 0,0 0 0,0 0 0,0 0 0,-2 1 0,-1 1 0,-1 1 0,-1 2 0,1 1 0,-1 0 0,0 3 0,-1-3 0,0-1 0,0 1 0,0-1 0,0 1 0,0 0 0,0-1 0,0 0 0,0 0 0,0 2 0,0-2 0,0 0 0,0 2 0,0-2 0,0 1 0,0 0 0,0-1 0,-1 0 0,0 1 0,-1-2 0,-1 0 0,0 2 0,-1-2 0,-1 2 0,0-1 0,0-1 0,0 1 0,1-2 0,1 1 0,0-1 0,1 1 0,-2-1 0,1 1 0,0-1 0,0 0 0,-1 0 0,-3 0 0,1 2 0,0 0 0,2 1 0,1 0 0,1-2 0,-1 1 0,1 1 0,-2-1 0,1 2 0,0 0 0,0 0 0,1 0 0,0 0 0,2-1 0,0 0 0,0-1 0,0 1 0,0 1 0,0-2 0,0 0 0,0 1 0,1-2 0,1 1 0,0-2 0,2-1 0,0 0 0,1-2 0,0 0 0,1 0 0,0 0 0,0 0 0,0 0 0,-1 0 0,0 0 0,0 0 0,1 0 0,0 0 0,-1 0 0,0 0 0,1 0 0,0 0 0,-1 0 0,0 0 0,0 0 0,1 0 0,-1 0 0,1 0 0,0 0 0,-1 0 0,1 0 0,-1 0 0,0 0 0,1 0 0,-1 0 0,1 0 0,0 0 0,-1 0 0,0 0 0,0 0 0,0 0 0,0 0 0,1 0 0,0 0 0,-1 0 0,-2 0 0,0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2:37:54.483"/>
    </inkml:context>
    <inkml:brush xml:id="br0">
      <inkml:brushProperty name="width" value="0.035" units="cm"/>
      <inkml:brushProperty name="height" value="0.035" units="cm"/>
      <inkml:brushProperty name="color" value="#E71224"/>
    </inkml:brush>
  </inkml:definitions>
  <inkml:trace contextRef="#ctx0" brushRef="#br0">1 12 24575,'8'1'0,"0"2"0,-1 2 0,1 3 0,1 4 0,0-1 0,-1-1 0,-1-2 0,-1 0 0,1 0 0,1 1 0,-1 0 0,1-1 0,-2-1 0,-1 0 0,0-1 0,0 1 0,-1-1 0,1 2 0,-1-1 0,1 0 0,1 1 0,0-1 0,-1 0 0,1 0 0,-1-1 0,0 0 0,0-2 0,-1 0 0,-1-3 0,-2 1 0</inkml:trace>
  <inkml:trace contextRef="#ctx0" brushRef="#br0" timeOffset="2934">19 239 24575,'9'-2'0,"0"1"0,-2-1 0,-3 0 0,1 0 0,-1-1 0,0 0 0,1 0 0,-1-2 0,1 2 0,-1-2 0,1 0 0,0 0 0,0-1 0,1-1 0,1-2 0,0 1 0,0 0 0,0 1 0,-2 1 0,1-1 0,-1 1 0,0 1 0,-1 0 0,0-1 0,0 0 0,0 1 0,0 0 0,0 0 0,0-1 0,1 0 0,-1-1 0,1-1 0,0 0 0,0 0 0,-1 1 0,1 1 0,-2 1 0,0 0 0,0 0 0,-1 1 0,1 1 0,1-1 0,-1-1 0,1 2 0,-1-1 0,-1 3 0,-1-1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2:37:50.933"/>
    </inkml:context>
    <inkml:brush xml:id="br0">
      <inkml:brushProperty name="width" value="0.035" units="cm"/>
      <inkml:brushProperty name="height" value="0.035" units="cm"/>
      <inkml:brushProperty name="color" value="#E71224"/>
    </inkml:brush>
  </inkml:definitions>
  <inkml:trace contextRef="#ctx0" brushRef="#br0">36 0 24575,'1'5'0,"1"0"0,1-1 0,0 1 0,-1-1 0,1 1 0,-1 0 0,2-1 0,-1 3 0,0-1 0,1 1 0,-2-1 0,1 0 0,-1-2 0,0 0 0,0 1 0,0-1 0,0 1 0,0-1 0,1 1 0,0-1 0,-1 2 0,0 0 0,-1 1 0,1 0 0,0-2 0,-1 0 0,1 0 0,-1 0 0,0 1 0,-1 0 0,0 0 0,0 0 0,0-1 0,1-1 0,1 0 0,0 0 0,0 0 0,-2 0 0,0 2 0,1-2 0,0 1 0,1 0 0,-1-1 0,0 2 0,-1 0 0,0 0 0,0 0 0,0-2 0,0 2 0,0-1 0,0 1 0,0 0 0,0-1 0,0 1 0,0 0 0,0 1 0,0-2 0,0 0 0,0 0 0,0 1 0,0-1 0,0 1 0,0 0 0,0-1 0,0 1 0,0-1 0,0 0 0,0 0 0,0 0 0,0 0 0,0 0 0,0 1 0,-2 0 0,1 0 0,-2 0 0,1-1 0,0 0 0,0-1 0,-1 0 0,1-1 0,-1 0 0,1 0 0,0 0 0,0 2 0,0-1 0,-1-1 0,1 1 0,0-1 0,-1 2 0,0-1 0,0 0 0,0-1 0,0 0 0,0 0 0,1 0 0,-1 0 0,0-1 0,1 2 0,0-1 0,0 2 0,-1-2 0,1 0 0,0 2 0,-1-1 0,0 0 0,0 0 0,0 0 0,0 0 0,1 0 0,-1 0 0,-1-1 0,0 1 0,0 0 0,2 1 0,-1 0 0,1-1 0,1-2 0,-1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2:38:08.900"/>
    </inkml:context>
    <inkml:brush xml:id="br0">
      <inkml:brushProperty name="width" value="0.035" units="cm"/>
      <inkml:brushProperty name="height" value="0.035" units="cm"/>
      <inkml:brushProperty name="color" value="#E71224"/>
    </inkml:brush>
  </inkml:definitions>
  <inkml:trace contextRef="#ctx0" brushRef="#br0">9 0 24575,'0'10'0,"0"0"0,0 1 0,0-2 0,0 1 0,0 0 0,0 0 0,0 2 0,0-2 0,0 0 0,0 1 0,0-2 0,0 0 0,0-1 0,0 0 0,0 0 0,0 0 0,0 0 0,1-3 0,1 0 0,2-3 0,1-2 0,1 1 0,0-2 0,-1 0 0,-1-2 0,1 0 0,0 0 0,-1 0 0,3-1 0,0 1 0,1-1 0,-1 1 0,-1 0 0,0 0 0,0 1 0,1-1 0,0 0 0,-1-1 0,0 1 0,-1 0 0,0 0 0,-1 1 0,0-1 0,2 0 0,0-1 0,-1 1 0,0 0 0,-1 0 0,-2 1 0,-2 0 0,-3 2 0,-3-1 0,-2 1 0,-2-1 0,0-1 0,-1 0 0,0-2 0,1 2 0,0-2 0,0-1 0,-2 1 0,0-2 0,1 0 0,2 2 0,2-1 0,2 2 0,0 0 0,2-1 0,-1 0 0,0-1 0,1 0 0,-1 0 0,1 1 0,1-1 0,1 0 0,1 2 0,1 2 0,1 4 0,1 3 0,0 2 0,0-2 0,0 1 0,-1-1 0,-1 1 0,0-1 0,0 0 0,-1-1 0,0 1 0,1 1 0,0 0 0,1 0 0,-1-1 0,-1-1 0,0 0 0,0 0 0,1-1 0,0-1 0,2 1 0,0 1 0,-1 0 0,1 0 0,0-1 0,0-1 0,2-1 0,0-1 0,0-1 0,0 1 0,0-1 0,3 0 0,0 0 0,-1-1 0,0-1 0,-2-1 0,1-1 0,0 0 0,-1-1 0,-2-2 0,-1 1 0,-2 0 0,-1 2 0,-2 1 0,-3 0 0,-2-2 0,-2 0 0,1-1 0,1 0 0,4 0 0,1 2 0,2 6 0,0 3 0,0 2 0,-2 3 0,-2 0 0,1-5 0,1 1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1:07.118"/>
    </inkml:context>
    <inkml:brush xml:id="br0">
      <inkml:brushProperty name="width" value="0.035" units="cm"/>
      <inkml:brushProperty name="height" value="0.035" units="cm"/>
      <inkml:brushProperty name="color" value="#E71224"/>
    </inkml:brush>
  </inkml:definitions>
  <inkml:trace contextRef="#ctx0" brushRef="#br0">144 112 24575,'-5'0'0,"-2"-1"0,1 0 0,-1-2 0,0 1 0,-4-3 0,3 1 0,-1 0 0,3 3 0,0 1 0,1 0 0,-2 0 0,2 0 0,-2 0 0,1 0 0,1 0 0,0 0 0,0 0 0,2 2 0,-1 0 0,0 1 0,1 0 0,-1 0 0,1 3 0,0-2 0,1 3 0,2-1 0,0 1 0,0 1 0,0 1 0,0 0 0,0 0 0,0-1 0,0 1 0,0 0 0,0-2 0,1-1 0,2-1 0,0-1 0,1 0 0,-1-2 0,2 0 0,1-1 0,2 0 0,1 0 0,2-1 0,1 0 0,1 0 0,3-1 0,-4-1 0,0-2 0,-5-1 0,-1-1 0,0 0 0,-1 0 0,-1 1 0,-2-1 0,0 1 0,-1-2 0,0 1 0,-1-1 0,1 1 0,-1 0 0,0 2 0,0 0 0,0 1 0,0-1 0,0 0 0,0 1 0,0 2 0,-1 1 0,1 2 0,0 2 0,0 1 0,1 0 0,-1-1 0,1 2 0,1 1 0,0 1 0,0 3 0,1 0 0,-1 0 0,0 0 0,0-2 0,0-1 0,0-2 0,0-1 0,1-2 0,0-1 0,0 0 0,0-1 0,1 0 0,0 0 0,-1 0 0,2-1 0,3 1 0,-1-2 0,4-1 0,-4-1 0,-1-1 0,-1-1 0,-1 2 0,0-1 0,-1-1 0,-1 0 0,-1 0 0,0-1 0,-1 1 0,0-1 0,0 0 0,0 0 0,1-1 0,-1-1 0,1 1 0,0 0 0,-1 0 0,1 2 0,-1 1 0,1 0 0,-1 0 0,0 1 0,0-1 0,0 1 0,0 0 0,0 2 0,0 6 0,0-1 0,0 4 0,0-3 0,0 2 0,1 2 0,2 1 0,0 0 0,2-2 0,0 0 0,0-1 0,-1-1 0,2-1 0,-1 0 0,1 0 0,0-1 0,0-1 0,-1 0 0,-1-2 0,0-1 0,-1 0 0,0 0 0,-1 0 0,0 0 0,0 0 0,0 0 0,-1-1 0,0 1 0,0-1 0</inkml:trace>
  <inkml:trace contextRef="#ctx0" brushRef="#br0" timeOffset="2700">382 104 24575,'0'5'0,"0"0"0,0 1 0,0 0 0,0 1 0,0 3 0,0-2 0,0 1 0,0-4 0,0 0 0,0 0 0,0-1 0,0 0 0,0 0 0,0-1 0,0 0 0,0 0 0,0-1 0,0 0 0,0 0 0,0 0 0,0-1 0,0-5 0,0 1 0,0-5 0,0 3 0,0 0 0,0 0 0,0 0 0,0 2 0,1-1 0,1 1 0,0-2 0,1 1 0,-1-1 0,1 0 0,1-1 0,0 0 0,1-1 0,-1 0 0,2 0 0,0 0 0,0 0 0,0 0 0,5-3 0,-3 3 0,3-2 0,-5 5 0,0 2 0,-1 0 0,0 2 0,-1 0 0,0 0 0,1 2 0,-1 0 0,0 2 0,0 2 0,0 1 0,0 2 0,0 1 0,0 1 0,0-1 0,-1 0 0,0-1 0,-1-1 0,-1-1 0,0-1 0,-1 0 0,1 1 0,-1 0 0,1-1 0,-1 0 0,0-1 0,0-1 0,0 0 0,0 0 0,0 0 0,0-1 0,0 0 0,0 1 0,0-1 0,0 0 0,0 0 0,0-1 0,0-1 0</inkml:trace>
  <inkml:trace contextRef="#ctx0" brushRef="#br0" timeOffset="5483">594 156 24575,'4'0'0,"0"0"0,1-1 0,0 0 0,0-1 0,2-1 0,-3 0 0,2-1 0,-3 1 0,-1-1 0,2 1 0,-2-1 0,0 1 0,1-2 0,0-1 0,0-1 0,0-1 0,-2 0 0,1 1 0,-2 1 0,1 0 0,-1 1 0,0-1 0,0 1 0,-1 0 0,-1 2 0,-2-1 0,-1 2 0,0 0 0,0 0 0,-1 1 0,0 0 0,0 0 0,1 1 0,0 0 0,0 0 0,0 0 0,1 0 0,0 1 0,1 0 0,1 1 0,0 1 0,0 1 0,0 1 0,1 1 0,-1 0 0,0 3 0,0 0 0,-1 1 0,1 0 0,0 0 0,0 0 0,0-1 0,1 0 0,0 0 0,0-2 0,1 0 0,-1-1 0,1-1 0,0 0 0,0-1 0,0 1 0,1-2 0,0 1 0,1-1 0,1 0 0,2 2 0,0-3 0,0 2 0,0-1 0,-1-1 0,1 0 0,-1 0 0,0-1 0,1 0 0,-1 0 0,1-1 0,1 0 0,3 0 0,-1 0 0,1 0 0,-3 0 0,-1 0 0,0 0 0,0 0 0,-1 0 0,0 0 0,0 0 0,-1 0 0,0 0 0,1 0 0,-1-1 0,0 1 0,0-1 0,-1 1 0,-1-1 0,0 1 0</inkml:trace>
  <inkml:trace contextRef="#ctx0" brushRef="#br0" timeOffset="6299">280 0 24575,'0'0'0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52.752"/>
    </inkml:context>
    <inkml:brush xml:id="br0">
      <inkml:brushProperty name="width" value="0.035" units="cm"/>
      <inkml:brushProperty name="height" value="0.035" units="cm"/>
      <inkml:brushProperty name="color" value="#E71224"/>
    </inkml:brush>
  </inkml:definitions>
  <inkml:trace contextRef="#ctx0" brushRef="#br0">1 125 24575,'5'0'0,"4"0"0,0 0 0,3 2 0,2 0 0,-2 0 0,-2-1 0,-3-1 0,-1 0 0,-1 0 0,-1 0 0,-1 0 0,1-1 0,-1 0 0,0-1 0,1 0 0,-1 0 0,0-1 0,-1 0 0,-1 1 0,0-2 0,-1 1 0,0-2 0,0 2 0,0 0 0,0 0 0,-1 1 0,-1-1 0,-1 0 0,0 1 0,-1-2 0,-1 1 0,-2-1 0,1 1 0,-1 0 0,2 3 0,1 0 0,0 0 0,-1 0 0,1 0 0,-1 0 0,1 0 0,-1 1 0,2 0 0,-3 2 0,3-1 0,-1 2 0,2-1 0,1 0 0,-1 0 0,-1-1 0,2 1 0,-1-1 0,0 1 0,1 0 0,0 0 0,0 0 0,1 1 0,-1 0 0,1 0 0,-1-1 0,1 1 0,0 1 0,0 1 0,0 1 0,0 1 0,0 0 0,1 0 0,0 0 0,1 2 0,1-3 0,2 1 0,-1-5 0,-1 0 0,2 0 0,-1-1 0,1 0 0,-1 0 0,1 0 0,1 1 0,1-1 0,3 2 0,-3-2 0,2 0 0,-3 0 0,-1-2 0,0 1 0,0 0 0,-1-1 0,-1 0 0,0 0 0,-1 0 0,-1-1 0,0 1 0,-1 0 0</inkml:trace>
  <inkml:trace contextRef="#ctx0" brushRef="#br0" timeOffset="2600">183 103 24575,'0'14'0,"0"-2"0,0-4 0,0 0 0,0 0 0,0-1 0,0 2 0,0-1 0,0 0 0,0-1 0,0-3 0,0 1 0,0-1 0,0 0 0,0-1 0,0-1 0,0-6 0,0 0 0,0-5 0,0-1 0,0-1 0,0 0 0,0 1 0,1 1 0,0 0 0,1 1 0,1-1 0,-1 1 0,2 2 0,-1 0 0,0 2 0,1 1 0,0 0 0,1 2 0,-1 0 0,0 0 0,1 1 0,2 0 0,-1 0 0,3 0 0,-2 0 0,-1 0 0,-1 0 0,-1 2 0,0 0 0,-1 2 0,1 0 0,-1 0 0,1 1 0,3 2 0,-3-1 0,2 3 0,-2-1 0,-2 0 0,1 1 0,-1 0 0,-1 0 0,1 1 0,-1-2 0,0-1 0,0-1 0,-1 0 0,1-3 0,-1 1 0,0-2 0,0-1 0,0-1 0</inkml:trace>
  <inkml:trace contextRef="#ctx0" brushRef="#br0" timeOffset="4583">373 0 24575,'0'27'0,"0"0"0,0-8 0,0 0 0,0-2 0,0-3 0,0 0 0,0-2 0,0-2 0,0-1 0,0-2 0,0-1 0,0 0 0,0 0 0,0-1 0,0 1 0,0-2 0,1 0 0,1-2 0,0-1 0,1 1 0,0-2 0,1 1 0,0-1 0,1 0 0,-1 1 0,0-1 0,1 1 0,-1-1 0,2 0 0,-2 0 0,2 0 0,-3 0 0,1 0 0,-1 0 0,2 0 0,0 0 0,-1 0 0,0 0 0,-2 0 0,-1 0 0,0 0 0</inkml:trace>
  <inkml:trace contextRef="#ctx0" brushRef="#br0" timeOffset="5766">377 58 24575,'12'0'0,"-1"0"0,-1 0 0,-1 0 0,-2 0 0,-1 0 0,2 0 0,-4 0 0,3 0 0,-5 0 0,0-1 0,-1 1 0,-1-1 0</inkml:trace>
  <inkml:trace contextRef="#ctx0" brushRef="#br0" timeOffset="8133">492 121 24575,'0'13'0,"0"-2"0,0-6 0,0-1 0,0 0 0,0 1 0,0-2 0,0 0 0,0-1 0,0 0 0,0-1 0,0 1 0,0-1 0,0 1 0,0-1 0,0-6 0,0 1 0,0-6 0,0 4 0,0 1 0,0 1 0,0 0 0,0 0 0,0 1 0,0-1 0,0 1 0,1 0 0,0 0 0,1-1 0,1 0 0,0-1 0,1 1 0,1-2 0,0 2 0,1 0 0,-2 2 0,0 0 0,1 0 0,-1 1 0,0-1 0,1 1 0,-1 0 0,1 0 0,-1 0 0,2-1 0,-2 1 0,1 0 0,-3 0 0,0 0 0,-1 1 0,1 0 0,-1 0 0,1 0 0,0 0 0,0 0 0,0 0 0,-1 0 0,-1 0 0</inkml:trace>
  <inkml:trace contextRef="#ctx0" brushRef="#br0" timeOffset="10233">483 142 24575,'1'5'0,"0"1"0,-1-3 0,1 1 0,0-2 0,1 1 0,-2-1 0,1 0 0,0 1 0,1-1 0,-1 1 0,0 0 0,1 0 0,-1-1 0,0 1 0,0-1 0,-1-1 0,0 0 0,1 1 0,-1-1 0,1 1 0,-1 0 0,1 0 0,-1-1 0,0 1 0,0 0 0,1 0 0,-1 0 0,1-1 0,0 1 0,-1-1 0,1 0 0,0-1 0,-1 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31.786"/>
    </inkml:context>
    <inkml:brush xml:id="br0">
      <inkml:brushProperty name="width" value="0.035" units="cm"/>
      <inkml:brushProperty name="height" value="0.035" units="cm"/>
      <inkml:brushProperty name="color" value="#E71224"/>
    </inkml:brush>
  </inkml:definitions>
  <inkml:trace contextRef="#ctx0" brushRef="#br0">0 133 24575,'0'12'0,"0"-2"0,0 5 0,0-2 0,0 0 0,2-1 0,0-1 0,1-1 0,0-1 0,-1-1 0,1 0 0,1-2 0,0-1 0,0-1 0,0 0 0,1-2 0,-1-1 0,2 0 0,11-2 0,-3-3 0,7-1 0,-9-3 0,-3-1 0,-1 0 0,-2-1 0,-2 1 0,-2-1 0,-1 1 0,-1 0 0,0 1 0,0-1 0,0 2 0,0 1 0,0 3 0,-2-1 0,-2 2 0,0-1 0,-3 1 0,0 0 0,0 0 0,-1 0 0,0 0 0,0 1 0,1 0 0,-1 1 0,1-1 0,0 1 0,1-1 0,0 0 0,0 0 0,2 0 0,-1 1 0,2 0 0,0 0 0,0 0 0,1 0 0,0 0 0,-1 1 0,1 0 0,0 1 0,0 0 0,0 1 0,1-2 0,1 0 0</inkml:trace>
  <inkml:trace contextRef="#ctx0" brushRef="#br0" timeOffset="2600">220 124 24575,'0'5'0,"0"-1"0,0 1 0,0 2 0,0-2 0,0 3 0,0-3 0,0 1 0,0-2 0,0 1 0,0 1 0,0 0 0,0 0 0,0-1 0,0 1 0,0-1 0,0 1 0,-1-1 0,0-1 0,1 0 0,0 0 0,-1-1 0,1-2 0,-1-6 0,1-1 0,0-5 0,0 1 0,0 1 0,0 1 0,0 1 0,1 1 0,1 1 0,0 0 0,0 0 0,1 1 0,0 1 0,1 0 0,-1 2 0,1-1 0,-1 1 0,1 0 0,0 0 0,0 0 0,0 1 0,0 0 0,1 0 0,-1 0 0,0 0 0,1 0 0,-1 0 0,1 0 0,1 0 0,1 0 0,-1 0 0,0 0 0,-2 0 0,1 0 0,-2 1 0,0-1 0,0 2 0,-1 0 0,1 0 0,-1 1 0,0 1 0,0 0 0,0 0 0,0 1 0,0-1 0,0 0 0,0 1 0,-1 0 0,0 1 0,1 0 0,-1 1 0,0-1 0,0 0 0,-1-1 0,1-1 0,-1 0 0,0-1 0,0 0 0,1-1 0,-1 1 0,1-1 0,-1-1 0,0 0 0</inkml:trace>
  <inkml:trace contextRef="#ctx0" brushRef="#br0" timeOffset="3832">472 155 24575,'3'0'0,"-1"0"0,-1 0 0</inkml:trace>
  <inkml:trace contextRef="#ctx0" brushRef="#br0" timeOffset="6066">476 121 24575,'-6'0'0,"-1"0"0,-1 0 0,-2 1 0,-1 2 0,2 0 0,0 3 0,4-2 0,0 1 0,1 0 0,1 1 0,1 0 0,1 0 0,0 0 0,1 0 0,0-1 0,0 0 0,1-1 0,0 0 0,2-2 0,0-1 0,2 0 0,1-1 0,1 1 0,1 0 0,2-1 0,2 1 0,-1 0 0,0 1 0,1 1 0,-1 0 0,0-1 0,1 1 0,-2 0 0,0 0 0,-1 0 0,-2 0 0,0 1 0,-2 0 0,-1 0 0,0 1 0,-1-1 0,-1 1 0,-2-1 0,0 0 0,0 1 0,0-1 0,-3-1 0,-2-1 0,-3 0 0,-1-1 0,-1-1 0,1 0 0,1 0 0,-1 0 0,1 0 0,-1 0 0,0 0 0,2 0 0,1 0 0,-1 0 0,3-1 0,-1 0 0,3 1 0,1-1 0</inkml:trace>
  <inkml:trace contextRef="#ctx0" brushRef="#br0" timeOffset="7999">633 75 24575,'0'7'0,"-1"0"0,1 0 0,-1-1 0,-1 1 0,0 5 0,1-3 0,0 5 0,0-3 0,-1-1 0,1 1 0,0 0 0,0 0 0,1 1 0,0-2 0,-1 0 0,0-1 0,1-2 0,0 2 0,0-4 0,0 2 0,0-4 0,0 0 0,0-1 0,1 0 0,1 0 0,0-1 0,1 1 0,1-1 0,0 0 0,1 0 0,0 0 0,0 0 0,-1-1 0,0 1 0,0-1 0,0 0 0,0 0 0,1 0 0,-1 0 0,1 0 0,-1 0 0,1 0 0,-1 0 0,1 0 0,-2 0 0,1 0 0,-1-1 0,-1 0 0,-1 1 0,0-1 0</inkml:trace>
  <inkml:trace contextRef="#ctx0" brushRef="#br0" timeOffset="9849">625 138 24575,'8'0'0,"2"0"0,1 0 0,3 0 0,-2 0 0,-1 0 0,2 0 0,-6 0 0,-1 0 0,-5 0 0</inkml:trace>
  <inkml:trace contextRef="#ctx0" brushRef="#br0" timeOffset="12966">834 188 24575,'-6'-4'0,"1"1"0,0 0 0,1 0 0,-1 1 0,1 1 0,-1 0 0,2 1 0,-3 0 0,3 0 0,-2 1 0,1 1 0,1 1 0,-1 0 0,1 0 0,0 0 0,0 1 0,1 0 0,1 0 0,0 2 0,1 0 0,-1 1 0,1-1 0,0 0 0,0-1 0,0 1 0,0 0 0,0-1 0,0 0 0,0 0 0,0-1 0,0 1 0,0-1 0,0 0 0,0-2 0,1 0 0,0 0 0,0-1 0,1-1 0,0 1 0,1-1 0,0 0 0,0 0 0,1 0 0,-1 0 0,0 0 0,1 0 0,0 0 0,0-1 0,0 0 0,0-1 0,-1 0 0,0-1 0,1 0 0,-2 0 0,2-1 0,-3 0 0,2-1 0,-2 0 0,0 1 0,-1-1 0,1 1 0,0 0 0,0-1 0,0-1 0,0 1 0,0 0 0,0 0 0,-1 1 0,1 0 0,0 1 0,0 0 0,0 0 0,1 0 0,-1 0 0,0 1 0,0 0 0,0 0 0,0 0 0,0 0 0,-1 2 0,0 3 0,0 1 0,0 4 0,0 0 0,-1 2 0,0 0 0,1-1 0,0-2 0,0 0 0,0-1 0,0 0 0,0-1 0,0-1 0,0 0 0,0-1 0,0 0 0,2-1 0,1 0 0,0-1 0,1 0 0,2 0 0,-1 0 0,2-1 0,-3 0 0,0 0 0,1 0 0,-1 0 0,0 0 0,0 0 0,0 0 0,0-1 0,-1 0 0,1-2 0,-2 0 0,0-1 0,-1 3 0,0-1 0</inkml:trace>
  <inkml:trace contextRef="#ctx0" brushRef="#br0" timeOffset="14922">939 0 24575,'0'6'0,"0"1"0,0 2 0,0 2 0,0 1 0,0-2 0,0 1 0,0-1 0,0 0 0,0 1 0,0-1 0,0-1 0,0 0 0,0-1 0,0-1 0,0-1 0,0 0 0,0-1 0,0 1 0,0-1 0,0-1 0,0 1 0,0-1 0,0 2 0,0-1 0,0 2 0,0-3 0,0 0 0,0 0 0,1 0 0,1-1 0,-1-1 0,2 0 0,-1 0 0,1 0 0,0 0 0,1 0 0,-1 1 0,1-1 0,0 1 0,0 0 0,0-2 0,0 0 0,0 0 0,-1 0 0,1 0 0,-1-1 0,0 0 0,1 0 0,-2 0 0,1 0 0,0 0 0,-1 0 0,1 0 0,0 0 0,-1 0 0,1 0 0,-1 0 0,-1 0 0,0-1 0</inkml:trace>
  <inkml:trace contextRef="#ctx0" brushRef="#br0" timeOffset="16115">969 119 24575,'9'0'0,"0"0"0,1 0 0,0 0 0,-1 0 0,0 0 0,-2 0 0,-1-1 0,-1 0 0,0 1 0,3-1 0,-3 0 0,3 0 0,-7 1 0,1-1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20.940"/>
    </inkml:context>
    <inkml:brush xml:id="br0">
      <inkml:brushProperty name="width" value="0.035" units="cm"/>
      <inkml:brushProperty name="height" value="0.035" units="cm"/>
      <inkml:brushProperty name="color" value="#E71224"/>
    </inkml:brush>
  </inkml:definitions>
  <inkml:trace contextRef="#ctx0" brushRef="#br0">76 0 24575,'-6'0'0,"1"1"0,-1 1 0,1 1 0,-1 1 0,-7 10 0,6-5 0,-5 7 0,8-8 0,0 0 0,1-1 0,0 0 0,2-2 0,1 0 0,-1 0 0,1-1 0,0 1 0,0 1 0,0-1 0,0 1 0,1-2 0,0 0 0,1 0 0,1-1 0,0 1 0,1-1 0,0 1 0,1-1 0,-1-1 0,3 1 0,-3-1 0,3 0 0,-3-1 0,1 0 0,-1 0 0,2 0 0,-1-1 0,2 0 0,-2 0 0,0 0 0,1 0 0,-2 0 0,1 0 0,-2 0 0,1 0 0,-1 0 0,0 0 0,1 0 0,-3 0 0,2 0 0,-2-1 0,1 0 0,-1-1 0,0 2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18.572"/>
    </inkml:context>
    <inkml:brush xml:id="br0">
      <inkml:brushProperty name="width" value="0.035" units="cm"/>
      <inkml:brushProperty name="height" value="0.035" units="cm"/>
      <inkml:brushProperty name="color" value="#E71224"/>
    </inkml:brush>
  </inkml:definitions>
  <inkml:trace contextRef="#ctx0" brushRef="#br0">31 45 24575,'17'0'0,"-3"0"0,-5 0 0,-2 0 0,-3-1 0,0-1 0,-1-1 0,-1 1 0,0 0 0,-1 0 0,0 1 0,0-1 0,-1 0 0,1 0 0,-1 0 0,0 0 0,0 0 0,0 0 0,0 0 0,0 0 0,0 0 0,-1 0 0,0 0 0,0 0 0,-2 0 0,1 1 0,-1 0 0,1 0 0,-1 0 0,0 1 0,-1 0 0,1 0 0,0 0 0,-3 0 0,3 0 0,-2 0 0,2 0 0,0 0 0,0 0 0,-1 0 0,1 0 0,0 1 0,0-1 0,-1 2 0,1 1 0,-1 0 0,1 0 0,0 0 0,0 1 0,1-1 0,0 0 0,0 0 0,0 2 0,1-1 0,-1 1 0,2-2 0,0 1 0,0-1 0,0 0 0,0 0 0,0 0 0,0 0 0,0 0 0,0 0 0,1 2 0,0-1 0,2 1 0,-1 0 0,1-1 0,-1 1 0,2-2 0,-1 1 0,0-2 0,1 1 0,-1-1 0,0-1 0,2 2 0,0-2 0,0 0 0,-2-1 0,1 1 0,0-1 0,0 1 0,1-1 0,-1 0 0,0 0 0,0 0 0,0 0 0,0 0 0,-1 0 0,2 0 0,-1 0 0,0 0 0,0 0 0,-1 0 0,0 0 0,0 0 0,-1 0 0,-1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14.886"/>
    </inkml:context>
    <inkml:brush xml:id="br0">
      <inkml:brushProperty name="width" value="0.035" units="cm"/>
      <inkml:brushProperty name="height" value="0.035" units="cm"/>
      <inkml:brushProperty name="color" value="#E71224"/>
    </inkml:brush>
  </inkml:definitions>
  <inkml:trace contextRef="#ctx0" brushRef="#br0">78 0 24575,'-5'0'0,"0"1"0,0 0 0,1 1 0,-1 0 0,1 1 0,0 0 0,-1-1 0,0 2 0,1-2 0,-1 2 0,2-2 0,0 1 0,1 0 0,-1-1 0,1 1 0,0 0 0,0 1 0,-1 0 0,2-1 0,-1 2 0,1 0 0,0 0 0,0-1 0,1 1 0,-1-1 0,1 1 0,0-1 0,0 0 0,0 1 0,0-1 0,0 0 0,0 3 0,0-3 0,0 1 0,0-2 0,0 0 0,1-1 0,0 0 0,0 0 0,0 1 0,1 0 0,0-1 0,0 2 0,0-2 0,0 2 0,1-2 0,0 0 0,-1 1 0,1 0 0,1 0 0,-1-1 0,1 0 0,-1-1 0,0 1 0,1-1 0,-1 0 0,0 0 0,0 0 0,0 0 0,-1 0 0,1 0 0,-1-1 0,0 0 0,1 0 0,-1 0 0,0 1 0,0-1 0,0 1 0,1-1 0,0 0 0,0 0 0,0 0 0,-1 0 0,0 0 0,1 0 0,-2 0 0,0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05.720"/>
    </inkml:context>
    <inkml:brush xml:id="br0">
      <inkml:brushProperty name="width" value="0.035" units="cm"/>
      <inkml:brushProperty name="height" value="0.035" units="cm"/>
      <inkml:brushProperty name="color" value="#E71224"/>
    </inkml:brush>
  </inkml:definitions>
  <inkml:trace contextRef="#ctx0" brushRef="#br0">1 0 24575,'5'10'0,"1"0"0,3 1 0,0-1 0,0 0 0,0 1 0,2 0 0,5 5 0,-3-5 0,4 3 0,-8-6 0,2-1 0,-1 0 0,-1 1 0,1 1 0,0 1 0,2 1 0,-2-2 0,-2-1 0,-1-2 0,-1 0 0,1 1 0,-1 0 0,-1 0 0,-1-1 0,1 1 0,1-1 0,0 0 0,-2 0 0,1-1 0,-1-2 0,1 0 0,0-1 0,-3 2 0,-1 1 0,0-1 0,2-2 0,1 0 0,1-2 0,-1-1 0,0-2 0,1 0 0,-1-2 0,0-2 0,1 1 0,1 0 0,-1 1 0,1 1 0,-1 0 0,0-1 0,1 2 0,-1 0 0,1-1 0,0 0 0,0 1 0,0-1 0,-1-1 0,2 1 0,-1 0 0,2 0 0,0 1 0,0 0 0,1 0 0,0 0 0,0 0 0,-1-1 0,7-2 0,-5 1 0,5-1 0,-6 3 0,0 0 0,-1-1 0,1 1 0,0-2 0,1 0 0,-1 0 0,2 2 0,-1-1 0,1-1 0,-2 2 0,1-2 0,-3 0 0,1 2 0,-1 0 0,-2 0 0,-1 1 0,-2-1 0,3-2 0,-1 2 0,2 0 0,-2 0 0,0 0 0,0 0 0,-2 1 0,-1 1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3:00:02.170"/>
    </inkml:context>
    <inkml:brush xml:id="br0">
      <inkml:brushProperty name="width" value="0.035" units="cm"/>
      <inkml:brushProperty name="height" value="0.035" units="cm"/>
      <inkml:brushProperty name="color" value="#E71224"/>
    </inkml:brush>
  </inkml:definitions>
  <inkml:trace contextRef="#ctx0" brushRef="#br0">0 0 24575,'0'9'0,"0"2"0,0 2 0,0 3 0,0 3 0,0 2 0,0 1 0,0 0 0,0-3 0,0-2 0,0-3 0,0 0 0,0 2 0,0 1 0,0 0 0,0-1 0,0-3 0,0-1 0,0-1 0,0-1 0,0 0 0,0 0 0,0 0 0,0 2 0,0-1 0,0 5 0,0-7 0,0 5 0,0-6 0,0 1 0,0 0 0,0-2 0,0 1 0,0-1 0,0-1 0,0 0 0,0 0 0,0 0 0,0 0 0,0-3 0,0-1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2:59:58.587"/>
    </inkml:context>
    <inkml:brush xml:id="br0">
      <inkml:brushProperty name="width" value="0.035" units="cm"/>
      <inkml:brushProperty name="height" value="0.035" units="cm"/>
      <inkml:brushProperty name="color" value="#E71224"/>
    </inkml:brush>
  </inkml:definitions>
  <inkml:trace contextRef="#ctx0" brushRef="#br0">0 1 24575,'0'10'0,"0"6"0,0 8 0,0 5 0,0 12 0,0-9 0,0 7 0,0-12 0,0 1 0,0 3 0,0 6 0,0 3 0,0-2 0,0-4 0,0-10 0,0-5 0,0-4 0,0-8 0,0-2 0</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9E762F-64D9-0342-9324-84C55CDBAA74}">
  <we:reference id="WA200010725" version="1.0.0.1" store="Omex" storeType="OMEX"/>
  <we:alternateReferences>
    <we:reference id="WA200010725" version="1.0.0.1" store="WA200010725" storeType="OMEX"/>
  </we:alternateReferences>
  <we:properties>
    <we:property name="claude.fileId" value="&quot;e0faf192-6778-4b8d-8485-c485f9a5cde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DAC0BD-B794-7040-BE80-4ECB2FC06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727</TotalTime>
  <Pages>41</Pages>
  <Words>8476</Words>
  <Characters>42635</Characters>
  <Application>Microsoft Office Word</Application>
  <DocSecurity>0</DocSecurity>
  <Lines>1039</Lines>
  <Paragraphs>615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 jourdan</dc:creator>
  <cp:keywords/>
  <dc:description/>
  <cp:lastModifiedBy>dimitri jourdan</cp:lastModifiedBy>
  <cp:revision>17</cp:revision>
  <dcterms:created xsi:type="dcterms:W3CDTF">2026-09-04T12:05:00Z</dcterms:created>
  <dcterms:modified xsi:type="dcterms:W3CDTF">2026-10-19T15:36:00Z</dcterms:modified>
</cp:coreProperties>
</file>