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64"/>
          <w:szCs w:val="64"/>
        </w:rPr>
        <w:t xml:space="preserve">CONTRÔLE DE GESTION</w:t>
      </w:r>
    </w:p>
    <w:p>
      <w:pPr>
        <w:pBdr>
          <w:bottom w:val="single" w:color="2E75B6" w:sz="18" w:space="8"/>
        </w:pBdr>
        <w:spacing w:after="200"/>
        <w:jc w:val="center"/>
      </w:pPr>
      <w:r>
        <w:rPr>
          <w:color w:val="2E75B6"/>
          <w:sz w:val="32"/>
          <w:szCs w:val="32"/>
        </w:rPr>
        <w:t xml:space="preserve">Cours complet – Licence 2 GM</w:t>
      </w:r>
    </w:p>
    <w:p>
      <w:pPr>
        <w:spacing w:after="600" w:before="300"/>
        <w:jc w:val="center"/>
      </w:pPr>
      <w:r>
        <w:rPr>
          <w:i/>
          <w:iCs/>
          <w:color w:val="595959"/>
          <w:sz w:val="22"/>
          <w:szCs w:val="22"/>
        </w:rPr>
        <w:t xml:space="preserve">Coûts complets • Seuil de rentabilité • Coût marginal • Coûts partiels • Imputation rationnelle • Budgets</w:t>
      </w:r>
    </w:p>
    <w:p>
      <w:pPr>
        <w:spacing w:after="120"/>
      </w:pPr>
      <w:r>
        <w:rPr>
          <w:b/>
          <w:bCs/>
          <w:color w:val="1F3864"/>
          <w:sz w:val="26"/>
          <w:szCs w:val="26"/>
        </w:rPr>
        <w:t xml:space="preserve">Légende des encadrés</w:t>
      </w:r>
    </w:p>
    <w:p>
      <w:pPr>
        <w:pBdr>
          <w:left w:val="single" w:color="2E75B6" w:sz="24" w:space="6"/>
        </w:pBdr>
        <w:shd w:fill="DEEAF6" w:color="auto" w:val="clear"/>
        <w:spacing w:after="80"/>
        <w:ind w:left="200" w:right="200"/>
      </w:pPr>
      <w:r>
        <w:rPr>
          <w:b/>
          <w:bCs/>
          <w:color w:val="2E75B6"/>
        </w:rPr>
        <w:t xml:space="preserve">✎ Formule  </w:t>
      </w:r>
      <w:r>
        <w:t xml:space="preserve">– formules et définitions à connaître</w:t>
      </w:r>
    </w:p>
    <w:p>
      <w:pPr>
        <w:pBdr>
          <w:left w:val="single" w:color="A6A6A6" w:sz="24" w:space="6"/>
        </w:pBdr>
        <w:shd w:fill="F7F7F7" w:color="auto" w:val="clear"/>
        <w:spacing w:after="80"/>
        <w:ind w:left="200" w:right="200"/>
      </w:pPr>
      <w:r>
        <w:rPr>
          <w:b/>
          <w:bCs/>
          <w:color w:val="595959"/>
        </w:rPr>
        <w:t xml:space="preserve">Calculs  </w:t>
      </w:r>
      <w:r>
        <w:t xml:space="preserve">– corrections détaillées pas à pas</w:t>
      </w:r>
    </w:p>
    <w:p>
      <w:pPr>
        <w:pBdr>
          <w:left w:val="single" w:color="C55A11" w:sz="24" w:space="6"/>
        </w:pBdr>
        <w:shd w:fill="FCE4D6" w:color="auto" w:val="clear"/>
        <w:spacing w:after="80"/>
        <w:ind w:left="200" w:right="200"/>
      </w:pPr>
      <w:r>
        <w:rPr>
          <w:b/>
          <w:bCs/>
          <w:color w:val="C55A11"/>
        </w:rPr>
        <w:t xml:space="preserve">⚠ Correction  </w:t>
      </w:r>
      <w:r>
        <w:t xml:space="preserve">– erreur de calcul ou de frappe corrigée par rapport aux notes d'origine</w:t>
      </w:r>
    </w:p>
    <w:p>
      <w:pPr>
        <w:pBdr>
          <w:left w:val="single" w:color="BF9000" w:sz="24" w:space="6"/>
        </w:pBdr>
        <w:shd w:fill="FFF2CC" w:color="auto" w:val="clear"/>
        <w:spacing w:after="80"/>
        <w:ind w:left="200" w:right="200"/>
      </w:pPr>
      <w:r>
        <w:rPr>
          <w:b/>
          <w:bCs/>
          <w:color w:val="BF9000"/>
        </w:rPr>
        <w:t xml:space="preserve">💡 À noter / Complément  </w:t>
      </w:r>
      <w:r>
        <w:t xml:space="preserve">– remarque, ou calcul ajouté qui ne figurait pas dans les notes</w:t>
      </w:r>
    </w:p>
    <w:p>
      <w:pPr>
        <w:pBdr>
          <w:left w:val="single" w:color="548235" w:sz="24" w:space="6"/>
        </w:pBdr>
        <w:shd w:fill="E2EFDA" w:color="auto" w:val="clear"/>
        <w:spacing w:after="80"/>
        <w:ind w:left="200" w:right="200"/>
      </w:pPr>
      <w:r>
        <w:rPr>
          <w:b/>
          <w:bCs/>
          <w:color w:val="548235"/>
        </w:rPr>
        <w:t xml:space="preserve">★ Points à retenir  </w:t>
      </w:r>
      <w:r>
        <w:t xml:space="preserve">– synthèse à la fin de chaque chapitre</w:t>
      </w:r>
    </w:p>
    <w:p>
      <w:pPr>
        <w:spacing w:after="80" w:before="120"/>
        <w:ind w:left="200"/>
      </w:pPr>
      <w:r>
        <w:rPr>
          <w:b/>
          <w:bCs/>
          <w:color w:val="FFFFFF"/>
          <w:sz w:val="20"/>
          <w:szCs w:val="20"/>
          <w:shd w:fill="7030A0" w:color="auto" w:val="clear"/>
        </w:rPr>
        <w:t xml:space="preserve"> 📄 Voir énoncé </w:t>
      </w:r>
      <w:r>
        <w:t xml:space="preserve">  le sujet du cas est dans vos documents de cours</w:t>
      </w:r>
    </w:p>
    <w:p>
      <w:pPr>
        <w:spacing w:after="80"/>
        <w:ind w:left="200"/>
      </w:pPr>
      <w:r>
        <w:rPr>
          <w:b/>
          <w:bCs/>
          <w:color w:val="FFFFFF"/>
          <w:sz w:val="20"/>
          <w:szCs w:val="20"/>
          <w:shd w:fill="217346" w:color="auto" w:val="clear"/>
        </w:rPr>
        <w:t xml:space="preserve"> 📊 Voir Excel </w:t>
      </w:r>
      <w:r>
        <w:t xml:space="preserve">  la correction complète est dans votre fichier Excel d'exemples</w:t>
      </w:r>
    </w:p>
    <w:p>
      <w:pPr>
        <w:pageBreakBefore/>
        <w:pBdr>
          <w:bottom w:val="single" w:color="1F3864" w:sz="12" w:space="4"/>
        </w:pBdr>
        <w:spacing w:after="300"/>
      </w:pPr>
      <w:r>
        <w:rPr>
          <w:b/>
          <w:bCs/>
          <w:color w:val="1F3864"/>
          <w:sz w:val="40"/>
          <w:szCs w:val="40"/>
        </w:rPr>
        <w:t xml:space="preserve">SOMMAIRE</w:t>
      </w:r>
    </w:p>
    <w:p>
      <w:pPr>
        <w:spacing w:after="200"/>
      </w:pPr>
      <w:r>
        <w:rPr>
          <w:i/>
          <w:iCs/>
          <w:color w:val="595959"/>
          <w:sz w:val="18"/>
          <w:szCs w:val="18"/>
        </w:rPr>
        <w:t xml:space="preserve">Cliquez sur un titre pour y accéder (Ctrl + clic dans Word). Le volet de navigation de Word (Affichage › Volet de navigation) donne aussi accès à chaque cas.</w:t>
      </w:r>
    </w:p>
    <w:p>
      <w:pPr>
        <w:keepNext/>
        <w:tabs>
          <w:tab w:val="right" w:pos="9628" w:leader="dot"/>
        </w:tabs>
        <w:spacing w:after="60" w:before="200"/>
        <w:ind w:left="0"/>
      </w:pPr>
      <w:hyperlink w:history="1" w:anchor="ch1">
        <w:r>
          <w:rPr>
            <w:b/>
            <w:bCs/>
            <w:color w:val="2E75B6"/>
            <w:sz w:val="24"/>
            <w:szCs w:val="24"/>
          </w:rPr>
          <w:t xml:space="preserve">Chapitre 1 – Les coûts complets</w:t>
        </w:r>
        <w:r>
          <w:rPr>
            <w:sz w:val="24"/>
            <w:szCs w:val="24"/>
          </w:rPr>
          <w:t xml:space="preserve">	</w:t>
        </w:r>
        <w:r>
          <w:rPr>
            <w:b/>
            <w:bCs/>
            <w:color w:val="2E75B6"/>
            <w:sz w:val="24"/>
            <w:szCs w:val="24"/>
          </w:rPr>
          <w:t xml:space="preserve">3</w:t>
        </w:r>
      </w:hyperlink>
    </w:p>
    <w:p>
      <w:pPr>
        <w:keepNext w:val="false"/>
        <w:tabs>
          <w:tab w:val="right" w:pos="9628" w:leader="dot"/>
        </w:tabs>
        <w:spacing w:after="30" w:before="30"/>
        <w:ind w:left="440"/>
      </w:pPr>
      <w:hyperlink w:history="1" w:anchor="s2">
        <w:r>
          <w:rPr>
            <w:b w:val="false"/>
            <w:bCs w:val="false"/>
            <w:color w:val="262626"/>
            <w:sz w:val="21"/>
            <w:szCs w:val="21"/>
          </w:rPr>
          <w:t xml:space="preserve">1. Cadre d'analyse de la méthode</w:t>
        </w:r>
        <w:r>
          <w:rPr>
            <w:sz w:val="21"/>
            <w:szCs w:val="21"/>
          </w:rPr>
          <w:t xml:space="preserve">	</w:t>
        </w:r>
        <w:r>
          <w:rPr>
            <w:b w:val="false"/>
            <w:bCs w:val="false"/>
            <w:color w:val="262626"/>
            <w:sz w:val="21"/>
            <w:szCs w:val="21"/>
          </w:rPr>
          <w:t xml:space="preserve">3</w:t>
        </w:r>
      </w:hyperlink>
    </w:p>
    <w:p>
      <w:pPr>
        <w:keepNext w:val="false"/>
        <w:tabs>
          <w:tab w:val="right" w:pos="9628" w:leader="dot"/>
        </w:tabs>
        <w:spacing w:after="30" w:before="30"/>
        <w:ind w:left="440"/>
      </w:pPr>
      <w:hyperlink w:history="1" w:anchor="s6">
        <w:r>
          <w:rPr>
            <w:b w:val="false"/>
            <w:bCs w:val="false"/>
            <w:color w:val="262626"/>
            <w:sz w:val="21"/>
            <w:szCs w:val="21"/>
          </w:rPr>
          <w:t xml:space="preserve">2. Les charges intégrées aux coûts</w:t>
        </w:r>
        <w:r>
          <w:rPr>
            <w:sz w:val="21"/>
            <w:szCs w:val="21"/>
          </w:rPr>
          <w:t xml:space="preserve">	</w:t>
        </w:r>
        <w:r>
          <w:rPr>
            <w:b w:val="false"/>
            <w:bCs w:val="false"/>
            <w:color w:val="262626"/>
            <w:sz w:val="21"/>
            <w:szCs w:val="21"/>
          </w:rPr>
          <w:t xml:space="preserve">4</w:t>
        </w:r>
      </w:hyperlink>
    </w:p>
    <w:p>
      <w:pPr>
        <w:keepNext w:val="false"/>
        <w:tabs>
          <w:tab w:val="right" w:pos="9628" w:leader="dot"/>
        </w:tabs>
        <w:spacing w:after="30" w:before="30"/>
        <w:ind w:left="440"/>
      </w:pPr>
      <w:hyperlink w:history="1" w:anchor="s13">
        <w:r>
          <w:rPr>
            <w:b w:val="false"/>
            <w:bCs w:val="false"/>
            <w:color w:val="262626"/>
            <w:sz w:val="21"/>
            <w:szCs w:val="21"/>
          </w:rPr>
          <w:t xml:space="preserve">3. La détermination du coût de revient</w:t>
        </w:r>
        <w:r>
          <w:rPr>
            <w:sz w:val="21"/>
            <w:szCs w:val="21"/>
          </w:rPr>
          <w:t xml:space="preserve">	</w:t>
        </w:r>
        <w:r>
          <w:rPr>
            <w:b w:val="false"/>
            <w:bCs w:val="false"/>
            <w:color w:val="262626"/>
            <w:sz w:val="21"/>
            <w:szCs w:val="21"/>
          </w:rPr>
          <w:t xml:space="preserve">8</w:t>
        </w:r>
      </w:hyperlink>
    </w:p>
    <w:p>
      <w:pPr>
        <w:keepNext/>
        <w:tabs>
          <w:tab w:val="right" w:pos="9628" w:leader="dot"/>
        </w:tabs>
        <w:spacing w:after="60" w:before="200"/>
        <w:ind w:left="0"/>
      </w:pPr>
      <w:hyperlink w:history="1" w:anchor="ch22">
        <w:r>
          <w:rPr>
            <w:b/>
            <w:bCs/>
            <w:color w:val="C55A11"/>
            <w:sz w:val="24"/>
            <w:szCs w:val="24"/>
          </w:rPr>
          <w:t xml:space="preserve">Chapitre 2 – Le seuil de rentabilité</w:t>
        </w:r>
        <w:r>
          <w:rPr>
            <w:sz w:val="24"/>
            <w:szCs w:val="24"/>
          </w:rPr>
          <w:t xml:space="preserve">	</w:t>
        </w:r>
        <w:r>
          <w:rPr>
            <w:b/>
            <w:bCs/>
            <w:color w:val="C55A11"/>
            <w:sz w:val="24"/>
            <w:szCs w:val="24"/>
          </w:rPr>
          <w:t xml:space="preserve">14</w:t>
        </w:r>
      </w:hyperlink>
    </w:p>
    <w:p>
      <w:pPr>
        <w:keepNext w:val="false"/>
        <w:tabs>
          <w:tab w:val="right" w:pos="9628" w:leader="dot"/>
        </w:tabs>
        <w:spacing w:after="30" w:before="30"/>
        <w:ind w:left="440"/>
      </w:pPr>
      <w:hyperlink w:history="1" w:anchor="s23">
        <w:r>
          <w:rPr>
            <w:b w:val="false"/>
            <w:bCs w:val="false"/>
            <w:color w:val="262626"/>
            <w:sz w:val="21"/>
            <w:szCs w:val="21"/>
          </w:rPr>
          <w:t xml:space="preserve">Introduction : raisonner à court terme</w:t>
        </w:r>
        <w:r>
          <w:rPr>
            <w:sz w:val="21"/>
            <w:szCs w:val="21"/>
          </w:rPr>
          <w:t xml:space="preserve">	</w:t>
        </w:r>
        <w:r>
          <w:rPr>
            <w:b w:val="false"/>
            <w:bCs w:val="false"/>
            <w:color w:val="262626"/>
            <w:sz w:val="21"/>
            <w:szCs w:val="21"/>
          </w:rPr>
          <w:t xml:space="preserve">14</w:t>
        </w:r>
      </w:hyperlink>
    </w:p>
    <w:p>
      <w:pPr>
        <w:keepNext w:val="false"/>
        <w:tabs>
          <w:tab w:val="right" w:pos="9628" w:leader="dot"/>
        </w:tabs>
        <w:spacing w:after="30" w:before="30"/>
        <w:ind w:left="440"/>
      </w:pPr>
      <w:hyperlink w:history="1" w:anchor="s24">
        <w:r>
          <w:rPr>
            <w:b w:val="false"/>
            <w:bCs w:val="false"/>
            <w:color w:val="262626"/>
            <w:sz w:val="21"/>
            <w:szCs w:val="21"/>
          </w:rPr>
          <w:t xml:space="preserve">1. Notion de seuil de rentabilité</w:t>
        </w:r>
        <w:r>
          <w:rPr>
            <w:sz w:val="21"/>
            <w:szCs w:val="21"/>
          </w:rPr>
          <w:t xml:space="preserve">	</w:t>
        </w:r>
        <w:r>
          <w:rPr>
            <w:b w:val="false"/>
            <w:bCs w:val="false"/>
            <w:color w:val="262626"/>
            <w:sz w:val="21"/>
            <w:szCs w:val="21"/>
          </w:rPr>
          <w:t xml:space="preserve">14</w:t>
        </w:r>
      </w:hyperlink>
    </w:p>
    <w:p>
      <w:pPr>
        <w:keepNext w:val="false"/>
        <w:tabs>
          <w:tab w:val="right" w:pos="9628" w:leader="dot"/>
        </w:tabs>
        <w:spacing w:after="30" w:before="30"/>
        <w:ind w:left="440"/>
      </w:pPr>
      <w:hyperlink w:history="1" w:anchor="s28">
        <w:r>
          <w:rPr>
            <w:b w:val="false"/>
            <w:bCs w:val="false"/>
            <w:color w:val="262626"/>
            <w:sz w:val="21"/>
            <w:szCs w:val="21"/>
          </w:rPr>
          <w:t xml:space="preserve">2. Le seuil de rentabilité comme outil de simulation</w:t>
        </w:r>
        <w:r>
          <w:rPr>
            <w:sz w:val="21"/>
            <w:szCs w:val="21"/>
          </w:rPr>
          <w:t xml:space="preserve">	</w:t>
        </w:r>
        <w:r>
          <w:rPr>
            <w:b w:val="false"/>
            <w:bCs w:val="false"/>
            <w:color w:val="262626"/>
            <w:sz w:val="21"/>
            <w:szCs w:val="21"/>
          </w:rPr>
          <w:t xml:space="preserve">17</w:t>
        </w:r>
      </w:hyperlink>
    </w:p>
    <w:p>
      <w:pPr>
        <w:keepNext w:val="false"/>
        <w:tabs>
          <w:tab w:val="right" w:pos="9628" w:leader="dot"/>
        </w:tabs>
        <w:spacing w:after="30" w:before="30"/>
        <w:ind w:left="440"/>
      </w:pPr>
      <w:hyperlink w:history="1" w:anchor="s35">
        <w:r>
          <w:rPr>
            <w:b w:val="false"/>
            <w:bCs w:val="false"/>
            <w:color w:val="262626"/>
            <w:sz w:val="21"/>
            <w:szCs w:val="21"/>
          </w:rPr>
          <w:t xml:space="preserve">3. Le seuil de rentabilité en avenir incertain</w:t>
        </w:r>
        <w:r>
          <w:rPr>
            <w:sz w:val="21"/>
            <w:szCs w:val="21"/>
          </w:rPr>
          <w:t xml:space="preserve">	</w:t>
        </w:r>
        <w:r>
          <w:rPr>
            <w:b w:val="false"/>
            <w:bCs w:val="false"/>
            <w:color w:val="262626"/>
            <w:sz w:val="21"/>
            <w:szCs w:val="21"/>
          </w:rPr>
          <w:t xml:space="preserve">24</w:t>
        </w:r>
      </w:hyperlink>
    </w:p>
    <w:p>
      <w:pPr>
        <w:keepNext/>
        <w:tabs>
          <w:tab w:val="right" w:pos="9628" w:leader="dot"/>
        </w:tabs>
        <w:spacing w:after="60" w:before="200"/>
        <w:ind w:left="0"/>
      </w:pPr>
      <w:hyperlink w:history="1" w:anchor="ch39">
        <w:r>
          <w:rPr>
            <w:b/>
            <w:bCs/>
            <w:color w:val="7030A0"/>
            <w:sz w:val="24"/>
            <w:szCs w:val="24"/>
          </w:rPr>
          <w:t xml:space="preserve">Chapitre 3 – Le coût marginal</w:t>
        </w:r>
        <w:r>
          <w:rPr>
            <w:sz w:val="24"/>
            <w:szCs w:val="24"/>
          </w:rPr>
          <w:t xml:space="preserve">	</w:t>
        </w:r>
        <w:r>
          <w:rPr>
            <w:b/>
            <w:bCs/>
            <w:color w:val="7030A0"/>
            <w:sz w:val="24"/>
            <w:szCs w:val="24"/>
          </w:rPr>
          <w:t xml:space="preserve">27</w:t>
        </w:r>
      </w:hyperlink>
    </w:p>
    <w:p>
      <w:pPr>
        <w:keepNext w:val="false"/>
        <w:tabs>
          <w:tab w:val="right" w:pos="9628" w:leader="dot"/>
        </w:tabs>
        <w:spacing w:after="30" w:before="30"/>
        <w:ind w:left="440"/>
      </w:pPr>
      <w:hyperlink w:history="1" w:anchor="s40">
        <w:r>
          <w:rPr>
            <w:b w:val="false"/>
            <w:bCs w:val="false"/>
            <w:color w:val="262626"/>
            <w:sz w:val="21"/>
            <w:szCs w:val="21"/>
          </w:rPr>
          <w:t xml:space="preserve">1. Définition et calcul</w:t>
        </w:r>
        <w:r>
          <w:rPr>
            <w:sz w:val="21"/>
            <w:szCs w:val="21"/>
          </w:rPr>
          <w:t xml:space="preserve">	</w:t>
        </w:r>
        <w:r>
          <w:rPr>
            <w:b w:val="false"/>
            <w:bCs w:val="false"/>
            <w:color w:val="262626"/>
            <w:sz w:val="21"/>
            <w:szCs w:val="21"/>
          </w:rPr>
          <w:t xml:space="preserve">27</w:t>
        </w:r>
      </w:hyperlink>
    </w:p>
    <w:p>
      <w:pPr>
        <w:keepNext w:val="false"/>
        <w:tabs>
          <w:tab w:val="right" w:pos="9628" w:leader="dot"/>
        </w:tabs>
        <w:spacing w:after="30" w:before="30"/>
        <w:ind w:left="440"/>
      </w:pPr>
      <w:hyperlink w:history="1" w:anchor="s41">
        <w:r>
          <w:rPr>
            <w:b w:val="false"/>
            <w:bCs w:val="false"/>
            <w:color w:val="262626"/>
            <w:sz w:val="21"/>
            <w:szCs w:val="21"/>
          </w:rPr>
          <w:t xml:space="preserve">2. Utilisation du coût marginal</w:t>
        </w:r>
        <w:r>
          <w:rPr>
            <w:sz w:val="21"/>
            <w:szCs w:val="21"/>
          </w:rPr>
          <w:t xml:space="preserve">	</w:t>
        </w:r>
        <w:r>
          <w:rPr>
            <w:b w:val="false"/>
            <w:bCs w:val="false"/>
            <w:color w:val="262626"/>
            <w:sz w:val="21"/>
            <w:szCs w:val="21"/>
          </w:rPr>
          <w:t xml:space="preserve">27</w:t>
        </w:r>
      </w:hyperlink>
    </w:p>
    <w:p>
      <w:pPr>
        <w:keepNext/>
        <w:tabs>
          <w:tab w:val="right" w:pos="9628" w:leader="dot"/>
        </w:tabs>
        <w:spacing w:after="60" w:before="200"/>
        <w:ind w:left="0"/>
      </w:pPr>
      <w:hyperlink w:history="1" w:anchor="ch46">
        <w:r>
          <w:rPr>
            <w:b/>
            <w:bCs/>
            <w:color w:val="00897B"/>
            <w:sz w:val="24"/>
            <w:szCs w:val="24"/>
          </w:rPr>
          <w:t xml:space="preserve">Chapitre 4 – Les coûts partiels</w:t>
        </w:r>
        <w:r>
          <w:rPr>
            <w:sz w:val="24"/>
            <w:szCs w:val="24"/>
          </w:rPr>
          <w:t xml:space="preserve">	</w:t>
        </w:r>
        <w:r>
          <w:rPr>
            <w:b/>
            <w:bCs/>
            <w:color w:val="00897B"/>
            <w:sz w:val="24"/>
            <w:szCs w:val="24"/>
          </w:rPr>
          <w:t xml:space="preserve">31</w:t>
        </w:r>
      </w:hyperlink>
    </w:p>
    <w:p>
      <w:pPr>
        <w:keepNext w:val="false"/>
        <w:tabs>
          <w:tab w:val="right" w:pos="9628" w:leader="dot"/>
        </w:tabs>
        <w:spacing w:after="30" w:before="30"/>
        <w:ind w:left="440"/>
      </w:pPr>
      <w:hyperlink w:history="1" w:anchor="s47">
        <w:r>
          <w:rPr>
            <w:b w:val="false"/>
            <w:bCs w:val="false"/>
            <w:color w:val="262626"/>
            <w:sz w:val="21"/>
            <w:szCs w:val="21"/>
          </w:rPr>
          <w:t xml:space="preserve">1. Pourquoi des coûts partiels ?</w:t>
        </w:r>
        <w:r>
          <w:rPr>
            <w:sz w:val="21"/>
            <w:szCs w:val="21"/>
          </w:rPr>
          <w:t xml:space="preserve">	</w:t>
        </w:r>
        <w:r>
          <w:rPr>
            <w:b w:val="false"/>
            <w:bCs w:val="false"/>
            <w:color w:val="262626"/>
            <w:sz w:val="21"/>
            <w:szCs w:val="21"/>
          </w:rPr>
          <w:t xml:space="preserve">31</w:t>
        </w:r>
      </w:hyperlink>
    </w:p>
    <w:p>
      <w:pPr>
        <w:keepNext w:val="false"/>
        <w:tabs>
          <w:tab w:val="right" w:pos="9628" w:leader="dot"/>
        </w:tabs>
        <w:spacing w:after="30" w:before="30"/>
        <w:ind w:left="440"/>
      </w:pPr>
      <w:hyperlink w:history="1" w:anchor="s48">
        <w:r>
          <w:rPr>
            <w:b w:val="false"/>
            <w:bCs w:val="false"/>
            <w:color w:val="262626"/>
            <w:sz w:val="21"/>
            <w:szCs w:val="21"/>
          </w:rPr>
          <w:t xml:space="preserve">2. Les trois méthodes</w:t>
        </w:r>
        <w:r>
          <w:rPr>
            <w:sz w:val="21"/>
            <w:szCs w:val="21"/>
          </w:rPr>
          <w:t xml:space="preserve">	</w:t>
        </w:r>
        <w:r>
          <w:rPr>
            <w:b w:val="false"/>
            <w:bCs w:val="false"/>
            <w:color w:val="262626"/>
            <w:sz w:val="21"/>
            <w:szCs w:val="21"/>
          </w:rPr>
          <w:t xml:space="preserve">31</w:t>
        </w:r>
      </w:hyperlink>
    </w:p>
    <w:p>
      <w:pPr>
        <w:keepNext/>
        <w:tabs>
          <w:tab w:val="right" w:pos="9628" w:leader="dot"/>
        </w:tabs>
        <w:spacing w:after="60" w:before="200"/>
        <w:ind w:left="0"/>
      </w:pPr>
      <w:hyperlink w:history="1" w:anchor="ch52">
        <w:r>
          <w:rPr>
            <w:b/>
            <w:bCs/>
            <w:color w:val="B8860B"/>
            <w:sz w:val="24"/>
            <w:szCs w:val="24"/>
          </w:rPr>
          <w:t xml:space="preserve">Chapitre 5 – L'imputation rationnelle des charges fixes</w:t>
        </w:r>
        <w:r>
          <w:rPr>
            <w:sz w:val="24"/>
            <w:szCs w:val="24"/>
          </w:rPr>
          <w:t xml:space="preserve">	</w:t>
        </w:r>
        <w:r>
          <w:rPr>
            <w:b/>
            <w:bCs/>
            <w:color w:val="B8860B"/>
            <w:sz w:val="24"/>
            <w:szCs w:val="24"/>
          </w:rPr>
          <w:t xml:space="preserve">35</w:t>
        </w:r>
      </w:hyperlink>
    </w:p>
    <w:p>
      <w:pPr>
        <w:keepNext w:val="false"/>
        <w:tabs>
          <w:tab w:val="right" w:pos="9628" w:leader="dot"/>
        </w:tabs>
        <w:spacing w:after="30" w:before="30"/>
        <w:ind w:left="440"/>
      </w:pPr>
      <w:hyperlink w:history="1" w:anchor="s53">
        <w:r>
          <w:rPr>
            <w:b w:val="false"/>
            <w:bCs w:val="false"/>
            <w:color w:val="262626"/>
            <w:sz w:val="21"/>
            <w:szCs w:val="21"/>
          </w:rPr>
          <w:t xml:space="preserve">1. Fondements de la méthode</w:t>
        </w:r>
        <w:r>
          <w:rPr>
            <w:sz w:val="21"/>
            <w:szCs w:val="21"/>
          </w:rPr>
          <w:t xml:space="preserve">	</w:t>
        </w:r>
        <w:r>
          <w:rPr>
            <w:b w:val="false"/>
            <w:bCs w:val="false"/>
            <w:color w:val="262626"/>
            <w:sz w:val="21"/>
            <w:szCs w:val="21"/>
          </w:rPr>
          <w:t xml:space="preserve">35</w:t>
        </w:r>
      </w:hyperlink>
    </w:p>
    <w:p>
      <w:pPr>
        <w:keepNext w:val="false"/>
        <w:tabs>
          <w:tab w:val="right" w:pos="9628" w:leader="dot"/>
        </w:tabs>
        <w:spacing w:after="30" w:before="30"/>
        <w:ind w:left="440"/>
      </w:pPr>
      <w:hyperlink w:history="1" w:anchor="s54">
        <w:r>
          <w:rPr>
            <w:b w:val="false"/>
            <w:bCs w:val="false"/>
            <w:color w:val="262626"/>
            <w:sz w:val="21"/>
            <w:szCs w:val="21"/>
          </w:rPr>
          <w:t xml:space="preserve">2. Mise en œuvre</w:t>
        </w:r>
        <w:r>
          <w:rPr>
            <w:sz w:val="21"/>
            <w:szCs w:val="21"/>
          </w:rPr>
          <w:t xml:space="preserve">	</w:t>
        </w:r>
        <w:r>
          <w:rPr>
            <w:b w:val="false"/>
            <w:bCs w:val="false"/>
            <w:color w:val="262626"/>
            <w:sz w:val="21"/>
            <w:szCs w:val="21"/>
          </w:rPr>
          <w:t xml:space="preserve">35</w:t>
        </w:r>
      </w:hyperlink>
    </w:p>
    <w:p>
      <w:pPr>
        <w:keepNext w:val="false"/>
        <w:tabs>
          <w:tab w:val="right" w:pos="9628" w:leader="dot"/>
        </w:tabs>
        <w:spacing w:after="30" w:before="30"/>
        <w:ind w:left="440"/>
      </w:pPr>
      <w:hyperlink w:history="1" w:anchor="s55">
        <w:r>
          <w:rPr>
            <w:b w:val="false"/>
            <w:bCs w:val="false"/>
            <w:color w:val="262626"/>
            <w:sz w:val="21"/>
            <w:szCs w:val="21"/>
          </w:rPr>
          <w:t xml:space="preserve">3. Champ d'application</w:t>
        </w:r>
        <w:r>
          <w:rPr>
            <w:sz w:val="21"/>
            <w:szCs w:val="21"/>
          </w:rPr>
          <w:t xml:space="preserve">	</w:t>
        </w:r>
        <w:r>
          <w:rPr>
            <w:b w:val="false"/>
            <w:bCs w:val="false"/>
            <w:color w:val="262626"/>
            <w:sz w:val="21"/>
            <w:szCs w:val="21"/>
          </w:rPr>
          <w:t xml:space="preserve">35</w:t>
        </w:r>
      </w:hyperlink>
    </w:p>
    <w:p>
      <w:pPr>
        <w:keepNext/>
        <w:tabs>
          <w:tab w:val="right" w:pos="9628" w:leader="dot"/>
        </w:tabs>
        <w:spacing w:after="60" w:before="200"/>
        <w:ind w:left="0"/>
      </w:pPr>
      <w:hyperlink w:history="1" w:anchor="ch58">
        <w:r>
          <w:rPr>
            <w:b/>
            <w:bCs/>
            <w:color w:val="C00000"/>
            <w:sz w:val="24"/>
            <w:szCs w:val="24"/>
          </w:rPr>
          <w:t xml:space="preserve">Chapitre 6 – Les budgets</w:t>
        </w:r>
        <w:r>
          <w:rPr>
            <w:sz w:val="24"/>
            <w:szCs w:val="24"/>
          </w:rPr>
          <w:t xml:space="preserve">	</w:t>
        </w:r>
        <w:r>
          <w:rPr>
            <w:b/>
            <w:bCs/>
            <w:color w:val="C00000"/>
            <w:sz w:val="24"/>
            <w:szCs w:val="24"/>
          </w:rPr>
          <w:t xml:space="preserve">39</w:t>
        </w:r>
      </w:hyperlink>
    </w:p>
    <w:p>
      <w:pPr>
        <w:keepNext w:val="false"/>
        <w:tabs>
          <w:tab w:val="right" w:pos="9628" w:leader="dot"/>
        </w:tabs>
        <w:spacing w:after="30" w:before="30"/>
        <w:ind w:left="440"/>
      </w:pPr>
      <w:hyperlink w:history="1" w:anchor="s59">
        <w:r>
          <w:rPr>
            <w:b w:val="false"/>
            <w:bCs w:val="false"/>
            <w:color w:val="262626"/>
            <w:sz w:val="21"/>
            <w:szCs w:val="21"/>
          </w:rPr>
          <w:t xml:space="preserve">1. Un budget, c'est quoi ?</w:t>
        </w:r>
        <w:r>
          <w:rPr>
            <w:sz w:val="21"/>
            <w:szCs w:val="21"/>
          </w:rPr>
          <w:t xml:space="preserve">	</w:t>
        </w:r>
        <w:r>
          <w:rPr>
            <w:b w:val="false"/>
            <w:bCs w:val="false"/>
            <w:color w:val="262626"/>
            <w:sz w:val="21"/>
            <w:szCs w:val="21"/>
          </w:rPr>
          <w:t xml:space="preserve">39</w:t>
        </w:r>
      </w:hyperlink>
    </w:p>
    <w:p>
      <w:pPr>
        <w:keepNext w:val="false"/>
        <w:tabs>
          <w:tab w:val="right" w:pos="9628" w:leader="dot"/>
        </w:tabs>
        <w:spacing w:after="30" w:before="30"/>
        <w:ind w:left="440"/>
      </w:pPr>
      <w:hyperlink w:history="1" w:anchor="s63">
        <w:r>
          <w:rPr>
            <w:b w:val="false"/>
            <w:bCs w:val="false"/>
            <w:color w:val="262626"/>
            <w:sz w:val="21"/>
            <w:szCs w:val="21"/>
          </w:rPr>
          <w:t xml:space="preserve">2. Charges, produits et trésorerie</w:t>
        </w:r>
        <w:r>
          <w:rPr>
            <w:sz w:val="21"/>
            <w:szCs w:val="21"/>
          </w:rPr>
          <w:t xml:space="preserve">	</w:t>
        </w:r>
        <w:r>
          <w:rPr>
            <w:b w:val="false"/>
            <w:bCs w:val="false"/>
            <w:color w:val="262626"/>
            <w:sz w:val="21"/>
            <w:szCs w:val="21"/>
          </w:rPr>
          <w:t xml:space="preserve">40</w:t>
        </w:r>
      </w:hyperlink>
    </w:p>
    <w:p>
      <w:pPr>
        <w:keepNext w:val="false"/>
        <w:tabs>
          <w:tab w:val="right" w:pos="9628" w:leader="dot"/>
        </w:tabs>
        <w:spacing w:after="30" w:before="30"/>
        <w:ind w:left="440"/>
      </w:pPr>
      <w:hyperlink w:history="1" w:anchor="s65">
        <w:r>
          <w:rPr>
            <w:b w:val="false"/>
            <w:bCs w:val="false"/>
            <w:color w:val="262626"/>
            <w:sz w:val="21"/>
            <w:szCs w:val="21"/>
          </w:rPr>
          <w:t xml:space="preserve">3. Quels budgets ? Dans quel ordre ?</w:t>
        </w:r>
        <w:r>
          <w:rPr>
            <w:sz w:val="21"/>
            <w:szCs w:val="21"/>
          </w:rPr>
          <w:t xml:space="preserve">	</w:t>
        </w:r>
        <w:r>
          <w:rPr>
            <w:b w:val="false"/>
            <w:bCs w:val="false"/>
            <w:color w:val="262626"/>
            <w:sz w:val="21"/>
            <w:szCs w:val="21"/>
          </w:rPr>
          <w:t xml:space="preserve">40</w:t>
        </w:r>
      </w:hyperlink>
    </w:p>
    <w:p>
      <w:pPr>
        <w:keepNext w:val="false"/>
        <w:tabs>
          <w:tab w:val="right" w:pos="9628" w:leader="dot"/>
        </w:tabs>
        <w:spacing w:after="30" w:before="30"/>
        <w:ind w:left="440"/>
      </w:pPr>
      <w:hyperlink w:history="1" w:anchor="s69">
        <w:r>
          <w:rPr>
            <w:b w:val="false"/>
            <w:bCs w:val="false"/>
            <w:color w:val="262626"/>
            <w:sz w:val="21"/>
            <w:szCs w:val="21"/>
          </w:rPr>
          <w:t xml:space="preserve">4. Le budget de trésorerie</w:t>
        </w:r>
        <w:r>
          <w:rPr>
            <w:sz w:val="21"/>
            <w:szCs w:val="21"/>
          </w:rPr>
          <w:t xml:space="preserve">	</w:t>
        </w:r>
        <w:r>
          <w:rPr>
            <w:b w:val="false"/>
            <w:bCs w:val="false"/>
            <w:color w:val="262626"/>
            <w:sz w:val="21"/>
            <w:szCs w:val="21"/>
          </w:rPr>
          <w:t xml:space="preserve">41</w:t>
        </w:r>
      </w:hyperlink>
    </w:p>
    <w:p>
      <w:pPr>
        <w:keepNext w:val="false"/>
        <w:tabs>
          <w:tab w:val="right" w:pos="9628" w:leader="dot"/>
        </w:tabs>
        <w:spacing w:after="30" w:before="30"/>
        <w:ind w:left="440"/>
      </w:pPr>
      <w:hyperlink w:history="1" w:anchor="s74">
        <w:r>
          <w:rPr>
            <w:b w:val="false"/>
            <w:bCs w:val="false"/>
            <w:color w:val="262626"/>
            <w:sz w:val="21"/>
            <w:szCs w:val="21"/>
          </w:rPr>
          <w:t xml:space="preserve">5. La prévision de la masse salariale</w:t>
        </w:r>
        <w:r>
          <w:rPr>
            <w:sz w:val="21"/>
            <w:szCs w:val="21"/>
          </w:rPr>
          <w:t xml:space="preserve">	</w:t>
        </w:r>
        <w:r>
          <w:rPr>
            <w:b w:val="false"/>
            <w:bCs w:val="false"/>
            <w:color w:val="262626"/>
            <w:sz w:val="21"/>
            <w:szCs w:val="21"/>
          </w:rPr>
          <w:t xml:space="preserve">43</w:t>
        </w:r>
      </w:hyperlink>
    </w:p>
    <w:p>
      <w:pPr>
        <w:pStyle w:val="Heading1"/>
        <w:pageBreakBefore/>
        <w:pBdr>
          <w:left w:val="single" w:color="2E75B6" w:sz="48" w:space="8"/>
        </w:pBdr>
        <w:shd w:fill="2E75B6" w:color="auto" w:val="clear"/>
        <w:spacing w:after="240" w:before="0"/>
        <w:ind w:left="0"/>
      </w:pPr>
      <w:bookmarkStart w:name="ch1" w:id="1"/>
      <w:r>
        <w:rPr>
          <w:b/>
          <w:bCs/>
          <w:color w:val="FFFFFF"/>
          <w:sz w:val="36"/>
          <w:szCs w:val="36"/>
        </w:rPr>
        <w:t xml:space="preserve">Chapitre 1 – Les coûts complets</w:t>
      </w:r>
      <w:bookmarkEnd w:id="1"/>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Définition</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t xml:space="preserve">Un </w:t>
      </w:r>
      <w:r>
        <w:rPr>
          <w:b/>
          <w:bCs/>
        </w:rPr>
        <w:t xml:space="preserve">coût complet</w:t>
      </w:r>
      <w:r>
        <w:t xml:space="preserve"> est un coût qui intègre </w:t>
      </w:r>
      <w:r>
        <w:rPr>
          <w:b/>
          <w:bCs/>
        </w:rPr>
        <w:t xml:space="preserve">l'ensemble des charges</w:t>
      </w:r>
      <w:r>
        <w:t xml:space="preserve"> qui concernent un produit (charges directes + charges indirectes).</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t xml:space="preserve">C'est la méthode encore majoritairement utilisée dans les entreprises françaises, mais elle fait l'objet d'un certain nombre de critiques (répartitions arbitraires des charges indirectes).</w:t>
      </w:r>
    </w:p>
    <w:p>
      <w:pPr>
        <w:spacing w:after="120"/>
      </w:pPr>
    </w:p>
    <w:p>
      <w:pPr>
        <w:pStyle w:val="Heading2"/>
        <w:keepNext/>
        <w:pBdr>
          <w:bottom w:val="single" w:color="2E75B6" w:sz="8" w:space="2"/>
        </w:pBdr>
        <w:spacing w:after="120" w:before="300"/>
      </w:pPr>
      <w:bookmarkStart w:name="s2" w:id="2"/>
      <w:r>
        <w:rPr>
          <w:b/>
          <w:bCs/>
          <w:color w:val="2E75B6"/>
          <w:sz w:val="30"/>
          <w:szCs w:val="30"/>
        </w:rPr>
        <w:t xml:space="preserve">1. Cadre d'analyse de la méthode</w:t>
      </w:r>
      <w:bookmarkEnd w:id="2"/>
    </w:p>
    <w:p>
      <w:pPr>
        <w:pStyle w:val="Heading3"/>
        <w:keepNext/>
        <w:spacing w:after="80" w:before="220"/>
      </w:pPr>
      <w:bookmarkStart w:name="ss3" w:id="3"/>
      <w:r>
        <w:rPr>
          <w:b/>
          <w:bCs/>
          <w:color w:val="1F3864"/>
          <w:sz w:val="25"/>
          <w:szCs w:val="25"/>
        </w:rPr>
        <w:t xml:space="preserve">1.1 Contexte de référence</w:t>
      </w:r>
      <w:bookmarkEnd w:id="3"/>
    </w:p>
    <w:p>
      <w:pPr>
        <w:spacing w:after="100"/>
      </w:pPr>
      <w:r>
        <w:t xml:space="preserve">La méthode des coûts complets est aussi appelée </w:t>
      </w:r>
      <w:r>
        <w:rPr>
          <w:b/>
          <w:bCs/>
        </w:rPr>
        <w:t xml:space="preserve">méthode des sections homogènes</w:t>
      </w:r>
      <w:r>
        <w:t xml:space="preserve"> (on parle aujourd'hui de </w:t>
      </w:r>
      <w:r>
        <w:rPr>
          <w:b/>
          <w:bCs/>
        </w:rPr>
        <w:t xml:space="preserve">centres d'analyse</w:t>
      </w:r>
      <w:r>
        <w:t xml:space="preserve">). Elle a été officialisée par le Plan comptable général et y est restée jusqu'au PCG de 1982 : on parlait alors de </w:t>
      </w:r>
      <w:r>
        <w:rPr>
          <w:b/>
          <w:bCs/>
        </w:rPr>
        <w:t xml:space="preserve">comptabilité industrielle</w:t>
      </w:r>
      <w:r>
        <w:t xml:space="preserve">.</w:t>
      </w:r>
    </w:p>
    <w:p>
      <w:pPr>
        <w:spacing w:after="100"/>
      </w:pPr>
      <w:r>
        <w:t xml:space="preserve">Ce mode de calcul apparaît dans les </w:t>
      </w:r>
      <w:r>
        <w:rPr>
          <w:b/>
          <w:bCs/>
        </w:rPr>
        <w:t xml:space="preserve">années 1930</w:t>
      </w:r>
      <w:r>
        <w:t xml:space="preserve">. À cette époque :</w:t>
      </w:r>
    </w:p>
    <w:p>
      <w:pPr>
        <w:pStyle w:val="ListParagraph"/>
        <w:numPr>
          <w:ilvl w:val="0"/>
          <w:numId w:val="2"/>
        </w:numPr>
        <w:spacing w:after="60"/>
      </w:pPr>
      <w:r>
        <w:t xml:space="preserve">les entreprises fabriquent des </w:t>
      </w:r>
      <w:r>
        <w:rPr>
          <w:b/>
          <w:bCs/>
        </w:rPr>
        <w:t xml:space="preserve">produits homogènes en grandes séries</w:t>
      </w:r>
      <w:r>
        <w:t xml:space="preserve"> ;</w:t>
      </w:r>
    </w:p>
    <w:p>
      <w:pPr>
        <w:pStyle w:val="ListParagraph"/>
        <w:numPr>
          <w:ilvl w:val="0"/>
          <w:numId w:val="2"/>
        </w:numPr>
        <w:spacing w:after="60"/>
      </w:pPr>
      <w:r>
        <w:t xml:space="preserve">les procédés de fabrication sont </w:t>
      </w:r>
      <w:r>
        <w:rPr>
          <w:b/>
          <w:bCs/>
        </w:rPr>
        <w:t xml:space="preserve">stables</w:t>
      </w:r>
      <w:r>
        <w:t xml:space="preserve"> ;</w:t>
      </w:r>
    </w:p>
    <w:p>
      <w:pPr>
        <w:pStyle w:val="ListParagraph"/>
        <w:numPr>
          <w:ilvl w:val="0"/>
          <w:numId w:val="2"/>
        </w:numPr>
        <w:spacing w:after="60"/>
      </w:pPr>
      <w:r>
        <w:t xml:space="preserve">les </w:t>
      </w:r>
      <w:r>
        <w:rPr>
          <w:b/>
          <w:bCs/>
        </w:rPr>
        <w:t xml:space="preserve">consommations directes sont prépondérantes</w:t>
      </w:r>
      <w:r>
        <w:t xml:space="preserve"> dans le coût des produits ;</w:t>
      </w:r>
    </w:p>
    <w:p>
      <w:pPr>
        <w:pStyle w:val="ListParagraph"/>
        <w:numPr>
          <w:ilvl w:val="0"/>
          <w:numId w:val="2"/>
        </w:numPr>
        <w:spacing w:after="60"/>
      </w:pPr>
      <w:r>
        <w:t xml:space="preserve">le travail prend une forme </w:t>
      </w:r>
      <w:r>
        <w:rPr>
          <w:b/>
          <w:bCs/>
        </w:rPr>
        <w:t xml:space="preserve">taylorienne</w:t>
      </w:r>
      <w:r>
        <w:t xml:space="preserve">.</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Vos notes indiquaient « adoptée jusqu'au plan comptable 19 067 » (passage illisible). Il faut lire : méthode reprise par le </w:t>
      </w:r>
      <w:r>
        <w:rPr>
          <w:b/>
          <w:bCs/>
        </w:rPr>
        <w:t xml:space="preserve">PCG de 1947</w:t>
      </w:r>
      <w:r>
        <w:t xml:space="preserve">, puis présente </w:t>
      </w:r>
      <w:r>
        <w:rPr>
          <w:b/>
          <w:bCs/>
        </w:rPr>
        <w:t xml:space="preserve">jusqu'au PCG de 1982</w:t>
      </w:r>
      <w:r>
        <w:t xml:space="preserve">.</w:t>
      </w:r>
    </w:p>
    <w:p>
      <w:pPr>
        <w:spacing w:after="120"/>
      </w:pPr>
    </w:p>
    <w:p>
      <w:pPr>
        <w:pStyle w:val="Heading3"/>
        <w:keepNext/>
        <w:spacing w:after="80" w:before="220"/>
      </w:pPr>
      <w:bookmarkStart w:name="ss4" w:id="4"/>
      <w:r>
        <w:rPr>
          <w:b/>
          <w:bCs/>
          <w:color w:val="1F3864"/>
          <w:sz w:val="25"/>
          <w:szCs w:val="25"/>
        </w:rPr>
        <w:t xml:space="preserve">1.2 Principes fondateurs</w:t>
      </w:r>
      <w:bookmarkEnd w:id="4"/>
    </w:p>
    <w:p>
      <w:pPr>
        <w:spacing w:after="100"/>
      </w:pPr>
      <w:r>
        <w:t xml:space="preserve">On distingue les </w:t>
      </w:r>
      <w:r>
        <w:rPr>
          <w:b/>
          <w:bCs/>
        </w:rPr>
        <w:t xml:space="preserve">charges directes</w:t>
      </w:r>
      <w:r>
        <w:t xml:space="preserve"> et les </w:t>
      </w:r>
      <w:r>
        <w:rPr>
          <w:b/>
          <w:bCs/>
        </w:rPr>
        <w:t xml:space="preserve">charges indirectes</w:t>
      </w:r>
      <w:r>
        <w:t xml:space="preserve"> (c'est fondamental) :</w:t>
      </w:r>
    </w:p>
    <w:p>
      <w:pPr>
        <w:pStyle w:val="ListParagraph"/>
        <w:numPr>
          <w:ilvl w:val="0"/>
          <w:numId w:val="2"/>
        </w:numPr>
        <w:spacing w:after="60"/>
      </w:pPr>
      <w:r>
        <w:rPr>
          <w:b/>
          <w:bCs/>
        </w:rPr>
        <w:t xml:space="preserve">Charges directes</w:t>
      </w:r>
      <w:r>
        <w:t xml:space="preserve"> : elles sont </w:t>
      </w:r>
      <w:r>
        <w:rPr>
          <w:b/>
          <w:bCs/>
        </w:rPr>
        <w:t xml:space="preserve">affectées directement</w:t>
      </w:r>
      <w:r>
        <w:t xml:space="preserve"> au coût des produits, sans calcul intermédiaire. Ex. : matières premières, main-d'œuvre directe (MOD).</w:t>
      </w:r>
    </w:p>
    <w:p>
      <w:pPr>
        <w:pStyle w:val="ListParagraph"/>
        <w:numPr>
          <w:ilvl w:val="0"/>
          <w:numId w:val="2"/>
        </w:numPr>
        <w:spacing w:after="60"/>
      </w:pPr>
      <w:r>
        <w:rPr>
          <w:b/>
          <w:bCs/>
        </w:rPr>
        <w:t xml:space="preserve">Charges indirectes</w:t>
      </w:r>
      <w:r>
        <w:t xml:space="preserve"> : elles concernent plusieurs produits. Elles sont d'abord regroupées dans des </w:t>
      </w:r>
      <w:r>
        <w:rPr>
          <w:b/>
          <w:bCs/>
        </w:rPr>
        <w:t xml:space="preserve">centres d'analyse</w:t>
      </w:r>
      <w:r>
        <w:t xml:space="preserve">, puis </w:t>
      </w:r>
      <w:r>
        <w:rPr>
          <w:b/>
          <w:bCs/>
        </w:rPr>
        <w:t xml:space="preserve">imputées</w:t>
      </w:r>
      <w:r>
        <w:t xml:space="preserve"> aux produits par le biais d'une grandeur corrélée aux charges du centre : l'</w:t>
      </w:r>
      <w:r>
        <w:rPr>
          <w:b/>
          <w:bCs/>
        </w:rPr>
        <w:t xml:space="preserve">unité d'œuvre (UO)</w:t>
      </w:r>
      <w:r>
        <w:t xml:space="preserve">.</w:t>
      </w:r>
    </w:p>
    <w:p>
      <w:pPr>
        <w:pStyle w:val="Heading3"/>
        <w:keepNext/>
        <w:spacing w:after="80" w:before="220"/>
      </w:pPr>
      <w:bookmarkStart w:name="ss5" w:id="5"/>
      <w:r>
        <w:rPr>
          <w:b/>
          <w:bCs/>
          <w:color w:val="1F3864"/>
          <w:sz w:val="25"/>
          <w:szCs w:val="25"/>
        </w:rPr>
        <w:t xml:space="preserve">1.3 Organisation générale de la méthode</w:t>
      </w:r>
      <w:bookmarkEnd w:id="5"/>
    </w:p>
    <w:p>
      <w:pPr>
        <w:spacing w:after="100"/>
      </w:pPr>
      <w:r>
        <w:t xml:space="preserve">Le cycle d'exploitation de l'entreprise se résume en trois phases : </w:t>
      </w:r>
      <w:r>
        <w:rPr>
          <w:b/>
          <w:bCs/>
        </w:rPr>
        <w:t xml:space="preserve">1. Approvisionnement → 2. Production → 3. Distribution</w:t>
      </w:r>
      <w:r>
        <w:t xml:space="preserve">.</w:t>
      </w:r>
    </w:p>
    <w:p>
      <w:pPr>
        <w:spacing w:after="100"/>
      </w:pPr>
      <w:r>
        <w:t xml:space="preserve">Les charges de la comptabilité générale doivent donc être rattachées à l'une de ces étapes pour constituer :</w:t>
      </w:r>
    </w:p>
    <w:p>
      <w:pPr>
        <w:pStyle w:val="ListParagraph"/>
        <w:numPr>
          <w:ilvl w:val="0"/>
          <w:numId w:val="2"/>
        </w:numPr>
        <w:spacing w:after="60"/>
      </w:pPr>
      <w:r>
        <w:t xml:space="preserve">un </w:t>
      </w:r>
      <w:r>
        <w:rPr>
          <w:b/>
          <w:bCs/>
        </w:rPr>
        <w:t xml:space="preserve">coût d'achat</w:t>
      </w:r>
      <w:r>
        <w:t xml:space="preserve"> (approvisionnement) ;</w:t>
      </w:r>
    </w:p>
    <w:p>
      <w:pPr>
        <w:pStyle w:val="ListParagraph"/>
        <w:numPr>
          <w:ilvl w:val="0"/>
          <w:numId w:val="2"/>
        </w:numPr>
        <w:spacing w:after="60"/>
      </w:pPr>
      <w:r>
        <w:t xml:space="preserve">un </w:t>
      </w:r>
      <w:r>
        <w:rPr>
          <w:b/>
          <w:bCs/>
        </w:rPr>
        <w:t xml:space="preserve">coût de production</w:t>
      </w:r>
      <w:r>
        <w:t xml:space="preserve"> ;</w:t>
      </w:r>
    </w:p>
    <w:p>
      <w:pPr>
        <w:pStyle w:val="ListParagraph"/>
        <w:numPr>
          <w:ilvl w:val="0"/>
          <w:numId w:val="2"/>
        </w:numPr>
        <w:spacing w:after="60"/>
      </w:pPr>
      <w:r>
        <w:t xml:space="preserve">un </w:t>
      </w:r>
      <w:r>
        <w:rPr>
          <w:b/>
          <w:bCs/>
        </w:rPr>
        <w:t xml:space="preserve">coût de distribution</w:t>
      </w:r>
      <w:r>
        <w:t xml:space="preserve"> (coûts hors production) ;</w:t>
      </w:r>
    </w:p>
    <w:p>
      <w:pPr>
        <w:pStyle w:val="ListParagraph"/>
        <w:numPr>
          <w:ilvl w:val="0"/>
          <w:numId w:val="2"/>
        </w:numPr>
        <w:spacing w:after="60"/>
      </w:pPr>
      <w:r>
        <w:t xml:space="preserve">et au final un </w:t>
      </w:r>
      <w:r>
        <w:rPr>
          <w:b/>
          <w:bCs/>
        </w:rPr>
        <w:t xml:space="preserve">coût de revient</w:t>
      </w:r>
      <w:r>
        <w:t xml:space="preserv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La « cascade » des coûts</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Coût d'achat  →  Coût de production  →  Coût de revient</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Coût de revient</w:t>
      </w:r>
      <w:r>
        <w:rPr>
          <w:b w:val="false"/>
          <w:bCs w:val="false"/>
        </w:rPr>
        <w:t xml:space="preserve"> = Coût de production des produits vendus + Coûts hors production (distribution, administration)</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Résultat analytique</w:t>
      </w:r>
      <w:r>
        <w:rPr>
          <w:b w:val="false"/>
          <w:bCs w:val="false"/>
        </w:rPr>
        <w:t xml:space="preserve"> = Chiffre d'affaires – Coût de revient</w:t>
      </w:r>
    </w:p>
    <w:p>
      <w:pPr>
        <w:spacing w:after="120"/>
      </w:pPr>
    </w:p>
    <w:p>
      <w:pPr>
        <w:pStyle w:val="Heading2"/>
        <w:keepNext/>
        <w:pBdr>
          <w:bottom w:val="single" w:color="2E75B6" w:sz="8" w:space="2"/>
        </w:pBdr>
        <w:spacing w:after="120" w:before="300"/>
      </w:pPr>
      <w:bookmarkStart w:name="s6" w:id="6"/>
      <w:r>
        <w:rPr>
          <w:b/>
          <w:bCs/>
          <w:color w:val="2E75B6"/>
          <w:sz w:val="30"/>
          <w:szCs w:val="30"/>
        </w:rPr>
        <w:t xml:space="preserve">2. Les charges intégrées aux coûts</w:t>
      </w:r>
      <w:bookmarkEnd w:id="6"/>
    </w:p>
    <w:p>
      <w:pPr>
        <w:pStyle w:val="Heading3"/>
        <w:keepNext/>
        <w:spacing w:after="80" w:before="220"/>
      </w:pPr>
      <w:bookmarkStart w:name="ss7" w:id="7"/>
      <w:r>
        <w:rPr>
          <w:b/>
          <w:bCs/>
          <w:color w:val="1F3864"/>
          <w:sz w:val="25"/>
          <w:szCs w:val="25"/>
        </w:rPr>
        <w:t xml:space="preserve">2.1 Les charges, éléments constitutifs des coûts</w:t>
      </w:r>
      <w:bookmarkEnd w:id="7"/>
    </w:p>
    <w:p>
      <w:pPr>
        <w:spacing w:after="100"/>
      </w:pPr>
      <w:r>
        <w:t xml:space="preserve">On intègre dans les coûts les charges de la comptabilité générale </w:t>
      </w:r>
      <w:r>
        <w:rPr>
          <w:b/>
          <w:bCs/>
        </w:rPr>
        <w:t xml:space="preserve">justifiées économiquement</w:t>
      </w:r>
      <w:r>
        <w:t xml:space="preserve">. Pour cela, on opère certains </w:t>
      </w:r>
      <w:r>
        <w:rPr>
          <w:b/>
          <w:bCs/>
        </w:rPr>
        <w:t xml:space="preserve">retraitements</w:t>
      </w:r>
      <w:r>
        <w:t xml:space="preserve"> :</w:t>
      </w:r>
    </w:p>
    <w:p>
      <w:pPr>
        <w:pStyle w:val="ListParagraph"/>
        <w:numPr>
          <w:ilvl w:val="0"/>
          <w:numId w:val="2"/>
        </w:numPr>
        <w:spacing w:after="60"/>
      </w:pPr>
      <w:r>
        <w:rPr>
          <w:b/>
          <w:bCs/>
        </w:rPr>
        <w:t xml:space="preserve">Charges non incorporables</w:t>
      </w:r>
      <w:r>
        <w:t xml:space="preserve"> : charges sans rapport avec l'activité économique normale (ex. : prime d'assurance-vie sur la tête de l'exploitant, charges exceptionnelles) ou qui n'ont pas le caractère de charges (IS, participation des salariés). Elles </w:t>
      </w:r>
      <w:r>
        <w:rPr>
          <w:b/>
          <w:bCs/>
        </w:rPr>
        <w:t xml:space="preserve">ne sont pas retenues</w:t>
      </w:r>
      <w:r>
        <w:t xml:space="preserve"> par la comptabilité de gestion.</w:t>
      </w:r>
    </w:p>
    <w:p>
      <w:pPr>
        <w:pStyle w:val="ListParagraph"/>
        <w:numPr>
          <w:ilvl w:val="0"/>
          <w:numId w:val="2"/>
        </w:numPr>
        <w:spacing w:after="60"/>
      </w:pPr>
      <w:r>
        <w:rPr>
          <w:b/>
          <w:bCs/>
        </w:rPr>
        <w:t xml:space="preserve">Charges calculées</w:t>
      </w:r>
      <w:r>
        <w:t xml:space="preserve"> (ou d'« abonnement ») : elles sont incorporées pour un montant </w:t>
      </w:r>
      <w:r>
        <w:rPr>
          <w:b/>
          <w:bCs/>
        </w:rPr>
        <w:t xml:space="preserve">différent</w:t>
      </w:r>
      <w:r>
        <w:t xml:space="preserve"> de celui de la comptabilité générale. Ex. : une prime d'assurance versée annuellement alors qu'on calcule les coûts mensuellement → on incorpore </w:t>
      </w:r>
      <w:r>
        <w:rPr>
          <w:b/>
          <w:bCs/>
        </w:rPr>
        <w:t xml:space="preserve">1/12</w:t>
      </w:r>
      <w:r>
        <w:t xml:space="preserve"> de la prime chaque mois.</w:t>
      </w:r>
    </w:p>
    <w:p>
      <w:pPr>
        <w:pStyle w:val="ListParagraph"/>
        <w:numPr>
          <w:ilvl w:val="0"/>
          <w:numId w:val="2"/>
        </w:numPr>
        <w:spacing w:after="60"/>
      </w:pPr>
      <w:r>
        <w:rPr>
          <w:b/>
          <w:bCs/>
        </w:rPr>
        <w:t xml:space="preserve">Charges supplétives</w:t>
      </w:r>
      <w:r>
        <w:t xml:space="preserve"> : charges incorporées aux coûts mais </w:t>
      </w:r>
      <w:r>
        <w:rPr>
          <w:b/>
          <w:bCs/>
        </w:rPr>
        <w:t xml:space="preserve">qui ne figurent pas en comptabilité générale</w:t>
      </w:r>
      <w:r>
        <w:t xml:space="preserve"> pour des raisons juridiques ou fiscales. Ex. : la </w:t>
      </w:r>
      <w:r>
        <w:rPr>
          <w:b/>
          <w:bCs/>
        </w:rPr>
        <w:t xml:space="preserve">rémunération conventionnelle des capitaux propres</w:t>
      </w:r>
      <w:r>
        <w:t xml:space="preserve">, la rémunération de l'exploitant individuel.</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Charges incorporées</w:t>
      </w:r>
      <w:r>
        <w:rPr>
          <w:b w:val="false"/>
          <w:bCs w:val="false"/>
        </w:rPr>
        <w:t xml:space="preserve"> = Charges de la CG – Charges non incorporables ± Différences d'incorporation + Charges supplétives</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Rapprochement</w:t>
      </w:r>
      <w:r>
        <w:rPr>
          <w:b w:val="false"/>
          <w:bCs w:val="false"/>
        </w:rPr>
        <w:t xml:space="preserve"> : Résultat CG = Résultat analytique – Charges non incorporables + Charges supplétives (+ produits non incorporables)</w:t>
      </w:r>
    </w:p>
    <w:p>
      <w:pPr>
        <w:spacing w:after="120"/>
      </w:pPr>
    </w:p>
    <w:p>
      <w:pPr>
        <w:pStyle w:val="Heading3"/>
        <w:keepNext/>
        <w:pBdr>
          <w:left w:val="single" w:color="2E75B6" w:sz="24" w:space="6"/>
        </w:pBdr>
        <w:shd w:fill="DEEAF6" w:color="auto" w:val="clear"/>
        <w:spacing w:after="100" w:before="280"/>
      </w:pPr>
      <w:bookmarkStart w:name="cas8" w:id="8"/>
      <w:r>
        <w:rPr>
          <w:b/>
          <w:bCs/>
          <w:color w:val="2E75B6"/>
          <w:sz w:val="25"/>
          <w:szCs w:val="25"/>
        </w:rPr>
        <w:t xml:space="preserve">📌 Cas INCORP – Charges incorporables</w:t>
      </w:r>
      <w:bookmarkEnd w:id="8"/>
    </w:p>
    <w:p>
      <w:pPr>
        <w:spacing w:after="120" w:before="60"/>
      </w:pPr>
      <w:r>
        <w:rPr>
          <w:b/>
          <w:bCs/>
          <w:color w:val="FFFFFF"/>
          <w:sz w:val="20"/>
          <w:szCs w:val="20"/>
          <w:shd w:fill="7030A0" w:color="auto" w:val="clear"/>
        </w:rPr>
        <w:t xml:space="preserve"> 📄 Voir énoncé – Cas INCORP </w:t>
      </w:r>
    </w:p>
    <w:p>
      <w:pPr>
        <w:spacing w:after="100"/>
      </w:pPr>
      <w:r>
        <w:rPr>
          <w:b/>
          <w:bCs/>
        </w:rPr>
        <w:t xml:space="preserve">1. Éléments incorporables (I) et non incorporables (NI)</w:t>
      </w:r>
    </w:p>
    <w:p>
      <w:pPr>
        <w:spacing w:after="100"/>
      </w:pPr>
      <w:r>
        <w:t xml:space="preserve">Non incorporables : comptes </w:t>
      </w:r>
      <w:r>
        <w:rPr>
          <w:b/>
          <w:bCs/>
        </w:rPr>
        <w:t xml:space="preserve">6544</w:t>
      </w:r>
      <w:r>
        <w:t xml:space="preserve"> (pertes sur créances antérieures), </w:t>
      </w:r>
      <w:r>
        <w:rPr>
          <w:b/>
          <w:bCs/>
        </w:rPr>
        <w:t xml:space="preserve">666</w:t>
      </w:r>
      <w:r>
        <w:t xml:space="preserve"> (pertes de change), </w:t>
      </w:r>
      <w:r>
        <w:rPr>
          <w:b/>
          <w:bCs/>
        </w:rPr>
        <w:t xml:space="preserve">671</w:t>
      </w:r>
      <w:r>
        <w:t xml:space="preserve"> (charges exceptionnelles sur opérations de gestion), </w:t>
      </w:r>
      <w:r>
        <w:rPr>
          <w:b/>
          <w:bCs/>
        </w:rPr>
        <w:t xml:space="preserve">675</w:t>
      </w:r>
      <w:r>
        <w:t xml:space="preserve"> (VNC des actifs cédés), </w:t>
      </w:r>
      <w:r>
        <w:rPr>
          <w:b/>
          <w:bCs/>
        </w:rPr>
        <w:t xml:space="preserve">68111</w:t>
      </w:r>
      <w:r>
        <w:t xml:space="preserve"> (dotations aux amortissements des frais de constitution), </w:t>
      </w:r>
      <w:r>
        <w:rPr>
          <w:b/>
          <w:bCs/>
        </w:rPr>
        <w:t xml:space="preserve">7626</w:t>
      </w:r>
      <w:r>
        <w:t xml:space="preserve"> (revenus des prêts), </w:t>
      </w:r>
      <w:r>
        <w:rPr>
          <w:b/>
          <w:bCs/>
        </w:rPr>
        <w:t xml:space="preserve">766</w:t>
      </w:r>
      <w:r>
        <w:t xml:space="preserve"> (gains de change), </w:t>
      </w:r>
      <w:r>
        <w:rPr>
          <w:b/>
          <w:bCs/>
        </w:rPr>
        <w:t xml:space="preserve">775</w:t>
      </w:r>
      <w:r>
        <w:t xml:space="preserve"> (produits de cession). Tous les autres éléments sont incorporables.</w:t>
      </w:r>
    </w:p>
    <w:p>
      <w:pPr>
        <w:spacing w:after="100"/>
      </w:pPr>
      <w:r>
        <w:rPr>
          <w:b/>
          <w:bCs/>
        </w:rPr>
        <w:t xml:space="preserve">2. Charges d'assurance</w:t>
      </w:r>
      <w:r>
        <w:t xml:space="preserve"> → on utilise la technique de l'</w:t>
      </w:r>
      <w:r>
        <w:rPr>
          <w:b/>
          <w:bCs/>
        </w:rPr>
        <w:t xml:space="preserve">abonnement</w:t>
      </w:r>
      <w:r>
        <w:t xml:space="preserve"> (la comptabilité de gestion est trimestrielle)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Montant trimestriel = (10 500 + 6 300) × 3 / 12 = 16 800 × 0,25 = </w:t>
      </w:r>
      <w:r>
        <w:rPr>
          <w:b/>
          <w:bCs/>
        </w:rPr>
        <w:t xml:space="preserve">4 200 €</w:t>
      </w:r>
    </w:p>
    <w:p>
      <w:pPr>
        <w:spacing w:after="120"/>
      </w:pPr>
    </w:p>
    <w:p>
      <w:pPr>
        <w:spacing w:after="100"/>
      </w:pPr>
      <w:r>
        <w:rPr>
          <w:b/>
          <w:bCs/>
        </w:rPr>
        <w:t xml:space="preserve">3. Charges supplétives</w:t>
      </w:r>
      <w:r>
        <w:t xml:space="preserve"> (rémunération des capitaux propres au coût moyen de l'endettement)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moyen des dettes = (450 000 × 6,20 % + 550 000 × 5,60 %) / (450 000 + 550 000)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 (27 900 + 30 800) / 1 000 000 = 58 700 / 1 000 000 = </w:t>
      </w:r>
      <w:r>
        <w:rPr>
          <w:b/>
          <w:bCs/>
        </w:rPr>
        <w:t xml:space="preserve">5,87 %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Charges supplétives annuelles = 1 480 000 × 5,87 % = </w:t>
      </w:r>
      <w:r>
        <w:rPr>
          <w:b/>
          <w:bCs/>
        </w:rPr>
        <w:t xml:space="preserve">86 876 €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Soit sur le trimestre : 86 876 × 3 / 12 = </w:t>
      </w:r>
      <w:r>
        <w:rPr>
          <w:b/>
          <w:bCs/>
        </w:rPr>
        <w:t xml:space="preserve">21 719 €</w:t>
      </w:r>
    </w:p>
    <w:p>
      <w:pPr>
        <w:spacing w:after="120"/>
      </w:pPr>
    </w:p>
    <w:p>
      <w:pPr>
        <w:pStyle w:val="Heading3"/>
        <w:keepNext/>
        <w:spacing w:after="80" w:before="220"/>
      </w:pPr>
      <w:bookmarkStart w:name="ss9" w:id="9"/>
      <w:r>
        <w:rPr>
          <w:b/>
          <w:bCs/>
          <w:color w:val="1F3864"/>
          <w:sz w:val="25"/>
          <w:szCs w:val="25"/>
        </w:rPr>
        <w:t xml:space="preserve">2.2 Le traitement des charges indirectes</w:t>
      </w:r>
      <w:bookmarkEnd w:id="9"/>
    </w:p>
    <w:p>
      <w:pPr>
        <w:spacing w:after="100"/>
      </w:pPr>
      <w:r>
        <w:rPr>
          <w:b/>
          <w:bCs/>
        </w:rPr>
        <w:t xml:space="preserve">Les centres d'analyse</w:t>
      </w:r>
      <w:r>
        <w:t xml:space="preserve"> : un centre d'analyse est une partie de l'entreprise dans laquelle on regroupe toutes les charges relatives à une </w:t>
      </w:r>
      <w:r>
        <w:rPr>
          <w:b/>
          <w:bCs/>
        </w:rPr>
        <w:t xml:space="preserve">même activité</w:t>
      </w:r>
      <w:r>
        <w:t xml:space="preserve"> (ex. : un atelier de réparation, le service marketing, une ligne de production…).</w:t>
      </w:r>
    </w:p>
    <w:p>
      <w:pPr>
        <w:spacing w:after="100"/>
      </w:pPr>
      <w:r>
        <w:t xml:space="preserve">On opère une </w:t>
      </w:r>
      <w:r>
        <w:rPr>
          <w:b/>
          <w:bCs/>
        </w:rPr>
        <w:t xml:space="preserve">double distinction</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2095"/>
        <w:gridCol w:w="5239"/>
      </w:tblGrid>
      <w:tr>
        <w:trPr>
          <w:cantSplit/>
          <w:tblHeader/>
        </w:trPr>
        <w:tc>
          <w:tcPr>
            <w:tcW w:type="dxa" w:w="230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Distinction</w:t>
            </w:r>
          </w:p>
        </w:tc>
        <w:tc>
          <w:tcPr>
            <w:tcW w:type="dxa" w:w="209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Type de centre</w:t>
            </w:r>
          </w:p>
        </w:tc>
        <w:tc>
          <w:tcPr>
            <w:tcW w:type="dxa" w:w="523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Caractéristique</w:t>
            </w:r>
          </w:p>
        </w:tc>
      </w:tr>
      <w:tr>
        <w:trPr>
          <w:cantSplit/>
          <w:tblHeader w:val="false"/>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Selon la mesure de l'activité</w:t>
            </w:r>
          </w:p>
        </w:tc>
        <w:tc>
          <w:tcPr>
            <w:tcW w:type="dxa" w:w="2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Centres </w:t>
            </w:r>
            <w:r>
              <w:rPr>
                <w:b/>
                <w:bCs/>
                <w:sz w:val="20"/>
                <w:szCs w:val="20"/>
              </w:rPr>
              <w:t xml:space="preserve">opérationnels</w:t>
            </w:r>
          </w:p>
        </w:tc>
        <w:tc>
          <w:tcPr>
            <w:tcW w:type="dxa" w:w="52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Leur activité se mesure par une unité physique : l'</w:t>
            </w:r>
            <w:r>
              <w:rPr>
                <w:b/>
                <w:bCs/>
                <w:sz w:val="20"/>
                <w:szCs w:val="20"/>
              </w:rPr>
              <w:t xml:space="preserve">unité d'œuvre</w:t>
            </w:r>
            <w:r>
              <w:rPr>
                <w:sz w:val="20"/>
                <w:szCs w:val="20"/>
              </w:rPr>
              <w:t xml:space="preserve"> (heure-machine, kg acheté…)</w:t>
            </w:r>
          </w:p>
        </w:tc>
      </w:tr>
      <w:tr>
        <w:trPr>
          <w:cantSplit/>
          <w:tblHeader w:val="false"/>
        </w:trPr>
        <w:tc>
          <w:tcPr>
            <w:tcW w:type="dxa" w:w="23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p>
        </w:tc>
        <w:tc>
          <w:tcPr>
            <w:tcW w:type="dxa" w:w="209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Centres de </w:t>
            </w:r>
            <w:r>
              <w:rPr>
                <w:b/>
                <w:bCs/>
                <w:sz w:val="20"/>
                <w:szCs w:val="20"/>
              </w:rPr>
              <w:t xml:space="preserve">structure</w:t>
            </w:r>
          </w:p>
        </w:tc>
        <w:tc>
          <w:tcPr>
            <w:tcW w:type="dxa" w:w="523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Pas d'unité physique → on utilise un </w:t>
            </w:r>
            <w:r>
              <w:rPr>
                <w:b/>
                <w:bCs/>
                <w:sz w:val="20"/>
                <w:szCs w:val="20"/>
              </w:rPr>
              <w:t xml:space="preserve">taux de frais</w:t>
            </w:r>
            <w:r>
              <w:rPr>
                <w:sz w:val="20"/>
                <w:szCs w:val="20"/>
              </w:rPr>
              <w:t xml:space="preserve"> (assiette en € : coût de production, CA…)</w:t>
            </w:r>
          </w:p>
        </w:tc>
      </w:tr>
      <w:tr>
        <w:trPr>
          <w:cantSplit/>
          <w:tblHeader w:val="false"/>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Selon la destination</w:t>
            </w:r>
          </w:p>
        </w:tc>
        <w:tc>
          <w:tcPr>
            <w:tcW w:type="dxa" w:w="2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Centres </w:t>
            </w:r>
            <w:r>
              <w:rPr>
                <w:b/>
                <w:bCs/>
                <w:sz w:val="20"/>
                <w:szCs w:val="20"/>
              </w:rPr>
              <w:t xml:space="preserve">auxiliaires</w:t>
            </w:r>
          </w:p>
        </w:tc>
        <w:tc>
          <w:tcPr>
            <w:tcW w:type="dxa" w:w="523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Leurs charges sont réparties sur </w:t>
            </w:r>
            <w:r>
              <w:rPr>
                <w:b/>
                <w:bCs/>
                <w:sz w:val="20"/>
                <w:szCs w:val="20"/>
              </w:rPr>
              <w:t xml:space="preserve">d'autres centres</w:t>
            </w:r>
            <w:r>
              <w:rPr>
                <w:sz w:val="20"/>
                <w:szCs w:val="20"/>
              </w:rPr>
              <w:t xml:space="preserve"> (ex. : entretien, gestion du personnel)</w:t>
            </w:r>
          </w:p>
        </w:tc>
      </w:tr>
      <w:tr>
        <w:trPr>
          <w:cantSplit/>
          <w:tblHeader w:val="false"/>
        </w:trPr>
        <w:tc>
          <w:tcPr>
            <w:tcW w:type="dxa" w:w="23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p>
        </w:tc>
        <w:tc>
          <w:tcPr>
            <w:tcW w:type="dxa" w:w="209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Centres </w:t>
            </w:r>
            <w:r>
              <w:rPr>
                <w:b/>
                <w:bCs/>
                <w:sz w:val="20"/>
                <w:szCs w:val="20"/>
              </w:rPr>
              <w:t xml:space="preserve">principaux</w:t>
            </w:r>
          </w:p>
        </w:tc>
        <w:tc>
          <w:tcPr>
            <w:tcW w:type="dxa" w:w="523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Leurs charges sont imputées </w:t>
            </w:r>
            <w:r>
              <w:rPr>
                <w:b/>
                <w:bCs/>
                <w:sz w:val="20"/>
                <w:szCs w:val="20"/>
              </w:rPr>
              <w:t xml:space="preserve">directement au coût des produits</w:t>
            </w:r>
          </w:p>
        </w:tc>
      </w:tr>
    </w:tbl>
    <w:p>
      <w:pPr>
        <w:spacing w:after="120"/>
      </w:pPr>
    </w:p>
    <w:p>
      <w:pPr>
        <w:spacing w:after="100"/>
      </w:pPr>
      <w:r>
        <w:t xml:space="preserve">Pour chaque centre, on cherche un indicateur dont la valeur </w:t>
      </w:r>
      <w:r>
        <w:rPr>
          <w:b/>
          <w:bCs/>
        </w:rPr>
        <w:t xml:space="preserve">varie avec l'activité du centre</w:t>
      </w:r>
      <w:r>
        <w:t xml:space="preserve">. Ex. : pour le centre Approvisionnement, ce peut être la </w:t>
      </w:r>
      <w:r>
        <w:rPr>
          <w:b/>
          <w:bCs/>
        </w:rPr>
        <w:t xml:space="preserve">quantité de matières premières achetées</w:t>
      </w:r>
      <w:r>
        <w:t xml:space="preserve">. Cet indicateur s'appelle l'</w:t>
      </w:r>
      <w:r>
        <w:rPr>
          <w:b/>
          <w:bCs/>
        </w:rPr>
        <w:t xml:space="preserve">unité d'œuvre</w:t>
      </w:r>
      <w:r>
        <w:t xml:space="preserve">.</w:t>
      </w:r>
    </w:p>
    <w:p>
      <w:pPr>
        <w:spacing w:after="100"/>
      </w:pPr>
      <w:r>
        <w:rPr>
          <w:b/>
          <w:bCs/>
        </w:rPr>
        <w:t xml:space="preserve">Synthèse :</w:t>
      </w:r>
    </w:p>
    <w:p>
      <w:pPr>
        <w:keepNext/>
        <w:spacing w:after="40" w:before="80"/>
        <w:jc w:val="center"/>
      </w:pPr>
      <w:r>
        <w:drawing>
          <wp:inline distT="0" distB="0" distL="0" distR="0">
            <wp:extent cx="5334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57425"/>
                    </a:xfrm>
                    <a:prstGeom prst="rect">
                      <a:avLst/>
                    </a:prstGeom>
                  </pic:spPr>
                </pic:pic>
              </a:graphicData>
            </a:graphic>
          </wp:inline>
        </w:drawing>
      </w:r>
    </w:p>
    <w:p>
      <w:pPr>
        <w:spacing w:after="160"/>
        <w:jc w:val="center"/>
      </w:pPr>
      <w:r>
        <w:rPr>
          <w:i/>
          <w:iCs/>
          <w:color w:val="595959"/>
          <w:sz w:val="18"/>
          <w:szCs w:val="18"/>
        </w:rPr>
        <w:t xml:space="preserve">Types de fonctionnement des centres d'analyse</w:t>
      </w:r>
    </w:p>
    <w:p>
      <w:pPr>
        <w:pStyle w:val="Heading3"/>
        <w:keepNext/>
        <w:spacing w:after="80" w:before="220"/>
      </w:pPr>
      <w:bookmarkStart w:name="ss10" w:id="10"/>
      <w:r>
        <w:rPr>
          <w:b/>
          <w:bCs/>
          <w:color w:val="1F3864"/>
          <w:sz w:val="25"/>
          <w:szCs w:val="25"/>
        </w:rPr>
        <w:t xml:space="preserve">2.3 Le tableau de répartition des charges indirectes</w:t>
      </w:r>
      <w:bookmarkEnd w:id="10"/>
    </w:p>
    <w:p>
      <w:pPr>
        <w:pStyle w:val="ListParagraph"/>
        <w:numPr>
          <w:ilvl w:val="0"/>
          <w:numId w:val="2"/>
        </w:numPr>
        <w:spacing w:after="60"/>
      </w:pPr>
      <w:r>
        <w:rPr>
          <w:b/>
          <w:bCs/>
        </w:rPr>
        <w:t xml:space="preserve">Répartition primaire</w:t>
      </w:r>
      <w:r>
        <w:t xml:space="preserve"> : on ventile les charges indirectes (par nature) entre </w:t>
      </w:r>
      <w:r>
        <w:rPr>
          <w:b/>
          <w:bCs/>
        </w:rPr>
        <w:t xml:space="preserve">tous</w:t>
      </w:r>
      <w:r>
        <w:t xml:space="preserve"> les centres, à l'aide de clés de répartition.</w:t>
      </w:r>
    </w:p>
    <w:p>
      <w:pPr>
        <w:pStyle w:val="ListParagraph"/>
        <w:numPr>
          <w:ilvl w:val="0"/>
          <w:numId w:val="2"/>
        </w:numPr>
        <w:spacing w:after="60"/>
      </w:pPr>
      <w:r>
        <w:rPr>
          <w:b/>
          <w:bCs/>
        </w:rPr>
        <w:t xml:space="preserve">Répartition secondaire</w:t>
      </w:r>
      <w:r>
        <w:t xml:space="preserve"> : on vide les centres </w:t>
      </w:r>
      <w:r>
        <w:rPr>
          <w:b/>
          <w:bCs/>
        </w:rPr>
        <w:t xml:space="preserve">auxiliaires</w:t>
      </w:r>
      <w:r>
        <w:t xml:space="preserve"> dans les centres </w:t>
      </w:r>
      <w:r>
        <w:rPr>
          <w:b/>
          <w:bCs/>
        </w:rPr>
        <w:t xml:space="preserve">principaux</w:t>
      </w:r>
      <w:r>
        <w:t xml:space="preserve"> (en cascade, ou par un </w:t>
      </w:r>
      <w:r>
        <w:rPr>
          <w:b/>
          <w:bCs/>
        </w:rPr>
        <w:t xml:space="preserve">système d'équations</w:t>
      </w:r>
      <w:r>
        <w:t xml:space="preserve"> si les centres auxiliaires se rendent des prestations réciproques).</w:t>
      </w:r>
    </w:p>
    <w:p>
      <w:pPr>
        <w:pStyle w:val="ListParagraph"/>
        <w:numPr>
          <w:ilvl w:val="0"/>
          <w:numId w:val="2"/>
        </w:numPr>
        <w:spacing w:after="60"/>
      </w:pPr>
      <w:r>
        <w:rPr>
          <w:b/>
          <w:bCs/>
        </w:rPr>
        <w:t xml:space="preserve">Coût de l'unité d'œuvre</w:t>
      </w:r>
      <w:r>
        <w:t xml:space="preserve"> = Total du centre après répartition secondaire / Nombre d'unités d'œuvre.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Coût de l'UO</w:t>
      </w:r>
      <w:r>
        <w:rPr>
          <w:b w:val="false"/>
          <w:bCs w:val="false"/>
        </w:rPr>
        <w:t xml:space="preserve"> = Total du centre principal après répartition secondaire ÷ Nombre d'UO</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Taux de frais</w:t>
      </w:r>
      <w:r>
        <w:rPr>
          <w:b w:val="false"/>
          <w:bCs w:val="false"/>
        </w:rPr>
        <w:t xml:space="preserve"> = Total du centre ÷ Assiette en € (×100 si l'assiette est « 100 € de … »)</w:t>
      </w:r>
    </w:p>
    <w:p>
      <w:pPr>
        <w:spacing w:after="120"/>
      </w:pPr>
    </w:p>
    <w:p>
      <w:pPr>
        <w:pStyle w:val="Heading3"/>
        <w:keepNext/>
        <w:pBdr>
          <w:left w:val="single" w:color="2E75B6" w:sz="24" w:space="6"/>
        </w:pBdr>
        <w:shd w:fill="DEEAF6" w:color="auto" w:val="clear"/>
        <w:spacing w:after="100" w:before="280"/>
      </w:pPr>
      <w:bookmarkStart w:name="cas11" w:id="11"/>
      <w:r>
        <w:rPr>
          <w:b/>
          <w:bCs/>
          <w:color w:val="2E75B6"/>
          <w:sz w:val="25"/>
          <w:szCs w:val="25"/>
        </w:rPr>
        <w:t xml:space="preserve">📌 Exemple BOURGES – parquets de chêne et de châtaignier</w:t>
      </w:r>
      <w:bookmarkEnd w:id="11"/>
    </w:p>
    <w:p>
      <w:pPr>
        <w:spacing w:after="120" w:before="60"/>
      </w:pPr>
      <w:r>
        <w:rPr>
          <w:b/>
          <w:bCs/>
          <w:color w:val="FFFFFF"/>
          <w:sz w:val="20"/>
          <w:szCs w:val="20"/>
          <w:shd w:fill="7030A0" w:color="auto" w:val="clear"/>
        </w:rPr>
        <w:t xml:space="preserve"> 📄 Voir énoncé – BOURGES (répartition primaire et clés de répartition) </w:t>
      </w:r>
    </w:p>
    <w:p>
      <w:pPr>
        <w:spacing w:after="100"/>
      </w:pPr>
      <w:r>
        <w:rPr>
          <w:b/>
          <w:bCs/>
        </w:rPr>
        <w:t xml:space="preserve">Répartition primaire</w:t>
      </w:r>
      <w:r>
        <w:t xml:space="preserve"> : Administration 141 517 ; Gestion du Personnel (GP) 22 180 ; Gestion des Immobilisations (GI) 41 875 ; Approvisionnement 28 471 ; Sciage 69 961 ; Usinage 58 875 ; Tri 37 049 ; Distribution 70 347. Total = </w:t>
      </w:r>
      <w:r>
        <w:rPr>
          <w:b/>
          <w:bCs/>
        </w:rPr>
        <w:t xml:space="preserve">470 275 €</w:t>
      </w:r>
      <w:r>
        <w:t xml:space="preserve">.</w:t>
      </w:r>
    </w:p>
    <w:p>
      <w:pPr>
        <w:spacing w:after="100"/>
      </w:pPr>
      <w:r>
        <w:rPr>
          <w:b/>
          <w:bCs/>
        </w:rPr>
        <w:t xml:space="preserve">Question 1 – un seul centre auxiliaire (GP), 15 % vers l'Administration</w:t>
      </w:r>
    </w:p>
    <w:p>
      <w:pPr>
        <w:spacing w:after="100"/>
      </w:pPr>
      <w:r>
        <w:t xml:space="preserve">Comme GI n'existe pas, les 5 % qu'elle recevait sont ajoutés à l'Administration (10 % + 5 % = 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2"/>
        <w:gridCol w:w="1407"/>
        <w:gridCol w:w="1082"/>
        <w:gridCol w:w="3248"/>
        <w:gridCol w:w="1519"/>
      </w:tblGrid>
      <w:tr>
        <w:trPr>
          <w:cantSplit/>
          <w:tblHeader/>
        </w:trPr>
        <w:tc>
          <w:tcPr>
            <w:tcW w:type="dxa" w:w="2382"/>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Centre</w:t>
            </w:r>
          </w:p>
        </w:tc>
        <w:tc>
          <w:tcPr>
            <w:tcW w:type="dxa" w:w="1407"/>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Primaire</w:t>
            </w:r>
          </w:p>
        </w:tc>
        <w:tc>
          <w:tcPr>
            <w:tcW w:type="dxa" w:w="1082"/>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Clé GP</w:t>
            </w:r>
          </w:p>
        </w:tc>
        <w:tc>
          <w:tcPr>
            <w:tcW w:type="dxa" w:w="3248"/>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Calcul</w:t>
            </w:r>
          </w:p>
        </w:tc>
        <w:tc>
          <w:tcPr>
            <w:tcW w:type="dxa" w:w="151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Total</w:t>
            </w:r>
          </w:p>
        </w:tc>
      </w:tr>
      <w:tr>
        <w:trPr>
          <w:cantSplit/>
          <w:tblHeader w:val="false"/>
        </w:trPr>
        <w:tc>
          <w:tcPr>
            <w:tcW w:type="dxa" w:w="23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Administration</w:t>
            </w:r>
          </w:p>
        </w:tc>
        <w:tc>
          <w:tcPr>
            <w:tcW w:type="dxa" w:w="14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141 517</w:t>
            </w:r>
          </w:p>
        </w:tc>
        <w:tc>
          <w:tcPr>
            <w:tcW w:type="dxa" w:w="10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15 %</w:t>
            </w:r>
          </w:p>
        </w:tc>
        <w:tc>
          <w:tcPr>
            <w:tcW w:type="dxa" w:w="32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22 180 × 0,15 = 3 327</w:t>
            </w:r>
          </w:p>
        </w:tc>
        <w:tc>
          <w:tcPr>
            <w:tcW w:type="dxa" w:w="15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144 844</w:t>
            </w:r>
          </w:p>
        </w:tc>
      </w:tr>
      <w:tr>
        <w:trPr>
          <w:cantSplit/>
          <w:tblHeader w:val="false"/>
        </w:trPr>
        <w:tc>
          <w:tcPr>
            <w:tcW w:type="dxa" w:w="23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Approvisionnement</w:t>
            </w:r>
          </w:p>
        </w:tc>
        <w:tc>
          <w:tcPr>
            <w:tcW w:type="dxa" w:w="140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28 471</w:t>
            </w:r>
          </w:p>
        </w:tc>
        <w:tc>
          <w:tcPr>
            <w:tcW w:type="dxa" w:w="10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w:t>
            </w:r>
          </w:p>
        </w:tc>
        <w:tc>
          <w:tcPr>
            <w:tcW w:type="dxa" w:w="32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22 180 × 0,10 = 2 218</w:t>
            </w:r>
          </w:p>
        </w:tc>
        <w:tc>
          <w:tcPr>
            <w:tcW w:type="dxa" w:w="15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30 689</w:t>
            </w:r>
          </w:p>
        </w:tc>
      </w:tr>
      <w:tr>
        <w:trPr>
          <w:cantSplit/>
          <w:tblHeader w:val="false"/>
        </w:trPr>
        <w:tc>
          <w:tcPr>
            <w:tcW w:type="dxa" w:w="23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Sciage</w:t>
            </w:r>
          </w:p>
        </w:tc>
        <w:tc>
          <w:tcPr>
            <w:tcW w:type="dxa" w:w="14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69 961</w:t>
            </w:r>
          </w:p>
        </w:tc>
        <w:tc>
          <w:tcPr>
            <w:tcW w:type="dxa" w:w="10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30 %</w:t>
            </w:r>
          </w:p>
        </w:tc>
        <w:tc>
          <w:tcPr>
            <w:tcW w:type="dxa" w:w="32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22 180 × 0,30 = 6 654</w:t>
            </w:r>
          </w:p>
        </w:tc>
        <w:tc>
          <w:tcPr>
            <w:tcW w:type="dxa" w:w="15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76 615</w:t>
            </w:r>
          </w:p>
        </w:tc>
      </w:tr>
      <w:tr>
        <w:trPr>
          <w:cantSplit/>
          <w:tblHeader w:val="false"/>
        </w:trPr>
        <w:tc>
          <w:tcPr>
            <w:tcW w:type="dxa" w:w="23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Usinage</w:t>
            </w:r>
          </w:p>
        </w:tc>
        <w:tc>
          <w:tcPr>
            <w:tcW w:type="dxa" w:w="140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58 875</w:t>
            </w:r>
          </w:p>
        </w:tc>
        <w:tc>
          <w:tcPr>
            <w:tcW w:type="dxa" w:w="10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30 %</w:t>
            </w:r>
          </w:p>
        </w:tc>
        <w:tc>
          <w:tcPr>
            <w:tcW w:type="dxa" w:w="32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22 180 × 0,30 = 6 654</w:t>
            </w:r>
          </w:p>
        </w:tc>
        <w:tc>
          <w:tcPr>
            <w:tcW w:type="dxa" w:w="15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65 529</w:t>
            </w:r>
          </w:p>
        </w:tc>
      </w:tr>
      <w:tr>
        <w:trPr>
          <w:cantSplit/>
          <w:tblHeader w:val="false"/>
        </w:trPr>
        <w:tc>
          <w:tcPr>
            <w:tcW w:type="dxa" w:w="23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Tri</w:t>
            </w:r>
          </w:p>
        </w:tc>
        <w:tc>
          <w:tcPr>
            <w:tcW w:type="dxa" w:w="14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37 049</w:t>
            </w:r>
          </w:p>
        </w:tc>
        <w:tc>
          <w:tcPr>
            <w:tcW w:type="dxa" w:w="10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w:t>
            </w:r>
          </w:p>
        </w:tc>
        <w:tc>
          <w:tcPr>
            <w:tcW w:type="dxa" w:w="32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22 180 × 0,10 = 2 218</w:t>
            </w:r>
          </w:p>
        </w:tc>
        <w:tc>
          <w:tcPr>
            <w:tcW w:type="dxa" w:w="15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39 267</w:t>
            </w:r>
          </w:p>
        </w:tc>
      </w:tr>
      <w:tr>
        <w:trPr>
          <w:cantSplit/>
          <w:tblHeader w:val="false"/>
        </w:trPr>
        <w:tc>
          <w:tcPr>
            <w:tcW w:type="dxa" w:w="23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Distribution</w:t>
            </w:r>
          </w:p>
        </w:tc>
        <w:tc>
          <w:tcPr>
            <w:tcW w:type="dxa" w:w="140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70 347</w:t>
            </w:r>
          </w:p>
        </w:tc>
        <w:tc>
          <w:tcPr>
            <w:tcW w:type="dxa" w:w="10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5 %</w:t>
            </w:r>
          </w:p>
        </w:tc>
        <w:tc>
          <w:tcPr>
            <w:tcW w:type="dxa" w:w="32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22 180 × 0,05 = 1 109</w:t>
            </w:r>
          </w:p>
        </w:tc>
        <w:tc>
          <w:tcPr>
            <w:tcW w:type="dxa" w:w="15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71 456</w:t>
            </w:r>
          </w:p>
        </w:tc>
      </w:tr>
    </w:tbl>
    <w:p>
      <w:pPr>
        <w:spacing w:after="120"/>
      </w:pP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rPr>
          <w:b/>
          <w:bCs/>
          <w:color w:val="7F6000"/>
          <w:sz w:val="23"/>
          <w:szCs w:val="23"/>
        </w:rPr>
        <w:t xml:space="preserve">💡 Correction reconstituée</w:t>
      </w:r>
    </w:p>
    <w:p>
      <w:pPr>
        <w:keepNext w:val="false"/>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t xml:space="preserve">Vos notes renvoyaient ici à des photos : ce calcul est une </w:t>
      </w:r>
      <w:r>
        <w:rPr>
          <w:b/>
          <w:bCs/>
        </w:rPr>
        <w:t xml:space="preserve">reconstitution</w:t>
      </w:r>
      <w:r>
        <w:t xml:space="preserve"> à comparer avec votre Excel.</w:t>
      </w:r>
    </w:p>
    <w:p>
      <w:pPr>
        <w:spacing w:after="120"/>
      </w:pPr>
    </w:p>
    <w:p>
      <w:pPr>
        <w:spacing w:after="100"/>
      </w:pPr>
      <w:r>
        <w:rPr>
          <w:b/>
          <w:bCs/>
        </w:rPr>
        <w:t xml:space="preserve">Question 2 – deux centres auxiliaires qui se rendent des prestations réciproques</w:t>
      </w:r>
    </w:p>
    <w:p>
      <w:pPr>
        <w:spacing w:after="100"/>
      </w:pPr>
      <w:r>
        <w:t xml:space="preserve">GP donne 10 % à GI ; GI donne 10 % à GP. On pose un </w:t>
      </w:r>
      <w:r>
        <w:rPr>
          <w:b/>
          <w:bCs/>
        </w:rPr>
        <w:t xml:space="preserve">système d'équations</w:t>
      </w:r>
      <w:r>
        <w:t xml:space="preserve"> (GP et GI = totaux après réception des prestations)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Résolution</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GP = 22 180 + 0,10 GI        et        GI = 41 875 + 0,05 GP</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On remplace GI dans la 1re équation : GP = 22 180 + 0,10 × (41 875 + 0,05 GP)</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GP = 22 180 + 4 187,5 + 0,005 GP  ⇔  0,995 GP = 26 367,5  ⇔  </w:t>
      </w:r>
      <w:r>
        <w:rPr>
          <w:b/>
          <w:bCs/>
        </w:rPr>
        <w:t xml:space="preserve">GP = 26 500 €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GI = 41 875 + 0,05 × 26 500 = 41 875 + 1 325 = </w:t>
      </w:r>
      <w:r>
        <w:rPr>
          <w:b/>
          <w:bCs/>
        </w:rPr>
        <w:t xml:space="preserve">43 200 €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6"/>
        <w:gridCol w:w="1041"/>
        <w:gridCol w:w="1302"/>
        <w:gridCol w:w="1302"/>
        <w:gridCol w:w="1041"/>
        <w:gridCol w:w="1389"/>
        <w:gridCol w:w="955"/>
        <w:gridCol w:w="872"/>
      </w:tblGrid>
      <w:tr>
        <w:trPr>
          <w:cantSplit/>
          <w:tblHeader/>
        </w:trPr>
        <w:tc>
          <w:tcPr>
            <w:tcW w:type="dxa" w:w="1736"/>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Centre</w:t>
            </w:r>
          </w:p>
        </w:tc>
        <w:tc>
          <w:tcPr>
            <w:tcW w:type="dxa" w:w="1041"/>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Primaire</w:t>
            </w:r>
          </w:p>
        </w:tc>
        <w:tc>
          <w:tcPr>
            <w:tcW w:type="dxa" w:w="1302"/>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GP (26 500)</w:t>
            </w:r>
          </w:p>
        </w:tc>
        <w:tc>
          <w:tcPr>
            <w:tcW w:type="dxa" w:w="1302"/>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GI (43 200)</w:t>
            </w:r>
          </w:p>
        </w:tc>
        <w:tc>
          <w:tcPr>
            <w:tcW w:type="dxa" w:w="1041"/>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Total</w:t>
            </w:r>
          </w:p>
        </w:tc>
        <w:tc>
          <w:tcPr>
            <w:tcW w:type="dxa" w:w="138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UO</w:t>
            </w:r>
          </w:p>
        </w:tc>
        <w:tc>
          <w:tcPr>
            <w:tcW w:type="dxa" w:w="95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Nb UO</w:t>
            </w:r>
          </w:p>
        </w:tc>
        <w:tc>
          <w:tcPr>
            <w:tcW w:type="dxa" w:w="872"/>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Coût UO</w:t>
            </w:r>
          </w:p>
        </w:tc>
      </w:tr>
      <w:tr>
        <w:trPr>
          <w:cantSplit/>
          <w:tblHeader w:val="false"/>
        </w:trPr>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Administration</w:t>
            </w:r>
          </w:p>
        </w:tc>
        <w:tc>
          <w:tcPr>
            <w:tcW w:type="dxa" w:w="10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141 517</w:t>
            </w:r>
          </w:p>
        </w:tc>
        <w:tc>
          <w:tcPr>
            <w:tcW w:type="dxa" w:w="13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 → 2 650</w:t>
            </w:r>
          </w:p>
        </w:tc>
        <w:tc>
          <w:tcPr>
            <w:tcW w:type="dxa" w:w="13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5 % → 2 160</w:t>
            </w:r>
          </w:p>
        </w:tc>
        <w:tc>
          <w:tcPr>
            <w:tcW w:type="dxa" w:w="10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146 327</w:t>
            </w:r>
          </w:p>
        </w:tc>
        <w:tc>
          <w:tcPr>
            <w:tcW w:type="dxa" w:w="13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Coût de production</w:t>
            </w:r>
          </w:p>
        </w:tc>
        <w:tc>
          <w:tcPr>
            <w:tcW w:type="dxa" w:w="9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291 300</w:t>
            </w:r>
          </w:p>
        </w:tc>
        <w:tc>
          <w:tcPr>
            <w:tcW w:type="dxa" w:w="8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0,5023</w:t>
            </w:r>
          </w:p>
        </w:tc>
      </w:tr>
      <w:tr>
        <w:trPr>
          <w:cantSplit/>
          <w:tblHeader w:val="false"/>
        </w:trPr>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Approvisionnement</w:t>
            </w:r>
          </w:p>
        </w:tc>
        <w:tc>
          <w:tcPr>
            <w:tcW w:type="dxa" w:w="10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28 471</w:t>
            </w:r>
          </w:p>
        </w:tc>
        <w:tc>
          <w:tcPr>
            <w:tcW w:type="dxa" w:w="130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 → 2 650</w:t>
            </w:r>
          </w:p>
        </w:tc>
        <w:tc>
          <w:tcPr>
            <w:tcW w:type="dxa" w:w="130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 → 864</w:t>
            </w:r>
          </w:p>
        </w:tc>
        <w:tc>
          <w:tcPr>
            <w:tcW w:type="dxa" w:w="10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31 985</w:t>
            </w:r>
          </w:p>
        </w:tc>
        <w:tc>
          <w:tcPr>
            <w:tcW w:type="dxa" w:w="138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m³ acheté</w:t>
            </w:r>
          </w:p>
        </w:tc>
        <w:tc>
          <w:tcPr>
            <w:tcW w:type="dxa" w:w="9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102</w:t>
            </w:r>
          </w:p>
        </w:tc>
        <w:tc>
          <w:tcPr>
            <w:tcW w:type="dxa" w:w="8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313,58</w:t>
            </w:r>
          </w:p>
        </w:tc>
      </w:tr>
      <w:tr>
        <w:trPr>
          <w:cantSplit/>
          <w:tblHeader w:val="false"/>
        </w:trPr>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Sciage</w:t>
            </w:r>
          </w:p>
        </w:tc>
        <w:tc>
          <w:tcPr>
            <w:tcW w:type="dxa" w:w="10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69 961</w:t>
            </w:r>
          </w:p>
        </w:tc>
        <w:tc>
          <w:tcPr>
            <w:tcW w:type="dxa" w:w="13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30 % → 7 950</w:t>
            </w:r>
          </w:p>
        </w:tc>
        <w:tc>
          <w:tcPr>
            <w:tcW w:type="dxa" w:w="13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35 % → 15 120</w:t>
            </w:r>
          </w:p>
        </w:tc>
        <w:tc>
          <w:tcPr>
            <w:tcW w:type="dxa" w:w="10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93 031</w:t>
            </w:r>
          </w:p>
        </w:tc>
        <w:tc>
          <w:tcPr>
            <w:tcW w:type="dxa" w:w="13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Heure machine</w:t>
            </w:r>
          </w:p>
        </w:tc>
        <w:tc>
          <w:tcPr>
            <w:tcW w:type="dxa" w:w="9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3 100</w:t>
            </w:r>
          </w:p>
        </w:tc>
        <w:tc>
          <w:tcPr>
            <w:tcW w:type="dxa" w:w="8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30,01</w:t>
            </w:r>
          </w:p>
        </w:tc>
      </w:tr>
      <w:tr>
        <w:trPr>
          <w:cantSplit/>
          <w:tblHeader w:val="false"/>
        </w:trPr>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Usinage</w:t>
            </w:r>
          </w:p>
        </w:tc>
        <w:tc>
          <w:tcPr>
            <w:tcW w:type="dxa" w:w="10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58 875</w:t>
            </w:r>
          </w:p>
        </w:tc>
        <w:tc>
          <w:tcPr>
            <w:tcW w:type="dxa" w:w="130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30 % → 7 950</w:t>
            </w:r>
          </w:p>
        </w:tc>
        <w:tc>
          <w:tcPr>
            <w:tcW w:type="dxa" w:w="130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40 % → 17 280</w:t>
            </w:r>
          </w:p>
        </w:tc>
        <w:tc>
          <w:tcPr>
            <w:tcW w:type="dxa" w:w="10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84 105</w:t>
            </w:r>
          </w:p>
        </w:tc>
        <w:tc>
          <w:tcPr>
            <w:tcW w:type="dxa" w:w="138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Heure MOD</w:t>
            </w:r>
          </w:p>
        </w:tc>
        <w:tc>
          <w:tcPr>
            <w:tcW w:type="dxa" w:w="9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2 950</w:t>
            </w:r>
          </w:p>
        </w:tc>
        <w:tc>
          <w:tcPr>
            <w:tcW w:type="dxa" w:w="8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28,51</w:t>
            </w:r>
          </w:p>
        </w:tc>
      </w:tr>
      <w:tr>
        <w:trPr>
          <w:cantSplit/>
          <w:tblHeader w:val="false"/>
        </w:trPr>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Tri – Expédition</w:t>
            </w:r>
          </w:p>
        </w:tc>
        <w:tc>
          <w:tcPr>
            <w:tcW w:type="dxa" w:w="10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37 049</w:t>
            </w:r>
          </w:p>
        </w:tc>
        <w:tc>
          <w:tcPr>
            <w:tcW w:type="dxa" w:w="13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 → 2 650</w:t>
            </w:r>
          </w:p>
        </w:tc>
        <w:tc>
          <w:tcPr>
            <w:tcW w:type="dxa" w:w="130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3 % → 1 296</w:t>
            </w:r>
          </w:p>
        </w:tc>
        <w:tc>
          <w:tcPr>
            <w:tcW w:type="dxa" w:w="10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40 995</w:t>
            </w:r>
          </w:p>
        </w:tc>
        <w:tc>
          <w:tcPr>
            <w:tcW w:type="dxa" w:w="138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m² expédié</w:t>
            </w:r>
          </w:p>
        </w:tc>
        <w:tc>
          <w:tcPr>
            <w:tcW w:type="dxa" w:w="9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2 750</w:t>
            </w:r>
          </w:p>
        </w:tc>
        <w:tc>
          <w:tcPr>
            <w:tcW w:type="dxa" w:w="8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14,91</w:t>
            </w:r>
          </w:p>
        </w:tc>
      </w:tr>
      <w:tr>
        <w:trPr>
          <w:cantSplit/>
          <w:tblHeader w:val="false"/>
        </w:trPr>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Distribution</w:t>
            </w:r>
          </w:p>
        </w:tc>
        <w:tc>
          <w:tcPr>
            <w:tcW w:type="dxa" w:w="10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70 347</w:t>
            </w:r>
          </w:p>
        </w:tc>
        <w:tc>
          <w:tcPr>
            <w:tcW w:type="dxa" w:w="130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5 % → 1 325</w:t>
            </w:r>
          </w:p>
        </w:tc>
        <w:tc>
          <w:tcPr>
            <w:tcW w:type="dxa" w:w="130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5 % → 2 160</w:t>
            </w:r>
          </w:p>
        </w:tc>
        <w:tc>
          <w:tcPr>
            <w:tcW w:type="dxa" w:w="10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73 832</w:t>
            </w:r>
          </w:p>
        </w:tc>
        <w:tc>
          <w:tcPr>
            <w:tcW w:type="dxa" w:w="138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CA HT</w:t>
            </w:r>
          </w:p>
        </w:tc>
        <w:tc>
          <w:tcPr>
            <w:tcW w:type="dxa" w:w="9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624 000</w:t>
            </w:r>
          </w:p>
        </w:tc>
        <w:tc>
          <w:tcPr>
            <w:tcW w:type="dxa" w:w="8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0,1183</w:t>
            </w:r>
          </w:p>
        </w:tc>
      </w:tr>
      <w:tr>
        <w:trPr>
          <w:cantSplit/>
          <w:tblHeader w:val="false"/>
        </w:trPr>
        <w:tc>
          <w:tcPr>
            <w:tcW w:type="dxa" w:w="1736"/>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Total</w:t>
            </w:r>
          </w:p>
        </w:tc>
        <w:tc>
          <w:tcPr>
            <w:tcW w:type="dxa" w:w="1041"/>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470 275</w:t>
            </w:r>
          </w:p>
        </w:tc>
        <w:tc>
          <w:tcPr>
            <w:tcW w:type="dxa" w:w="1302"/>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1302"/>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1041"/>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470 275</w:t>
            </w:r>
          </w:p>
        </w:tc>
        <w:tc>
          <w:tcPr>
            <w:tcW w:type="dxa" w:w="138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95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872"/>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r>
    </w:tbl>
    <w:p>
      <w:pPr>
        <w:spacing w:after="120"/>
      </w:pPr>
    </w:p>
    <w:p>
      <w:pPr>
        <w:spacing w:after="100"/>
      </w:pPr>
      <w:r>
        <w:t xml:space="preserve">Contrôle : le total après répartition (470 275) est égal au total de la répartition primaire → aucune charge n'a été « perdue ».</w:t>
      </w:r>
    </w:p>
    <w:p>
      <w:pPr>
        <w:spacing w:after="120" w:before="60"/>
      </w:pPr>
      <w:r>
        <w:rPr>
          <w:b/>
          <w:bCs/>
          <w:color w:val="FFFFFF"/>
          <w:sz w:val="20"/>
          <w:szCs w:val="20"/>
          <w:shd w:fill="217346" w:color="auto" w:val="clear"/>
        </w:rPr>
        <w:t xml:space="preserve"> 📊 Voir Excel – BOURGES </w:t>
      </w:r>
    </w:p>
    <w:p>
      <w:pPr>
        <w:pStyle w:val="Heading3"/>
        <w:keepNext/>
        <w:pBdr>
          <w:left w:val="single" w:color="2E75B6" w:sz="24" w:space="6"/>
        </w:pBdr>
        <w:shd w:fill="DEEAF6" w:color="auto" w:val="clear"/>
        <w:spacing w:after="100" w:before="280"/>
      </w:pPr>
      <w:bookmarkStart w:name="cas12" w:id="12"/>
      <w:r>
        <w:rPr>
          <w:b/>
          <w:bCs/>
          <w:color w:val="2E75B6"/>
          <w:sz w:val="25"/>
          <w:szCs w:val="25"/>
        </w:rPr>
        <w:t xml:space="preserve">📌 Cas Transferts croisés – prestations réciproques</w:t>
      </w:r>
      <w:bookmarkEnd w:id="12"/>
    </w:p>
    <w:p>
      <w:pPr>
        <w:spacing w:after="120" w:before="60"/>
      </w:pPr>
      <w:r>
        <w:rPr>
          <w:b/>
          <w:bCs/>
          <w:color w:val="FFFFFF"/>
          <w:sz w:val="20"/>
          <w:szCs w:val="20"/>
          <w:shd w:fill="7030A0" w:color="auto" w:val="clear"/>
        </w:rPr>
        <w:t xml:space="preserve"> 📄 Voir énoncé – Transferts croisés </w:t>
      </w:r>
    </w:p>
    <w:p>
      <w:pPr>
        <w:spacing w:after="100"/>
      </w:pPr>
      <w:r>
        <w:rPr>
          <w:b/>
          <w:bCs/>
        </w:rPr>
        <w:t xml:space="preserve">1. Tableau de répartition (méthode algébrique)</w:t>
      </w:r>
    </w:p>
    <w:p>
      <w:pPr>
        <w:spacing w:after="100"/>
      </w:pPr>
      <w:r>
        <w:t xml:space="preserve">Clés : Entretien (ENT) → en heures (total 2 000 + 3 200 + 2 800 = </w:t>
      </w:r>
      <w:r>
        <w:rPr>
          <w:b/>
          <w:bCs/>
        </w:rPr>
        <w:t xml:space="preserve">8 000 h</w:t>
      </w:r>
      <w:r>
        <w:t xml:space="preserve">) ; Transport (TSP) → en km (total 216 + 108 + 108 + 648 = </w:t>
      </w:r>
      <w:r>
        <w:rPr>
          <w:b/>
          <w:bCs/>
        </w:rPr>
        <w:t xml:space="preserve">1 080 km</w:t>
      </w:r>
      <w:r>
        <w:t xml:space="preserv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Résolution du système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ENT = 21 450 + (216 / 1 080) TSP = 21 450 + 0,2 TSP</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TSP = 14 131,5 + (2 000 / 8 000) ENT = 14 131,5 + 0,25 ENT</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ENT = 21 450 + 0,2 × (14 131,5 + 0,25 ENT) = 21 450 + 2 826,3 + 0,05 ENT</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0,95 ENT = 24 276,3  ⇔  ENT = 24 276,3 / 0,95 = </w:t>
      </w:r>
      <w:r>
        <w:rPr>
          <w:b/>
          <w:bCs/>
        </w:rPr>
        <w:t xml:space="preserve">25 554</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TSP = 14 131,5 + 0,25 × 25 554 = 14 131,5 + 6 388,5 = </w:t>
      </w:r>
      <w:r>
        <w:rPr>
          <w:b/>
          <w:bCs/>
        </w:rPr>
        <w:t xml:space="preserve">20 520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1204"/>
        <w:gridCol w:w="1204"/>
        <w:gridCol w:w="1204"/>
        <w:gridCol w:w="1305"/>
        <w:gridCol w:w="1108"/>
      </w:tblGrid>
      <w:tr>
        <w:trPr>
          <w:cantSplit/>
          <w:tblHeader/>
        </w:trPr>
        <w:tc>
          <w:tcPr>
            <w:tcW w:type="dxa" w:w="240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p>
        </w:tc>
        <w:tc>
          <w:tcPr>
            <w:tcW w:type="dxa" w:w="120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Entretien</w:t>
            </w:r>
          </w:p>
        </w:tc>
        <w:tc>
          <w:tcPr>
            <w:tcW w:type="dxa" w:w="120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Transports</w:t>
            </w:r>
          </w:p>
        </w:tc>
        <w:tc>
          <w:tcPr>
            <w:tcW w:type="dxa" w:w="120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Atelier A</w:t>
            </w:r>
          </w:p>
        </w:tc>
        <w:tc>
          <w:tcPr>
            <w:tcW w:type="dxa" w:w="120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Atelier B</w:t>
            </w:r>
          </w:p>
        </w:tc>
        <w:tc>
          <w:tcPr>
            <w:tcW w:type="dxa" w:w="130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Distribution</w:t>
            </w:r>
          </w:p>
        </w:tc>
        <w:tc>
          <w:tcPr>
            <w:tcW w:type="dxa" w:w="1108"/>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Total</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Totaux primaires</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21 450</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14 131,5</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81 476,4</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61 004,1</w:t>
            </w:r>
          </w:p>
        </w:tc>
        <w:tc>
          <w:tcPr>
            <w:tcW w:type="dxa" w:w="13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38 988</w:t>
            </w:r>
          </w:p>
        </w:tc>
        <w:tc>
          <w:tcPr>
            <w:tcW w:type="dxa" w:w="11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217 050</w:t>
            </w:r>
          </w:p>
        </w:tc>
      </w:tr>
      <w:tr>
        <w:trPr>
          <w:cantSplit/>
          <w:tblHeader w:val="false"/>
        </w:trPr>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Répartition ENT</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(25 554)</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6 388,5</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10 221,6</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8 943,9</w:t>
            </w:r>
          </w:p>
        </w:tc>
        <w:tc>
          <w:tcPr>
            <w:tcW w:type="dxa" w:w="130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w:t>
            </w:r>
          </w:p>
        </w:tc>
        <w:tc>
          <w:tcPr>
            <w:tcW w:type="dxa" w:w="110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0</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Répartition TSP</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4 104</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(20 520)</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2 052</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2 052</w:t>
            </w:r>
          </w:p>
        </w:tc>
        <w:tc>
          <w:tcPr>
            <w:tcW w:type="dxa" w:w="13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12 312</w:t>
            </w:r>
          </w:p>
        </w:tc>
        <w:tc>
          <w:tcPr>
            <w:tcW w:type="dxa" w:w="11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0</w:t>
            </w:r>
          </w:p>
        </w:tc>
      </w:tr>
      <w:tr>
        <w:trPr>
          <w:cantSplit/>
          <w:tblHeader w:val="false"/>
        </w:trPr>
        <w:tc>
          <w:tcPr>
            <w:tcW w:type="dxa" w:w="240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Total après répartition</w:t>
            </w:r>
          </w:p>
        </w:tc>
        <w:tc>
          <w:tcPr>
            <w:tcW w:type="dxa" w:w="12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0</w:t>
            </w:r>
          </w:p>
        </w:tc>
        <w:tc>
          <w:tcPr>
            <w:tcW w:type="dxa" w:w="12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0</w:t>
            </w:r>
          </w:p>
        </w:tc>
        <w:tc>
          <w:tcPr>
            <w:tcW w:type="dxa" w:w="12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93 750</w:t>
            </w:r>
          </w:p>
        </w:tc>
        <w:tc>
          <w:tcPr>
            <w:tcW w:type="dxa" w:w="12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72 000</w:t>
            </w:r>
          </w:p>
        </w:tc>
        <w:tc>
          <w:tcPr>
            <w:tcW w:type="dxa" w:w="130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51 300</w:t>
            </w:r>
          </w:p>
        </w:tc>
        <w:tc>
          <w:tcPr>
            <w:tcW w:type="dxa" w:w="110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217 050</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Unité d'œuvre</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kg fabriqué</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kg fabriqué</w:t>
            </w:r>
          </w:p>
        </w:tc>
        <w:tc>
          <w:tcPr>
            <w:tcW w:type="dxa" w:w="13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 de CA</w:t>
            </w:r>
          </w:p>
        </w:tc>
        <w:tc>
          <w:tcPr>
            <w:tcW w:type="dxa" w:w="11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Nombre d'UO</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1 250</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800</w:t>
            </w:r>
          </w:p>
        </w:tc>
        <w:tc>
          <w:tcPr>
            <w:tcW w:type="dxa" w:w="130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1 900</w:t>
            </w:r>
          </w:p>
        </w:tc>
        <w:tc>
          <w:tcPr>
            <w:tcW w:type="dxa" w:w="110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240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l'UO</w:t>
            </w:r>
          </w:p>
        </w:tc>
        <w:tc>
          <w:tcPr>
            <w:tcW w:type="dxa" w:w="12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12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12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75</w:t>
            </w:r>
          </w:p>
        </w:tc>
        <w:tc>
          <w:tcPr>
            <w:tcW w:type="dxa" w:w="12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90</w:t>
            </w:r>
          </w:p>
        </w:tc>
        <w:tc>
          <w:tcPr>
            <w:tcW w:type="dxa" w:w="130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27</w:t>
            </w:r>
          </w:p>
        </w:tc>
        <w:tc>
          <w:tcPr>
            <w:tcW w:type="dxa" w:w="110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r>
    </w:tbl>
    <w:p>
      <w:pPr>
        <w:spacing w:after="120"/>
      </w:pPr>
    </w:p>
    <w:p>
      <w:pPr>
        <w:spacing w:after="100"/>
      </w:pPr>
      <w:r>
        <w:t xml:space="preserve">Détail : ENT vers A = 25 554 × 3 200 / 8 000 = 10 221,6 ; TSP vers Distribution = 20 520 × 648 / 1 080 = 12 312 ; nombre d'UO Distribution = (90 000 + 100 000) / 100 = 1 900.</w:t>
      </w:r>
    </w:p>
    <w:p>
      <w:pPr>
        <w:spacing w:after="100"/>
      </w:pPr>
      <w:r>
        <w:rPr>
          <w:b/>
          <w:bCs/>
        </w:rPr>
        <w:t xml:space="preserve">2–3. Devis pour 100 kg de produit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3614"/>
        <w:gridCol w:w="2410"/>
      </w:tblGrid>
      <w:tr>
        <w:trPr>
          <w:cantSplit/>
          <w:tblHeader/>
        </w:trPr>
        <w:tc>
          <w:tcPr>
            <w:tcW w:type="dxa" w:w="36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Éléments</w:t>
            </w:r>
          </w:p>
        </w:tc>
        <w:tc>
          <w:tcPr>
            <w:tcW w:type="dxa" w:w="36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Calcul</w:t>
            </w:r>
          </w:p>
        </w:tc>
        <w:tc>
          <w:tcPr>
            <w:tcW w:type="dxa" w:w="2410"/>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Matières premières (CD)</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125 kg × 51 €</w:t>
            </w:r>
          </w:p>
        </w:tc>
        <w:tc>
          <w:tcPr>
            <w:tcW w:type="dxa" w:w="24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6 375</w:t>
            </w:r>
          </w:p>
        </w:tc>
      </w:tr>
      <w:tr>
        <w:trPr>
          <w:cantSplit/>
          <w:tblHeader w:val="false"/>
        </w:trPr>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MOD (CD)</w:t>
            </w:r>
          </w:p>
        </w:tc>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150 h × 15 €</w:t>
            </w:r>
          </w:p>
        </w:tc>
        <w:tc>
          <w:tcPr>
            <w:tcW w:type="dxa" w:w="241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2 250</w:t>
            </w:r>
          </w:p>
        </w:tc>
      </w:tr>
      <w:tr>
        <w:trPr>
          <w:cantSplit/>
          <w:tblHeader w:val="false"/>
        </w:trPr>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Atelier A (CI)</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kg × 75 €</w:t>
            </w:r>
          </w:p>
        </w:tc>
        <w:tc>
          <w:tcPr>
            <w:tcW w:type="dxa" w:w="24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7 500</w:t>
            </w:r>
          </w:p>
        </w:tc>
      </w:tr>
      <w:tr>
        <w:trPr>
          <w:cantSplit/>
          <w:tblHeader w:val="false"/>
        </w:trPr>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production</w:t>
            </w:r>
          </w:p>
        </w:tc>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241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16 125</w:t>
            </w:r>
          </w:p>
        </w:tc>
      </w:tr>
      <w:tr>
        <w:trPr>
          <w:cantSplit/>
          <w:tblHeader w:val="false"/>
        </w:trPr>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Distribution (CI)</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0,27 € par € de CA (27 € / 100 €)</w:t>
            </w:r>
          </w:p>
        </w:tc>
        <w:tc>
          <w:tcPr>
            <w:tcW w:type="dxa" w:w="24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0,27 × CA</w:t>
            </w:r>
          </w:p>
        </w:tc>
      </w:tr>
      <w:tr>
        <w:trPr>
          <w:cantSplit/>
          <w:tblHeader w:val="false"/>
        </w:trPr>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revient</w:t>
            </w:r>
          </w:p>
        </w:tc>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241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16 125 + 0,27 CA</w:t>
            </w:r>
          </w:p>
        </w:tc>
      </w:tr>
    </w:tbl>
    <w:p>
      <w:pPr>
        <w:spacing w:after="120"/>
      </w:pPr>
    </w:p>
    <w:p>
      <w:pPr>
        <w:spacing w:after="100"/>
      </w:pPr>
      <w:r>
        <w:t xml:space="preserve">Le coût de distribution dépend du prix demandé. Avec la </w:t>
      </w:r>
      <w:r>
        <w:rPr>
          <w:b/>
          <w:bCs/>
        </w:rPr>
        <w:t xml:space="preserve">marge de 7 % du prix de vente</w:t>
      </w:r>
      <w:r>
        <w:t xml:space="preserve"> retenue en cours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 (16 125 + 0,27 CA) = 0,07 CA</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 0,27 CA – 0,07 CA = 16 125  ⇔  0,66 CA = 16 125  ⇔  </w:t>
      </w:r>
      <w:r>
        <w:rPr>
          <w:b/>
          <w:bCs/>
        </w:rPr>
        <w:t xml:space="preserve">CA = 24 432 €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Bénéfice = 0,07 × 24 432 = </w:t>
      </w:r>
      <w:r>
        <w:rPr>
          <w:b/>
          <w:bCs/>
        </w:rPr>
        <w:t xml:space="preserve">1 710 €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(Premier essai fait en cours avec un prix de 30 000 € : coût de revient = 16 125 + 8 100 = 24 225 → résultat 5 775 €.)</w:t>
      </w:r>
    </w:p>
    <w:p>
      <w:pPr>
        <w:spacing w:after="120"/>
      </w:pPr>
    </w:p>
    <w:p>
      <w:pPr>
        <w:spacing w:after="120" w:before="60"/>
      </w:pPr>
      <w:r>
        <w:rPr>
          <w:b/>
          <w:bCs/>
          <w:color w:val="FFFFFF"/>
          <w:sz w:val="20"/>
          <w:szCs w:val="20"/>
          <w:shd w:fill="217346" w:color="auto" w:val="clear"/>
        </w:rPr>
        <w:t xml:space="preserve"> 📊 Voir Excel – Transferts croisés </w:t>
      </w:r>
    </w:p>
    <w:p>
      <w:pPr>
        <w:pStyle w:val="Heading2"/>
        <w:keepNext/>
        <w:pBdr>
          <w:bottom w:val="single" w:color="2E75B6" w:sz="8" w:space="2"/>
        </w:pBdr>
        <w:spacing w:after="120" w:before="300"/>
      </w:pPr>
      <w:bookmarkStart w:name="s13" w:id="13"/>
      <w:r>
        <w:rPr>
          <w:b/>
          <w:bCs/>
          <w:color w:val="2E75B6"/>
          <w:sz w:val="30"/>
          <w:szCs w:val="30"/>
        </w:rPr>
        <w:t xml:space="preserve">3. La détermination du coût de revient</w:t>
      </w:r>
      <w:bookmarkEnd w:id="13"/>
    </w:p>
    <w:p>
      <w:pPr>
        <w:pStyle w:val="Heading3"/>
        <w:keepNext/>
        <w:spacing w:after="80" w:before="220"/>
      </w:pPr>
      <w:bookmarkStart w:name="ss14" w:id="14"/>
      <w:r>
        <w:rPr>
          <w:b/>
          <w:bCs/>
          <w:color w:val="1F3864"/>
          <w:sz w:val="25"/>
          <w:szCs w:val="25"/>
        </w:rPr>
        <w:t xml:space="preserve">3.1 Le coût d'achat</w:t>
      </w:r>
      <w:bookmarkEnd w:id="14"/>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Coût d'achat</w:t>
      </w:r>
      <w:r>
        <w:rPr>
          <w:b w:val="false"/>
          <w:bCs w:val="false"/>
        </w:rPr>
        <w:t xml:space="preserve"> = Prix d'achat + Frais d'achat (directs et indirects)</w:t>
      </w:r>
    </w:p>
    <w:p>
      <w:pPr>
        <w:spacing w:after="120"/>
      </w:pPr>
    </w:p>
    <w:p>
      <w:pPr>
        <w:pStyle w:val="ListParagraph"/>
        <w:numPr>
          <w:ilvl w:val="0"/>
          <w:numId w:val="2"/>
        </w:numPr>
        <w:spacing w:after="60"/>
      </w:pPr>
      <w:r>
        <w:rPr>
          <w:b/>
          <w:bCs/>
        </w:rPr>
        <w:t xml:space="preserve">Prix d'achat</w:t>
      </w:r>
      <w:r>
        <w:t xml:space="preserve"> : montant payé (achat net HT figurant sur les factures fournisseurs).</w:t>
      </w:r>
    </w:p>
    <w:p>
      <w:pPr>
        <w:pStyle w:val="ListParagraph"/>
        <w:numPr>
          <w:ilvl w:val="0"/>
          <w:numId w:val="2"/>
        </w:numPr>
        <w:spacing w:after="60"/>
      </w:pPr>
      <w:r>
        <w:rPr>
          <w:b/>
          <w:bCs/>
        </w:rPr>
        <w:t xml:space="preserve">Frais directs d'achat</w:t>
      </w:r>
      <w:r>
        <w:t xml:space="preserve"> : transport, droits de douane…</w:t>
      </w:r>
    </w:p>
    <w:p>
      <w:pPr>
        <w:pStyle w:val="ListParagraph"/>
        <w:numPr>
          <w:ilvl w:val="0"/>
          <w:numId w:val="2"/>
        </w:numPr>
        <w:spacing w:after="60"/>
      </w:pPr>
      <w:r>
        <w:rPr>
          <w:b/>
          <w:bCs/>
        </w:rPr>
        <w:t xml:space="preserve">Frais indirects</w:t>
      </w:r>
      <w:r>
        <w:t xml:space="preserve"> : coût du centre d'analyse Approvisionnement.</w:t>
      </w:r>
    </w:p>
    <w:p>
      <w:pPr>
        <w:spacing w:after="100"/>
      </w:pPr>
      <w:r>
        <w:t xml:space="preserve">Le coût d'achat concerne les </w:t>
      </w:r>
      <w:r>
        <w:rPr>
          <w:b/>
          <w:bCs/>
        </w:rPr>
        <w:t xml:space="preserve">marchandises</w:t>
      </w:r>
      <w:r>
        <w:t xml:space="preserve">, les </w:t>
      </w:r>
      <w:r>
        <w:rPr>
          <w:b/>
          <w:bCs/>
        </w:rPr>
        <w:t xml:space="preserve">matières premières</w:t>
      </w:r>
      <w:r>
        <w:t xml:space="preserve">, les </w:t>
      </w:r>
      <w:r>
        <w:rPr>
          <w:b/>
          <w:bCs/>
        </w:rPr>
        <w:t xml:space="preserve">emballages</w:t>
      </w:r>
      <w:r>
        <w:t xml:space="preserve"> et les </w:t>
      </w:r>
      <w:r>
        <w:rPr>
          <w:b/>
          <w:bCs/>
        </w:rPr>
        <w:t xml:space="preserve">matières et fournitures consommables</w:t>
      </w:r>
      <w:r>
        <w:t xml:space="preserve">.</w:t>
      </w:r>
    </w:p>
    <w:p>
      <w:pPr>
        <w:pStyle w:val="Heading3"/>
        <w:keepNext/>
        <w:spacing w:after="80" w:before="220"/>
      </w:pPr>
      <w:bookmarkStart w:name="ss15" w:id="15"/>
      <w:r>
        <w:rPr>
          <w:b/>
          <w:bCs/>
          <w:color w:val="1F3864"/>
          <w:sz w:val="25"/>
          <w:szCs w:val="25"/>
        </w:rPr>
        <w:t xml:space="preserve">3.2 L'inventaire permanent et la valorisation des stocks</w:t>
      </w:r>
      <w:bookmarkEnd w:id="15"/>
    </w:p>
    <w:p>
      <w:pPr>
        <w:spacing w:after="100"/>
      </w:pPr>
      <w:r>
        <w:t xml:space="preserve">L'</w:t>
      </w:r>
      <w:r>
        <w:rPr>
          <w:b/>
          <w:bCs/>
        </w:rPr>
        <w:t xml:space="preserve">inventaire permanent</w:t>
      </w:r>
      <w:r>
        <w:t xml:space="preserve"> est une organisation comptable qui enregistre les mouvements de stocks (entrées et sorties) </w:t>
      </w:r>
      <w:r>
        <w:rPr>
          <w:b/>
          <w:bCs/>
        </w:rPr>
        <w:t xml:space="preserve">en quantité et en valeur</w:t>
      </w:r>
      <w:r>
        <w:t xml:space="preserve">, et qui permet de connaître à tout moment le </w:t>
      </w:r>
      <w:r>
        <w:rPr>
          <w:b/>
          <w:bCs/>
        </w:rPr>
        <w:t xml:space="preserve">stock théorique</w:t>
      </w:r>
      <w:r>
        <w:t xml:space="preserve">.</w:t>
      </w:r>
    </w:p>
    <w:p>
      <w:pPr>
        <w:spacing w:after="100"/>
      </w:pPr>
      <w:r>
        <w:t xml:space="preserve">Les stocks peuvent être valorisés selon deux méthodes admises fiscalement : le </w:t>
      </w:r>
      <w:r>
        <w:rPr>
          <w:b/>
          <w:bCs/>
        </w:rPr>
        <w:t xml:space="preserve">CMUP</w:t>
      </w:r>
      <w:r>
        <w:t xml:space="preserve"> et le </w:t>
      </w:r>
      <w:r>
        <w:rPr>
          <w:b/>
          <w:bCs/>
        </w:rPr>
        <w:t xml:space="preserve">FIFO</w:t>
      </w:r>
      <w:r>
        <w:t xml:space="preserv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CMUP</w:t>
      </w:r>
      <w:r>
        <w:rPr>
          <w:b w:val="false"/>
          <w:bCs w:val="false"/>
        </w:rPr>
        <w:t xml:space="preserve"> (coût moyen unitaire pondéré, de fin de période) = (Valeur SI + Valeur des entrées) / (Quantité SI + Quantité des entrées)</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CMUP après chaque entrée</w:t>
      </w:r>
      <w:r>
        <w:rPr>
          <w:b w:val="false"/>
          <w:bCs w:val="false"/>
        </w:rPr>
        <w:t xml:space="preserve"> : on recalcule un nouveau coût moyen à chaque entrée ; les sorties suivantes sont valorisées à ce coût.</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FIFO</w:t>
      </w:r>
      <w:r>
        <w:rPr>
          <w:b w:val="false"/>
          <w:bCs w:val="false"/>
        </w:rPr>
        <w:t xml:space="preserve"> (Premier entré, premier sorti) : les sorties sont valorisées au coût des lots les plus anciens.</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LIFO</w:t>
      </w:r>
      <w:r>
        <w:rPr>
          <w:b w:val="false"/>
          <w:bCs w:val="false"/>
        </w:rPr>
        <w:t xml:space="preserve"> (Dernier entré, premier sorti) : sorties au coût des lots les plus récents – </w:t>
      </w:r>
      <w:r>
        <w:rPr>
          <w:b w:val="false"/>
          <w:bCs w:val="false"/>
          <w:i/>
          <w:iCs/>
        </w:rPr>
        <w:t xml:space="preserve">méthode interdite fiscalement en France</w:t>
      </w:r>
      <w:r>
        <w:rPr>
          <w:b w:val="false"/>
          <w:bCs w:val="false"/>
        </w:rPr>
        <w:t xml:space="preserve">.</w:t>
      </w:r>
    </w:p>
    <w:p>
      <w:pPr>
        <w:spacing w:after="120"/>
      </w:pPr>
    </w:p>
    <w:p>
      <w:pPr>
        <w:spacing w:after="100"/>
      </w:pPr>
      <w:r>
        <w:rPr>
          <w:b/>
          <w:bCs/>
        </w:rPr>
        <w:t xml:space="preserve">Exemple simple</w:t>
      </w:r>
      <w:r>
        <w:t xml:space="preserve"> : SI 10 articles à 5 € ; achats du mois 100 articles pour 550 € ; consommation 90 articles.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SI : 10 × 5 = 50 €   |   Achats : 100 → 550 €   |   Total : 110 articles → 600 €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CMUP</w:t>
      </w:r>
      <w:r>
        <w:t xml:space="preserve"> = 600 / 110 = 5,4545 € → Sorties : 90 × 5,4545 = </w:t>
      </w:r>
      <w:r>
        <w:rPr>
          <w:b/>
          <w:bCs/>
        </w:rPr>
        <w:t xml:space="preserve">490,91 €</w:t>
      </w:r>
      <w:r>
        <w:t xml:space="preserve"> ; SF : 20 × 5,4545 = </w:t>
      </w:r>
      <w:r>
        <w:rPr>
          <w:b/>
          <w:bCs/>
        </w:rPr>
        <w:t xml:space="preserve">109,09 €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FIFO</w:t>
      </w:r>
      <w:r>
        <w:t xml:space="preserve"> : sorties = 10 × 5 + 80 × 5,50 = 50 + 440 = </w:t>
      </w:r>
      <w:r>
        <w:rPr>
          <w:b/>
          <w:bCs/>
        </w:rPr>
        <w:t xml:space="preserve">490 €</w:t>
      </w:r>
      <w:r>
        <w:t xml:space="preserve"> ; SF = 20 × 5,50 = </w:t>
      </w:r>
      <w:r>
        <w:rPr>
          <w:b/>
          <w:bCs/>
        </w:rPr>
        <w:t xml:space="preserve">110 €</w:t>
      </w:r>
    </w:p>
    <w:p>
      <w:pPr>
        <w:spacing w:after="120"/>
      </w:pPr>
    </w:p>
    <w:p>
      <w:pPr>
        <w:pStyle w:val="Heading3"/>
        <w:keepNext/>
        <w:pBdr>
          <w:left w:val="single" w:color="2E75B6" w:sz="24" w:space="6"/>
        </w:pBdr>
        <w:shd w:fill="DEEAF6" w:color="auto" w:val="clear"/>
        <w:spacing w:after="100" w:before="280"/>
      </w:pPr>
      <w:bookmarkStart w:name="cas16" w:id="16"/>
      <w:r>
        <w:rPr>
          <w:b/>
          <w:bCs/>
          <w:color w:val="2E75B6"/>
          <w:sz w:val="25"/>
          <w:szCs w:val="25"/>
        </w:rPr>
        <w:t xml:space="preserve">📌 Valorisation des stocks selon différentes méthodes (mars N)</w:t>
      </w:r>
      <w:bookmarkEnd w:id="16"/>
    </w:p>
    <w:p>
      <w:pPr>
        <w:spacing w:after="100"/>
      </w:pPr>
      <w:r>
        <w:t xml:space="preserve">Mouvements : 1/3 SI 200 pièces à 10 € ; 10/3 achat 100 à 11 € ; 15/3 vente 220 ; 18/3 achat 80 à 12 € ; 31/3 vente 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531"/>
        <w:gridCol w:w="2531"/>
        <w:gridCol w:w="1265"/>
        <w:gridCol w:w="1559"/>
      </w:tblGrid>
      <w:tr>
        <w:trPr>
          <w:cantSplit/>
          <w:tblHeader/>
        </w:trPr>
        <w:tc>
          <w:tcPr>
            <w:tcW w:type="dxa" w:w="1752"/>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Méthode</w:t>
            </w:r>
          </w:p>
        </w:tc>
        <w:tc>
          <w:tcPr>
            <w:tcW w:type="dxa" w:w="2531"/>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Sortie du 15/3 (220 p.)</w:t>
            </w:r>
          </w:p>
        </w:tc>
        <w:tc>
          <w:tcPr>
            <w:tcW w:type="dxa" w:w="2531"/>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Sortie du 31/3 (90 p.)</w:t>
            </w:r>
          </w:p>
        </w:tc>
        <w:tc>
          <w:tcPr>
            <w:tcW w:type="dxa" w:w="126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Coût des ventes</w:t>
            </w:r>
          </w:p>
        </w:tc>
        <w:tc>
          <w:tcPr>
            <w:tcW w:type="dxa" w:w="155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Stock final (70 p.)</w:t>
            </w:r>
          </w:p>
        </w:tc>
      </w:tr>
      <w:tr>
        <w:trPr>
          <w:cantSplit/>
          <w:tblHeader w:val="false"/>
        </w:trPr>
        <w:tc>
          <w:tcPr>
            <w:tcW w:type="dxa" w:w="17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bCs/>
                <w:sz w:val="20"/>
                <w:szCs w:val="20"/>
              </w:rPr>
              <w:t xml:space="preserve">FIFO</w:t>
            </w:r>
          </w:p>
        </w:tc>
        <w:tc>
          <w:tcPr>
            <w:tcW w:type="dxa" w:w="253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200 × 10 + 20 × 11 = 2 220</w:t>
            </w:r>
          </w:p>
        </w:tc>
        <w:tc>
          <w:tcPr>
            <w:tcW w:type="dxa" w:w="253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80 × 11 + 10 × 12 = 1 000</w:t>
            </w:r>
          </w:p>
        </w:tc>
        <w:tc>
          <w:tcPr>
            <w:tcW w:type="dxa" w:w="12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b/>
                <w:bCs/>
                <w:sz w:val="20"/>
                <w:szCs w:val="20"/>
              </w:rPr>
              <w:t xml:space="preserve">3 220</w:t>
            </w:r>
          </w:p>
        </w:tc>
        <w:tc>
          <w:tcPr>
            <w:tcW w:type="dxa" w:w="15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70 × 12 = </w:t>
            </w:r>
            <w:r>
              <w:rPr>
                <w:b/>
                <w:bCs/>
                <w:sz w:val="20"/>
                <w:szCs w:val="20"/>
              </w:rPr>
              <w:t xml:space="preserve">840</w:t>
            </w:r>
          </w:p>
        </w:tc>
      </w:tr>
      <w:tr>
        <w:trPr>
          <w:cantSplit/>
          <w:tblHeader w:val="false"/>
        </w:trPr>
        <w:tc>
          <w:tcPr>
            <w:tcW w:type="dxa" w:w="175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b/>
                <w:bCs/>
                <w:sz w:val="20"/>
                <w:szCs w:val="20"/>
              </w:rPr>
              <w:t xml:space="preserve">LIFO</w:t>
            </w:r>
          </w:p>
        </w:tc>
        <w:tc>
          <w:tcPr>
            <w:tcW w:type="dxa" w:w="253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100 × 11 + 120 × 10 = 2 300</w:t>
            </w:r>
          </w:p>
        </w:tc>
        <w:tc>
          <w:tcPr>
            <w:tcW w:type="dxa" w:w="253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80 × 12 + 10 × 10 = 1 060</w:t>
            </w:r>
          </w:p>
        </w:tc>
        <w:tc>
          <w:tcPr>
            <w:tcW w:type="dxa" w:w="12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b/>
                <w:bCs/>
                <w:sz w:val="20"/>
                <w:szCs w:val="20"/>
              </w:rPr>
              <w:t xml:space="preserve">3 360</w:t>
            </w:r>
          </w:p>
        </w:tc>
        <w:tc>
          <w:tcPr>
            <w:tcW w:type="dxa" w:w="155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70 × 10 = </w:t>
            </w:r>
            <w:r>
              <w:rPr>
                <w:b/>
                <w:bCs/>
                <w:sz w:val="20"/>
                <w:szCs w:val="20"/>
              </w:rPr>
              <w:t xml:space="preserve">700</w:t>
            </w:r>
          </w:p>
        </w:tc>
      </w:tr>
      <w:tr>
        <w:trPr>
          <w:cantSplit/>
          <w:tblHeader w:val="false"/>
        </w:trPr>
        <w:tc>
          <w:tcPr>
            <w:tcW w:type="dxa" w:w="175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bCs/>
                <w:sz w:val="20"/>
                <w:szCs w:val="20"/>
              </w:rPr>
              <w:t xml:space="preserve">CMUP après chaque entrée</w:t>
            </w:r>
          </w:p>
        </w:tc>
        <w:tc>
          <w:tcPr>
            <w:tcW w:type="dxa" w:w="253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CMUP = 3 100 / 300 = 10,333</w:t>
            </w:r>
          </w:p>
          <w:p>
            <w:pPr>
              <w:jc w:val="center"/>
            </w:pPr>
            <w:r>
              <w:rPr>
                <w:sz w:val="20"/>
                <w:szCs w:val="20"/>
              </w:rPr>
              <w:t xml:space="preserve">220 × 10,333 = 2 273,33</w:t>
            </w:r>
          </w:p>
        </w:tc>
        <w:tc>
          <w:tcPr>
            <w:tcW w:type="dxa" w:w="253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CMUP = (826,67 + 960) / 160 = 11,167</w:t>
            </w:r>
          </w:p>
          <w:p>
            <w:pPr>
              <w:jc w:val="center"/>
            </w:pPr>
            <w:r>
              <w:rPr>
                <w:sz w:val="20"/>
                <w:szCs w:val="20"/>
              </w:rPr>
              <w:t xml:space="preserve">90 × 11,167 = 1 005</w:t>
            </w:r>
          </w:p>
        </w:tc>
        <w:tc>
          <w:tcPr>
            <w:tcW w:type="dxa" w:w="12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b/>
                <w:bCs/>
                <w:sz w:val="20"/>
                <w:szCs w:val="20"/>
              </w:rPr>
              <w:t xml:space="preserve">3 278,33</w:t>
            </w:r>
          </w:p>
        </w:tc>
        <w:tc>
          <w:tcPr>
            <w:tcW w:type="dxa" w:w="15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70 × 11,167 = </w:t>
            </w:r>
            <w:r>
              <w:rPr>
                <w:b/>
                <w:bCs/>
                <w:sz w:val="20"/>
                <w:szCs w:val="20"/>
              </w:rPr>
              <w:t xml:space="preserve">781,67</w:t>
            </w:r>
          </w:p>
        </w:tc>
      </w:tr>
    </w:tbl>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 corrigé indiquait pour le CMUP : « (2 000 + 1 100 + 960) / 400 = 10,15 ». Erreur : le dénominateur est </w:t>
      </w:r>
      <w:r>
        <w:rPr>
          <w:b/>
          <w:bCs/>
        </w:rPr>
        <w:t xml:space="preserve">200 + 100 + 80 = 380</w:t>
      </w:r>
      <w:r>
        <w:t xml:space="preserve"> pièces.</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 tableau (3 278,33 / 781,67) correspond au </w:t>
      </w:r>
      <w:r>
        <w:rPr>
          <w:b/>
          <w:bCs/>
        </w:rPr>
        <w:t xml:space="preserve">CMUP après chaque entrée</w:t>
      </w:r>
      <w:r>
        <w:t xml:space="preserve"> (calcul ci-dessus).</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Avec un </w:t>
      </w:r>
      <w:r>
        <w:rPr>
          <w:b/>
          <w:bCs/>
        </w:rPr>
        <w:t xml:space="preserve">CMUP de fin de période</w:t>
      </w:r>
      <w:r>
        <w:t xml:space="preserve"> : 4 060 / 380 = 10,684 € → coût des ventes = 310 × 10,684 = </w:t>
      </w:r>
      <w:r>
        <w:rPr>
          <w:b/>
          <w:bCs/>
        </w:rPr>
        <w:t xml:space="preserve">3 312,11 €</w:t>
      </w:r>
      <w:r>
        <w:t xml:space="preserve"> ; SF = 70 × 10,684 = </w:t>
      </w:r>
      <w:r>
        <w:rPr>
          <w:b/>
          <w:bCs/>
        </w:rPr>
        <w:t xml:space="preserve">747,89 €</w:t>
      </w:r>
      <w:r>
        <w:t xml:space="preserve">.</w:t>
      </w:r>
    </w:p>
    <w:p>
      <w:pPr>
        <w:spacing w:after="120"/>
      </w:pPr>
    </w:p>
    <w:p>
      <w:pPr>
        <w:spacing w:after="100"/>
      </w:pPr>
      <w:r>
        <w:rPr>
          <w:b/>
          <w:bCs/>
        </w:rPr>
        <w:t xml:space="preserve">La méthode n'est pas neutre : elle influence le résultat.</w:t>
      </w:r>
      <w:r>
        <w:t xml:space="preserve"> En période de hausse des prix, le FIFO donne le coût des ventes le plus faible (donc le résultat le plus élevé) et le stock final le plus proche des prix actuels.</w:t>
      </w:r>
    </w:p>
    <w:p>
      <w:pPr>
        <w:pStyle w:val="Heading3"/>
        <w:keepNext/>
        <w:pBdr>
          <w:left w:val="single" w:color="2E75B6" w:sz="24" w:space="6"/>
        </w:pBdr>
        <w:shd w:fill="DEEAF6" w:color="auto" w:val="clear"/>
        <w:spacing w:after="100" w:before="280"/>
      </w:pPr>
      <w:bookmarkStart w:name="cas17" w:id="17"/>
      <w:r>
        <w:rPr>
          <w:b/>
          <w:bCs/>
          <w:color w:val="2E75B6"/>
          <w:sz w:val="25"/>
          <w:szCs w:val="25"/>
        </w:rPr>
        <w:t xml:space="preserve">📌 Exercice 1 – Produit A (décembre)</w:t>
      </w:r>
      <w:bookmarkEnd w:id="17"/>
    </w:p>
    <w:p>
      <w:pPr>
        <w:spacing w:after="100"/>
      </w:pPr>
      <w:r>
        <w:t xml:space="preserve">1/12 SI 800 u. à 20 € ; 2/12 entrée 500 à 22 € ; 5/12 sortie 200 ; 9/12 sortie 150 ; 14/12 entrée 300 à 26 € ; 16/12 entrée 100 à 26 € ; 19/12 sortie 250 ; 27/12 sortie 350.</w:t>
      </w:r>
    </w:p>
    <w:p>
      <w:pPr>
        <w:spacing w:after="100"/>
      </w:pPr>
      <w:r>
        <w:rPr>
          <w:b/>
          <w:bCs/>
        </w:rPr>
        <w:t xml:space="preserve">1. CMUP après chaque entrée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1793"/>
        <w:gridCol w:w="3362"/>
        <w:gridCol w:w="1344"/>
        <w:gridCol w:w="2243"/>
      </w:tblGrid>
      <w:tr>
        <w:trPr>
          <w:cantSplit/>
          <w:tblHeader/>
        </w:trPr>
        <w:tc>
          <w:tcPr>
            <w:tcW w:type="dxa" w:w="896"/>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Date</w:t>
            </w:r>
          </w:p>
        </w:tc>
        <w:tc>
          <w:tcPr>
            <w:tcW w:type="dxa" w:w="1793"/>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Opération</w:t>
            </w:r>
          </w:p>
        </w:tc>
        <w:tc>
          <w:tcPr>
            <w:tcW w:type="dxa" w:w="3362"/>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Calcul du coût</w:t>
            </w:r>
          </w:p>
        </w:tc>
        <w:tc>
          <w:tcPr>
            <w:tcW w:type="dxa" w:w="134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c>
          <w:tcPr>
            <w:tcW w:type="dxa" w:w="2243"/>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Stock (qté / valeur)</w:t>
            </w:r>
          </w:p>
        </w:tc>
      </w:tr>
      <w:tr>
        <w:trPr>
          <w:cantSplit/>
          <w:tblHeader w:val="false"/>
        </w:trPr>
        <w:tc>
          <w:tcPr>
            <w:tcW w:type="dxa" w:w="8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1/12</w:t>
            </w:r>
          </w:p>
        </w:tc>
        <w:tc>
          <w:tcPr>
            <w:tcW w:type="dxa" w:w="17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SI 800 × 20</w:t>
            </w:r>
          </w:p>
        </w:tc>
        <w:tc>
          <w:tcPr>
            <w:tcW w:type="dxa" w:w="33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p>
        </w:tc>
        <w:tc>
          <w:tcPr>
            <w:tcW w:type="dxa" w:w="13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16 000</w:t>
            </w:r>
          </w:p>
        </w:tc>
        <w:tc>
          <w:tcPr>
            <w:tcW w:type="dxa" w:w="22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800 / 16 000</w:t>
            </w:r>
          </w:p>
        </w:tc>
      </w:tr>
      <w:tr>
        <w:trPr>
          <w:cantSplit/>
          <w:tblHeader w:val="false"/>
        </w:trPr>
        <w:tc>
          <w:tcPr>
            <w:tcW w:type="dxa" w:w="89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2/12</w:t>
            </w:r>
          </w:p>
        </w:tc>
        <w:tc>
          <w:tcPr>
            <w:tcW w:type="dxa" w:w="179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Entrée 500 × 22</w:t>
            </w:r>
          </w:p>
        </w:tc>
        <w:tc>
          <w:tcPr>
            <w:tcW w:type="dxa" w:w="33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CMUP = 27 000 / 1 300 = 20,769</w:t>
            </w:r>
          </w:p>
        </w:tc>
        <w:tc>
          <w:tcPr>
            <w:tcW w:type="dxa" w:w="13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11 000</w:t>
            </w:r>
          </w:p>
        </w:tc>
        <w:tc>
          <w:tcPr>
            <w:tcW w:type="dxa" w:w="224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1 300 / 27 000</w:t>
            </w:r>
          </w:p>
        </w:tc>
      </w:tr>
      <w:tr>
        <w:trPr>
          <w:cantSplit/>
          <w:tblHeader w:val="false"/>
        </w:trPr>
        <w:tc>
          <w:tcPr>
            <w:tcW w:type="dxa" w:w="8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5/12</w:t>
            </w:r>
          </w:p>
        </w:tc>
        <w:tc>
          <w:tcPr>
            <w:tcW w:type="dxa" w:w="17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Sortie 200</w:t>
            </w:r>
          </w:p>
        </w:tc>
        <w:tc>
          <w:tcPr>
            <w:tcW w:type="dxa" w:w="33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200 × 20,769</w:t>
            </w:r>
          </w:p>
        </w:tc>
        <w:tc>
          <w:tcPr>
            <w:tcW w:type="dxa" w:w="13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4 153,85</w:t>
            </w:r>
          </w:p>
        </w:tc>
        <w:tc>
          <w:tcPr>
            <w:tcW w:type="dxa" w:w="22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1 100 / 22 846,15</w:t>
            </w:r>
          </w:p>
        </w:tc>
      </w:tr>
      <w:tr>
        <w:trPr>
          <w:cantSplit/>
          <w:tblHeader w:val="false"/>
        </w:trPr>
        <w:tc>
          <w:tcPr>
            <w:tcW w:type="dxa" w:w="89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9/12</w:t>
            </w:r>
          </w:p>
        </w:tc>
        <w:tc>
          <w:tcPr>
            <w:tcW w:type="dxa" w:w="179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Sortie 150</w:t>
            </w:r>
          </w:p>
        </w:tc>
        <w:tc>
          <w:tcPr>
            <w:tcW w:type="dxa" w:w="33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150 × 20,769</w:t>
            </w:r>
          </w:p>
        </w:tc>
        <w:tc>
          <w:tcPr>
            <w:tcW w:type="dxa" w:w="13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3 115,38</w:t>
            </w:r>
          </w:p>
        </w:tc>
        <w:tc>
          <w:tcPr>
            <w:tcW w:type="dxa" w:w="224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950 / 19 730,77</w:t>
            </w:r>
          </w:p>
        </w:tc>
      </w:tr>
      <w:tr>
        <w:trPr>
          <w:cantSplit/>
          <w:tblHeader w:val="false"/>
        </w:trPr>
        <w:tc>
          <w:tcPr>
            <w:tcW w:type="dxa" w:w="8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14/12</w:t>
            </w:r>
          </w:p>
        </w:tc>
        <w:tc>
          <w:tcPr>
            <w:tcW w:type="dxa" w:w="17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Entrée 300 × 26</w:t>
            </w:r>
          </w:p>
        </w:tc>
        <w:tc>
          <w:tcPr>
            <w:tcW w:type="dxa" w:w="33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CMUP = 27 530,77 / 1 250 = 22,025</w:t>
            </w:r>
          </w:p>
        </w:tc>
        <w:tc>
          <w:tcPr>
            <w:tcW w:type="dxa" w:w="13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7 800</w:t>
            </w:r>
          </w:p>
        </w:tc>
        <w:tc>
          <w:tcPr>
            <w:tcW w:type="dxa" w:w="22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1 250 / 27 530,77</w:t>
            </w:r>
          </w:p>
        </w:tc>
      </w:tr>
      <w:tr>
        <w:trPr>
          <w:cantSplit/>
          <w:tblHeader w:val="false"/>
        </w:trPr>
        <w:tc>
          <w:tcPr>
            <w:tcW w:type="dxa" w:w="89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16/12</w:t>
            </w:r>
          </w:p>
        </w:tc>
        <w:tc>
          <w:tcPr>
            <w:tcW w:type="dxa" w:w="179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Entrée 100 × 26</w:t>
            </w:r>
          </w:p>
        </w:tc>
        <w:tc>
          <w:tcPr>
            <w:tcW w:type="dxa" w:w="33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CMUP = 30 130,77 / 1 350 = 22,319</w:t>
            </w:r>
          </w:p>
        </w:tc>
        <w:tc>
          <w:tcPr>
            <w:tcW w:type="dxa" w:w="13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2 600</w:t>
            </w:r>
          </w:p>
        </w:tc>
        <w:tc>
          <w:tcPr>
            <w:tcW w:type="dxa" w:w="224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1 350 / 30 130,77</w:t>
            </w:r>
          </w:p>
        </w:tc>
      </w:tr>
      <w:tr>
        <w:trPr>
          <w:cantSplit/>
          <w:tblHeader w:val="false"/>
        </w:trPr>
        <w:tc>
          <w:tcPr>
            <w:tcW w:type="dxa" w:w="89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19/12</w:t>
            </w:r>
          </w:p>
        </w:tc>
        <w:tc>
          <w:tcPr>
            <w:tcW w:type="dxa" w:w="17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Sortie 250</w:t>
            </w:r>
          </w:p>
        </w:tc>
        <w:tc>
          <w:tcPr>
            <w:tcW w:type="dxa" w:w="33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250 × 22,319</w:t>
            </w:r>
          </w:p>
        </w:tc>
        <w:tc>
          <w:tcPr>
            <w:tcW w:type="dxa" w:w="13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5 579,77</w:t>
            </w:r>
          </w:p>
        </w:tc>
        <w:tc>
          <w:tcPr>
            <w:tcW w:type="dxa" w:w="22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1 100 / 24 551,00</w:t>
            </w:r>
          </w:p>
        </w:tc>
      </w:tr>
      <w:tr>
        <w:trPr>
          <w:cantSplit/>
          <w:tblHeader w:val="false"/>
        </w:trPr>
        <w:tc>
          <w:tcPr>
            <w:tcW w:type="dxa" w:w="89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27/12</w:t>
            </w:r>
          </w:p>
        </w:tc>
        <w:tc>
          <w:tcPr>
            <w:tcW w:type="dxa" w:w="179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Sortie 350</w:t>
            </w:r>
          </w:p>
        </w:tc>
        <w:tc>
          <w:tcPr>
            <w:tcW w:type="dxa" w:w="33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350 × 22,319</w:t>
            </w:r>
          </w:p>
        </w:tc>
        <w:tc>
          <w:tcPr>
            <w:tcW w:type="dxa" w:w="13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7 811,68</w:t>
            </w:r>
          </w:p>
        </w:tc>
        <w:tc>
          <w:tcPr>
            <w:tcW w:type="dxa" w:w="224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b/>
                <w:bCs/>
                <w:sz w:val="20"/>
                <w:szCs w:val="20"/>
              </w:rPr>
              <w:t xml:space="preserve">750 / 16 739,32</w:t>
            </w:r>
          </w:p>
        </w:tc>
      </w:tr>
    </w:tbl>
    <w:p>
      <w:pPr>
        <w:spacing w:after="120"/>
      </w:pPr>
    </w:p>
    <w:p>
      <w:pPr>
        <w:spacing w:after="100"/>
      </w:pPr>
      <w:r>
        <w:t xml:space="preserve">Total des sorties = 4 153,85 + 3 115,38 + 5 579,77 + 7 811,68 = </w:t>
      </w:r>
      <w:r>
        <w:rPr>
          <w:b/>
          <w:bCs/>
        </w:rPr>
        <w:t xml:space="preserve">20 660,68 €</w:t>
      </w:r>
      <w:r>
        <w:t xml:space="preserve">.</w:t>
      </w:r>
    </w:p>
    <w:p>
      <w:pPr>
        <w:spacing w:after="100"/>
      </w:pPr>
      <w:r>
        <w:rPr>
          <w:b/>
          <w:bCs/>
        </w:rPr>
        <w:t xml:space="preserve">2. CMUP mensuel (fin de période)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CMUP = (16 000 + 11 000 + 7 800 + 2 600) / (800 + 500 + 300 + 100) = 37 400 / 1 700 = </w:t>
      </w:r>
      <w:r>
        <w:rPr>
          <w:b/>
          <w:bCs/>
        </w:rPr>
        <w:t xml:space="preserve">22 €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Sorties : 950 × 22 = </w:t>
      </w:r>
      <w:r>
        <w:rPr>
          <w:b/>
          <w:bCs/>
        </w:rPr>
        <w:t xml:space="preserve">20 900 €</w:t>
      </w:r>
      <w:r>
        <w:t xml:space="preserve"> ; Stock final : 750 × 22 = </w:t>
      </w:r>
      <w:r>
        <w:rPr>
          <w:b/>
          <w:bCs/>
        </w:rPr>
        <w:t xml:space="preserve">16 500 €</w:t>
      </w:r>
    </w:p>
    <w:p>
      <w:pPr>
        <w:spacing w:after="120"/>
      </w:pPr>
    </w:p>
    <w:p>
      <w:pPr>
        <w:spacing w:after="100"/>
      </w:pPr>
      <w:r>
        <w:rPr>
          <w:b/>
          <w:bCs/>
        </w:rPr>
        <w:t xml:space="preserve">3. FIFO</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5/12 : 200 × 20 = 4 000 ; 9/12 : 150 × 20 = 3 000 ; 19/12 : 250 × 20 = 5 000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27/12 : (200 × 20) + (150 × 22) = 4 000 + 3 300 = 7 300</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Total sorties = </w:t>
      </w:r>
      <w:r>
        <w:rPr>
          <w:b/>
          <w:bCs/>
        </w:rPr>
        <w:t xml:space="preserve">19 300 €</w:t>
      </w:r>
      <w:r>
        <w:t xml:space="preserve"> ; Stock final = 350 × 22 + 400 × 26 = 7 700 + 10 400 = </w:t>
      </w:r>
      <w:r>
        <w:rPr>
          <w:b/>
          <w:bCs/>
        </w:rPr>
        <w:t xml:space="preserve">18 100 €</w:t>
      </w:r>
    </w:p>
    <w:p>
      <w:pPr>
        <w:spacing w:after="120"/>
      </w:pPr>
    </w:p>
    <w:p>
      <w:pPr>
        <w:spacing w:after="100"/>
      </w:pPr>
      <w:r>
        <w:rPr>
          <w:b/>
          <w:bCs/>
        </w:rPr>
        <w:t xml:space="preserve">4. Avantages et inconvénients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3748"/>
        <w:gridCol w:w="3749"/>
      </w:tblGrid>
      <w:tr>
        <w:trPr>
          <w:cantSplit/>
          <w:tblHeader/>
        </w:trPr>
        <w:tc>
          <w:tcPr>
            <w:tcW w:type="dxa" w:w="2141"/>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Méthode</w:t>
            </w:r>
          </w:p>
        </w:tc>
        <w:tc>
          <w:tcPr>
            <w:tcW w:type="dxa" w:w="3748"/>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Avantages</w:t>
            </w:r>
          </w:p>
        </w:tc>
        <w:tc>
          <w:tcPr>
            <w:tcW w:type="dxa" w:w="374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Inconvénients</w:t>
            </w:r>
          </w:p>
        </w:tc>
      </w:tr>
      <w:tr>
        <w:trPr>
          <w:cantSplit/>
          <w:tblHeader w:val="false"/>
        </w:trPr>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CMUP après chaque entrée</w:t>
            </w:r>
          </w:p>
        </w:tc>
        <w:tc>
          <w:tcPr>
            <w:tcW w:type="dxa" w:w="3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Valeur du stock connue en permanence ; lisse les variations de prix</w:t>
            </w:r>
          </w:p>
        </w:tc>
        <w:tc>
          <w:tcPr>
            <w:tcW w:type="dxa" w:w="37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Calculs nombreux</w:t>
            </w:r>
          </w:p>
        </w:tc>
      </w:tr>
      <w:tr>
        <w:trPr>
          <w:cantSplit/>
          <w:tblHeader w:val="false"/>
        </w:trPr>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CMUP de période</w:t>
            </w:r>
          </w:p>
        </w:tc>
        <w:tc>
          <w:tcPr>
            <w:tcW w:type="dxa" w:w="37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Très simple, un seul calcul</w:t>
            </w:r>
          </w:p>
        </w:tc>
        <w:tc>
          <w:tcPr>
            <w:tcW w:type="dxa" w:w="37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Valorisation des sorties connue seulement en fin de période</w:t>
            </w:r>
          </w:p>
        </w:tc>
      </w:tr>
      <w:tr>
        <w:trPr>
          <w:cantSplit/>
          <w:tblHeader w:val="false"/>
        </w:trPr>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FIFO</w:t>
            </w:r>
          </w:p>
        </w:tc>
        <w:tc>
          <w:tcPr>
            <w:tcW w:type="dxa" w:w="3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Stock final proche des prix actuels ; suit le flux physique</w:t>
            </w:r>
          </w:p>
        </w:tc>
        <w:tc>
          <w:tcPr>
            <w:tcW w:type="dxa" w:w="37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En période d'inflation, gonfle le résultat (sorties valorisées à des prix anciens)</w:t>
            </w:r>
          </w:p>
        </w:tc>
      </w:tr>
    </w:tbl>
    <w:p>
      <w:pPr>
        <w:spacing w:after="120"/>
      </w:pPr>
    </w:p>
    <w:p>
      <w:pPr>
        <w:spacing w:after="120" w:before="60"/>
      </w:pPr>
      <w:r>
        <w:rPr>
          <w:b/>
          <w:bCs/>
          <w:color w:val="FFFFFF"/>
          <w:sz w:val="20"/>
          <w:szCs w:val="20"/>
          <w:shd w:fill="217346" w:color="auto" w:val="clear"/>
        </w:rPr>
        <w:t xml:space="preserve"> 📊 Voir Excel – Exercice 1 </w:t>
      </w:r>
    </w:p>
    <w:p>
      <w:pPr>
        <w:pStyle w:val="Heading3"/>
        <w:keepNext/>
        <w:spacing w:after="80" w:before="220"/>
      </w:pPr>
      <w:bookmarkStart w:name="ss18" w:id="18"/>
      <w:r>
        <w:rPr>
          <w:b/>
          <w:bCs/>
          <w:color w:val="1F3864"/>
          <w:sz w:val="25"/>
          <w:szCs w:val="25"/>
        </w:rPr>
        <w:t xml:space="preserve">3.3 Le coût de production</w:t>
      </w:r>
      <w:bookmarkEnd w:id="18"/>
    </w:p>
    <w:p>
      <w:pPr>
        <w:spacing w:after="100"/>
      </w:pPr>
      <w:r>
        <w:t xml:space="preserve">Il intègre, outre la consommation des matières, les </w:t>
      </w:r>
      <w:r>
        <w:rPr>
          <w:b/>
          <w:bCs/>
        </w:rPr>
        <w:t xml:space="preserve">charges directes et indirectes de production</w:t>
      </w:r>
      <w:r>
        <w:t xml:space="preserve"> :</w:t>
      </w:r>
    </w:p>
    <w:p>
      <w:pPr>
        <w:pStyle w:val="ListParagraph"/>
        <w:numPr>
          <w:ilvl w:val="0"/>
          <w:numId w:val="2"/>
        </w:numPr>
        <w:spacing w:after="60"/>
      </w:pPr>
      <w:r>
        <w:t xml:space="preserve">charges </w:t>
      </w:r>
      <w:r>
        <w:rPr>
          <w:b/>
          <w:bCs/>
        </w:rPr>
        <w:t xml:space="preserve">directes</w:t>
      </w:r>
      <w:r>
        <w:t xml:space="preserve"> : matières, produits et emballages valorisés au </w:t>
      </w:r>
      <w:r>
        <w:rPr>
          <w:b/>
          <w:bCs/>
        </w:rPr>
        <w:t xml:space="preserve">coût de sortie du stock</w:t>
      </w:r>
      <w:r>
        <w:t xml:space="preserve"> (ou au coût d'achat pour les éléments non stockés), et la </w:t>
      </w:r>
      <w:r>
        <w:rPr>
          <w:b/>
          <w:bCs/>
        </w:rPr>
        <w:t xml:space="preserve">main-d'œuvre directe</w:t>
      </w:r>
      <w:r>
        <w:t xml:space="preserve"> ;</w:t>
      </w:r>
    </w:p>
    <w:p>
      <w:pPr>
        <w:pStyle w:val="ListParagraph"/>
        <w:numPr>
          <w:ilvl w:val="0"/>
          <w:numId w:val="2"/>
        </w:numPr>
        <w:spacing w:after="60"/>
      </w:pPr>
      <w:r>
        <w:t xml:space="preserve">charges </w:t>
      </w:r>
      <w:r>
        <w:rPr>
          <w:b/>
          <w:bCs/>
        </w:rPr>
        <w:t xml:space="preserve">indirectes</w:t>
      </w:r>
      <w:r>
        <w:t xml:space="preserve"> : coûts des </w:t>
      </w:r>
      <w:r>
        <w:rPr>
          <w:b/>
          <w:bCs/>
        </w:rPr>
        <w:t xml:space="preserve">centres d'analyse de production</w:t>
      </w:r>
      <w:r>
        <w:t xml:space="preserve">.</w:t>
      </w:r>
    </w:p>
    <w:p>
      <w:pPr>
        <w:spacing w:after="100"/>
      </w:pPr>
      <w:r>
        <w:t xml:space="preserve">Le coût de production concerne : le </w:t>
      </w:r>
      <w:r>
        <w:rPr>
          <w:b/>
          <w:bCs/>
        </w:rPr>
        <w:t xml:space="preserve">produit fini</w:t>
      </w:r>
      <w:r>
        <w:t xml:space="preserve"> (qui a parcouru tout le cycle), le </w:t>
      </w:r>
      <w:r>
        <w:rPr>
          <w:b/>
          <w:bCs/>
        </w:rPr>
        <w:t xml:space="preserve">produit intermédiaire / semi-fini / en-cours</w:t>
      </w:r>
      <w:r>
        <w:t xml:space="preserve">, et les </w:t>
      </w:r>
      <w:r>
        <w:rPr>
          <w:b/>
          <w:bCs/>
        </w:rPr>
        <w:t xml:space="preserve">produits résiduels</w:t>
      </w:r>
      <w:r>
        <w:t xml:space="preserve"> (déchets, rebuts).</w:t>
      </w:r>
    </w:p>
    <w:p>
      <w:pPr>
        <w:spacing w:after="100"/>
      </w:pPr>
      <w:r>
        <w:rPr>
          <w:b/>
          <w:bCs/>
        </w:rPr>
        <w:t xml:space="preserve">Cas particuliers :</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En-cours de production</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Coût de production des produits terminés en N</w:t>
      </w:r>
      <w:r>
        <w:rPr>
          <w:b w:val="false"/>
          <w:bCs w:val="false"/>
        </w:rPr>
        <w:t xml:space="preserve"> = Charges du mois N + Coût des en-cours initiaux – Coût des en-cours finaux</w:t>
      </w:r>
    </w:p>
    <w:p>
      <w:pPr>
        <w:spacing w:after="120"/>
      </w:pPr>
    </w:p>
    <w:p>
      <w:pPr>
        <w:pStyle w:val="ListParagraph"/>
        <w:numPr>
          <w:ilvl w:val="0"/>
          <w:numId w:val="2"/>
        </w:numPr>
        <w:spacing w:after="60"/>
      </w:pPr>
      <w:r>
        <w:rPr>
          <w:b/>
          <w:bCs/>
        </w:rPr>
        <w:t xml:space="preserve">Déchets sans valeur</w:t>
      </w:r>
      <w:r>
        <w:t xml:space="preserve"> : s'ils entraînent des coûts d'enlèvement ou de destruction, ces coûts </w:t>
      </w:r>
      <w:r>
        <w:rPr>
          <w:b/>
          <w:bCs/>
        </w:rPr>
        <w:t xml:space="preserve">s'ajoutent</w:t>
      </w:r>
      <w:r>
        <w:t xml:space="preserve"> au coût de production.</w:t>
      </w:r>
    </w:p>
    <w:p>
      <w:pPr>
        <w:pStyle w:val="ListParagraph"/>
        <w:numPr>
          <w:ilvl w:val="0"/>
          <w:numId w:val="2"/>
        </w:numPr>
        <w:spacing w:after="60"/>
      </w:pPr>
      <w:r>
        <w:rPr>
          <w:b/>
          <w:bCs/>
        </w:rPr>
        <w:t xml:space="preserve">Déchets vendables</w:t>
      </w:r>
      <w:r>
        <w:t xml:space="preserve"> (en l'état ou après transformation) : leur prix de vente vient </w:t>
      </w:r>
      <w:r>
        <w:rPr>
          <w:b/>
          <w:bCs/>
        </w:rPr>
        <w:t xml:space="preserve">en déduction</w:t>
      </w:r>
      <w:r>
        <w:t xml:space="preserve"> du coût de production du produit principal.</w:t>
      </w:r>
    </w:p>
    <w:p>
      <w:pPr>
        <w:pStyle w:val="Heading3"/>
        <w:keepNext/>
        <w:spacing w:after="80" w:before="220"/>
      </w:pPr>
      <w:bookmarkStart w:name="ss19" w:id="19"/>
      <w:r>
        <w:rPr>
          <w:b/>
          <w:bCs/>
          <w:color w:val="1F3864"/>
          <w:sz w:val="25"/>
          <w:szCs w:val="25"/>
        </w:rPr>
        <w:t xml:space="preserve">3.4 Le coût de revient</w:t>
      </w:r>
      <w:bookmarkEnd w:id="19"/>
    </w:p>
    <w:p>
      <w:pPr>
        <w:spacing w:after="100"/>
      </w:pPr>
      <w:r>
        <w:t xml:space="preserve">Les </w:t>
      </w:r>
      <w:r>
        <w:rPr>
          <w:b/>
          <w:bCs/>
        </w:rPr>
        <w:t xml:space="preserve">coûts hors production</w:t>
      </w:r>
      <w:r>
        <w:t xml:space="preserve"> sont les charges directes et indirectes de </w:t>
      </w:r>
      <w:r>
        <w:rPr>
          <w:b/>
          <w:bCs/>
        </w:rPr>
        <w:t xml:space="preserve">distribution</w:t>
      </w:r>
      <w:r>
        <w:t xml:space="preserve"> et d'</w:t>
      </w:r>
      <w:r>
        <w:rPr>
          <w:b/>
          <w:bCs/>
        </w:rPr>
        <w:t xml:space="preserve">administration</w:t>
      </w:r>
      <w:r>
        <w:t xml:space="preserv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Coût de revient</w:t>
      </w:r>
      <w:r>
        <w:rPr>
          <w:b w:val="false"/>
          <w:bCs w:val="false"/>
        </w:rPr>
        <w:t xml:space="preserve"> des produits vendus = Coût de production des produits vendus + Coûts hors production des produits vendus</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C'est le coût complet.</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Résultat analytique</w:t>
      </w:r>
      <w:r>
        <w:rPr>
          <w:b w:val="false"/>
          <w:bCs w:val="false"/>
        </w:rPr>
        <w:t xml:space="preserve"> = Chiffre d'affaires – Coût de revient</w:t>
      </w:r>
    </w:p>
    <w:p>
      <w:pPr>
        <w:spacing w:after="120"/>
      </w:pPr>
    </w:p>
    <w:p>
      <w:pPr>
        <w:pStyle w:val="Heading3"/>
        <w:keepNext/>
        <w:pBdr>
          <w:left w:val="single" w:color="2E75B6" w:sz="24" w:space="6"/>
        </w:pBdr>
        <w:shd w:fill="DEEAF6" w:color="auto" w:val="clear"/>
        <w:spacing w:after="100" w:before="280"/>
      </w:pPr>
      <w:bookmarkStart w:name="cas20" w:id="20"/>
      <w:r>
        <w:rPr>
          <w:b/>
          <w:bCs/>
          <w:color w:val="2E75B6"/>
          <w:sz w:val="25"/>
          <w:szCs w:val="25"/>
        </w:rPr>
        <w:t xml:space="preserve">📌 Cas BORBICONI – coût de production, coût de revient et résultat d'une commande</w:t>
      </w:r>
      <w:bookmarkEnd w:id="20"/>
    </w:p>
    <w:p>
      <w:pPr>
        <w:spacing w:after="120" w:before="60"/>
      </w:pPr>
      <w:r>
        <w:rPr>
          <w:b/>
          <w:bCs/>
          <w:color w:val="FFFFFF"/>
          <w:sz w:val="20"/>
          <w:szCs w:val="20"/>
          <w:shd w:fill="7030A0" w:color="auto" w:val="clear"/>
        </w:rPr>
        <w:t xml:space="preserve"> 📄 Voir énoncé – BORBICONI </w:t>
      </w:r>
    </w:p>
    <w:p>
      <w:pPr>
        <w:spacing w:after="100"/>
      </w:pPr>
      <w:r>
        <w:rPr>
          <w:b/>
          <w:bCs/>
        </w:rPr>
        <w:t xml:space="preserve">1. Coût des unités d'œuvre</w:t>
      </w:r>
      <w:r>
        <w:t xml:space="preserve"> – le centre Gestion des matériels (46 880 €) est réparti 3 / 3 / 4 entre Emboutissage, Finition et Distribution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Emboutissage : 46 880 × 3/10 = 14 064 ; Finition : 14 064 ; Distribution : 46 880 × 4/10 = 18 752</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8"/>
        <w:gridCol w:w="1713"/>
        <w:gridCol w:w="1499"/>
        <w:gridCol w:w="1713"/>
        <w:gridCol w:w="1715"/>
      </w:tblGrid>
      <w:tr>
        <w:trPr>
          <w:cantSplit/>
          <w:tblHeader/>
        </w:trPr>
        <w:tc>
          <w:tcPr>
            <w:tcW w:type="dxa" w:w="2998"/>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p>
        </w:tc>
        <w:tc>
          <w:tcPr>
            <w:tcW w:type="dxa" w:w="1713"/>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Emboutissage</w:t>
            </w:r>
          </w:p>
        </w:tc>
        <w:tc>
          <w:tcPr>
            <w:tcW w:type="dxa" w:w="149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Finition</w:t>
            </w:r>
          </w:p>
        </w:tc>
        <w:tc>
          <w:tcPr>
            <w:tcW w:type="dxa" w:w="1713"/>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Distribution</w:t>
            </w:r>
          </w:p>
        </w:tc>
        <w:tc>
          <w:tcPr>
            <w:tcW w:type="dxa" w:w="171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Administration</w:t>
            </w:r>
          </w:p>
        </w:tc>
      </w:tr>
      <w:tr>
        <w:trPr>
          <w:cantSplit/>
          <w:tblHeader w:val="false"/>
        </w:trPr>
        <w:tc>
          <w:tcPr>
            <w:tcW w:type="dxa" w:w="29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Totaux après répartition primaire</w:t>
            </w:r>
          </w:p>
        </w:tc>
        <w:tc>
          <w:tcPr>
            <w:tcW w:type="dxa" w:w="17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132 600</w:t>
            </w:r>
          </w:p>
        </w:tc>
        <w:tc>
          <w:tcPr>
            <w:tcW w:type="dxa" w:w="14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88 800</w:t>
            </w:r>
          </w:p>
        </w:tc>
        <w:tc>
          <w:tcPr>
            <w:tcW w:type="dxa" w:w="17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108 000</w:t>
            </w:r>
          </w:p>
        </w:tc>
        <w:tc>
          <w:tcPr>
            <w:tcW w:type="dxa" w:w="17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48 120</w:t>
            </w:r>
          </w:p>
        </w:tc>
      </w:tr>
      <w:tr>
        <w:trPr>
          <w:cantSplit/>
          <w:tblHeader w:val="false"/>
        </w:trPr>
        <w:tc>
          <w:tcPr>
            <w:tcW w:type="dxa" w:w="29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Répartition Gestion des matériels</w:t>
            </w:r>
          </w:p>
        </w:tc>
        <w:tc>
          <w:tcPr>
            <w:tcW w:type="dxa" w:w="1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14 064</w:t>
            </w:r>
          </w:p>
        </w:tc>
        <w:tc>
          <w:tcPr>
            <w:tcW w:type="dxa" w:w="14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14 064</w:t>
            </w:r>
          </w:p>
        </w:tc>
        <w:tc>
          <w:tcPr>
            <w:tcW w:type="dxa" w:w="1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18 752</w:t>
            </w:r>
          </w:p>
        </w:tc>
        <w:tc>
          <w:tcPr>
            <w:tcW w:type="dxa" w:w="171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w:t>
            </w:r>
          </w:p>
        </w:tc>
      </w:tr>
      <w:tr>
        <w:trPr>
          <w:cantSplit/>
          <w:tblHeader w:val="false"/>
        </w:trPr>
        <w:tc>
          <w:tcPr>
            <w:tcW w:type="dxa" w:w="299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Totaux définitifs</w:t>
            </w:r>
          </w:p>
        </w:tc>
        <w:tc>
          <w:tcPr>
            <w:tcW w:type="dxa" w:w="1713"/>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146 664</w:t>
            </w:r>
          </w:p>
        </w:tc>
        <w:tc>
          <w:tcPr>
            <w:tcW w:type="dxa" w:w="149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102 864</w:t>
            </w:r>
          </w:p>
        </w:tc>
        <w:tc>
          <w:tcPr>
            <w:tcW w:type="dxa" w:w="1713"/>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126 752</w:t>
            </w:r>
          </w:p>
        </w:tc>
        <w:tc>
          <w:tcPr>
            <w:tcW w:type="dxa" w:w="171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48 120</w:t>
            </w:r>
          </w:p>
        </w:tc>
      </w:tr>
      <w:tr>
        <w:trPr>
          <w:cantSplit/>
          <w:tblHeader w:val="false"/>
        </w:trPr>
        <w:tc>
          <w:tcPr>
            <w:tcW w:type="dxa" w:w="29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Unité d'œuvre</w:t>
            </w:r>
          </w:p>
        </w:tc>
        <w:tc>
          <w:tcPr>
            <w:tcW w:type="dxa" w:w="1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kg de matière</w:t>
            </w:r>
          </w:p>
        </w:tc>
        <w:tc>
          <w:tcPr>
            <w:tcW w:type="dxa" w:w="14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h ouvrier</w:t>
            </w:r>
          </w:p>
        </w:tc>
        <w:tc>
          <w:tcPr>
            <w:tcW w:type="dxa" w:w="1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1 000 € de vente</w:t>
            </w:r>
          </w:p>
        </w:tc>
        <w:tc>
          <w:tcPr>
            <w:tcW w:type="dxa" w:w="171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Quote-part</w:t>
            </w:r>
          </w:p>
        </w:tc>
      </w:tr>
      <w:tr>
        <w:trPr>
          <w:cantSplit/>
          <w:tblHeader w:val="false"/>
        </w:trPr>
        <w:tc>
          <w:tcPr>
            <w:tcW w:type="dxa" w:w="29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Nombre d'UO</w:t>
            </w:r>
          </w:p>
        </w:tc>
        <w:tc>
          <w:tcPr>
            <w:tcW w:type="dxa" w:w="17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37 500</w:t>
            </w:r>
          </w:p>
        </w:tc>
        <w:tc>
          <w:tcPr>
            <w:tcW w:type="dxa" w:w="14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2 400</w:t>
            </w:r>
          </w:p>
        </w:tc>
        <w:tc>
          <w:tcPr>
            <w:tcW w:type="dxa" w:w="17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480</w:t>
            </w:r>
          </w:p>
        </w:tc>
        <w:tc>
          <w:tcPr>
            <w:tcW w:type="dxa" w:w="17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299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l'UO</w:t>
            </w:r>
          </w:p>
        </w:tc>
        <w:tc>
          <w:tcPr>
            <w:tcW w:type="dxa" w:w="1713"/>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3,911</w:t>
            </w:r>
          </w:p>
        </w:tc>
        <w:tc>
          <w:tcPr>
            <w:tcW w:type="dxa" w:w="149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42,86</w:t>
            </w:r>
          </w:p>
        </w:tc>
        <w:tc>
          <w:tcPr>
            <w:tcW w:type="dxa" w:w="1713"/>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264,07</w:t>
            </w:r>
          </w:p>
        </w:tc>
        <w:tc>
          <w:tcPr>
            <w:tcW w:type="dxa" w:w="171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r>
    </w:tbl>
    <w:p>
      <w:pPr>
        <w:spacing w:after="120"/>
      </w:pPr>
    </w:p>
    <w:p>
      <w:pPr>
        <w:spacing w:after="100"/>
      </w:pPr>
      <w:r>
        <w:rPr>
          <w:b/>
          <w:bCs/>
        </w:rPr>
        <w:t xml:space="preserve">2. Commande</w:t>
      </w:r>
      <w:r>
        <w:t xml:space="preserve"> (4 800 kg de matières, achat 22 800 € + 10 % de frais, 294 h de finition, prix de vente 90 000 €)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1"/>
        <w:gridCol w:w="3968"/>
        <w:gridCol w:w="2269"/>
      </w:tblGrid>
      <w:tr>
        <w:trPr>
          <w:cantSplit/>
          <w:tblHeader/>
        </w:trPr>
        <w:tc>
          <w:tcPr>
            <w:tcW w:type="dxa" w:w="3401"/>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Éléments</w:t>
            </w:r>
          </w:p>
        </w:tc>
        <w:tc>
          <w:tcPr>
            <w:tcW w:type="dxa" w:w="3968"/>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Calcul</w:t>
            </w:r>
          </w:p>
        </w:tc>
        <w:tc>
          <w:tcPr>
            <w:tcW w:type="dxa" w:w="226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34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Coût d'achat des matières</w:t>
            </w:r>
          </w:p>
        </w:tc>
        <w:tc>
          <w:tcPr>
            <w:tcW w:type="dxa" w:w="39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22 800 × 1,10</w:t>
            </w:r>
          </w:p>
        </w:tc>
        <w:tc>
          <w:tcPr>
            <w:tcW w:type="dxa" w:w="22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25 080,00</w:t>
            </w:r>
          </w:p>
        </w:tc>
      </w:tr>
      <w:tr>
        <w:trPr>
          <w:cantSplit/>
          <w:tblHeader w:val="false"/>
        </w:trPr>
        <w:tc>
          <w:tcPr>
            <w:tcW w:type="dxa" w:w="340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Emboutissage</w:t>
            </w:r>
          </w:p>
        </w:tc>
        <w:tc>
          <w:tcPr>
            <w:tcW w:type="dxa" w:w="39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4 800 kg × 3,911</w:t>
            </w:r>
          </w:p>
        </w:tc>
        <w:tc>
          <w:tcPr>
            <w:tcW w:type="dxa" w:w="226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18 772,80</w:t>
            </w:r>
          </w:p>
        </w:tc>
      </w:tr>
      <w:tr>
        <w:trPr>
          <w:cantSplit/>
          <w:tblHeader w:val="false"/>
        </w:trPr>
        <w:tc>
          <w:tcPr>
            <w:tcW w:type="dxa" w:w="34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Finition</w:t>
            </w:r>
          </w:p>
        </w:tc>
        <w:tc>
          <w:tcPr>
            <w:tcW w:type="dxa" w:w="39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294 h × 42,86</w:t>
            </w:r>
          </w:p>
        </w:tc>
        <w:tc>
          <w:tcPr>
            <w:tcW w:type="dxa" w:w="22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12 600,84</w:t>
            </w:r>
          </w:p>
        </w:tc>
      </w:tr>
      <w:tr>
        <w:trPr>
          <w:cantSplit/>
          <w:tblHeader w:val="false"/>
        </w:trPr>
        <w:tc>
          <w:tcPr>
            <w:tcW w:type="dxa" w:w="3401"/>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production</w:t>
            </w:r>
          </w:p>
        </w:tc>
        <w:tc>
          <w:tcPr>
            <w:tcW w:type="dxa" w:w="396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25 080 + 18 772,80 + 12 600,84</w:t>
            </w:r>
          </w:p>
        </w:tc>
        <w:tc>
          <w:tcPr>
            <w:tcW w:type="dxa" w:w="226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56 453,64</w:t>
            </w:r>
          </w:p>
        </w:tc>
      </w:tr>
      <w:tr>
        <w:trPr>
          <w:cantSplit/>
          <w:tblHeader w:val="false"/>
        </w:trPr>
        <w:tc>
          <w:tcPr>
            <w:tcW w:type="dxa" w:w="34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Distribution</w:t>
            </w:r>
          </w:p>
        </w:tc>
        <w:tc>
          <w:tcPr>
            <w:tcW w:type="dxa" w:w="39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90 (× 1 000 € de vente) × 264,07</w:t>
            </w:r>
          </w:p>
        </w:tc>
        <w:tc>
          <w:tcPr>
            <w:tcW w:type="dxa" w:w="22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23 766,30</w:t>
            </w:r>
          </w:p>
        </w:tc>
      </w:tr>
      <w:tr>
        <w:trPr>
          <w:cantSplit/>
          <w:tblHeader w:val="false"/>
        </w:trPr>
        <w:tc>
          <w:tcPr>
            <w:tcW w:type="dxa" w:w="340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Administration</w:t>
            </w:r>
          </w:p>
        </w:tc>
        <w:tc>
          <w:tcPr>
            <w:tcW w:type="dxa" w:w="39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48 120 × 12 %</w:t>
            </w:r>
          </w:p>
        </w:tc>
        <w:tc>
          <w:tcPr>
            <w:tcW w:type="dxa" w:w="226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5 774,40</w:t>
            </w:r>
          </w:p>
        </w:tc>
      </w:tr>
      <w:tr>
        <w:trPr>
          <w:cantSplit/>
          <w:tblHeader w:val="false"/>
        </w:trPr>
        <w:tc>
          <w:tcPr>
            <w:tcW w:type="dxa" w:w="3401"/>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revient</w:t>
            </w:r>
          </w:p>
        </w:tc>
        <w:tc>
          <w:tcPr>
            <w:tcW w:type="dxa" w:w="396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226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85 994,34</w:t>
            </w:r>
          </w:p>
        </w:tc>
      </w:tr>
      <w:tr>
        <w:trPr>
          <w:cantSplit/>
          <w:tblHeader w:val="false"/>
        </w:trPr>
        <w:tc>
          <w:tcPr>
            <w:tcW w:type="dxa" w:w="340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Prix de vente</w:t>
            </w:r>
          </w:p>
        </w:tc>
        <w:tc>
          <w:tcPr>
            <w:tcW w:type="dxa" w:w="39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226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90 000,00</w:t>
            </w:r>
          </w:p>
        </w:tc>
      </w:tr>
      <w:tr>
        <w:trPr>
          <w:cantSplit/>
          <w:tblHeader w:val="false"/>
        </w:trPr>
        <w:tc>
          <w:tcPr>
            <w:tcW w:type="dxa" w:w="3401"/>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Résultat</w:t>
            </w:r>
          </w:p>
        </w:tc>
        <w:tc>
          <w:tcPr>
            <w:tcW w:type="dxa" w:w="396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90 000 – 85 994,34</w:t>
            </w:r>
          </w:p>
        </w:tc>
        <w:tc>
          <w:tcPr>
            <w:tcW w:type="dxa" w:w="226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4 005,66</w:t>
            </w:r>
          </w:p>
        </w:tc>
      </w:tr>
    </w:tbl>
    <w:p>
      <w:pPr>
        <w:spacing w:after="120"/>
      </w:pPr>
    </w:p>
    <w:p>
      <w:pPr>
        <w:spacing w:after="120" w:before="60"/>
      </w:pPr>
      <w:r>
        <w:rPr>
          <w:b/>
          <w:bCs/>
          <w:color w:val="FFFFFF"/>
          <w:sz w:val="20"/>
          <w:szCs w:val="20"/>
          <w:shd w:fill="217346" w:color="auto" w:val="clear"/>
        </w:rPr>
        <w:t xml:space="preserve"> 📊 Voir Excel – BORBICONI </w:t>
      </w:r>
    </w:p>
    <w:p>
      <w:pPr>
        <w:pStyle w:val="Heading3"/>
        <w:keepNext/>
        <w:pBdr>
          <w:left w:val="single" w:color="2E75B6" w:sz="24" w:space="6"/>
        </w:pBdr>
        <w:shd w:fill="DEEAF6" w:color="auto" w:val="clear"/>
        <w:spacing w:after="100" w:before="280"/>
      </w:pPr>
      <w:bookmarkStart w:name="cas21" w:id="21"/>
      <w:r>
        <w:rPr>
          <w:b/>
          <w:bCs/>
          <w:color w:val="2E75B6"/>
          <w:sz w:val="25"/>
          <w:szCs w:val="25"/>
        </w:rPr>
        <w:t xml:space="preserve">📌 Cas FLANDOR – cas de synthèse</w:t>
      </w:r>
      <w:bookmarkEnd w:id="21"/>
    </w:p>
    <w:p>
      <w:pPr>
        <w:spacing w:after="120" w:before="60"/>
      </w:pPr>
      <w:r>
        <w:rPr>
          <w:b/>
          <w:bCs/>
          <w:color w:val="FFFFFF"/>
          <w:sz w:val="20"/>
          <w:szCs w:val="20"/>
          <w:shd w:fill="7030A0" w:color="auto" w:val="clear"/>
        </w:rPr>
        <w:t xml:space="preserve"> 📄 Voir énoncé – FLANDOR </w:t>
      </w:r>
    </w:p>
    <w:p>
      <w:pPr>
        <w:spacing w:after="100"/>
      </w:pPr>
      <w:r>
        <w:rPr>
          <w:b/>
          <w:bCs/>
        </w:rPr>
        <w:t xml:space="preserve">1. Tableau d'analyse des charges indirectes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1885"/>
        <w:gridCol w:w="1885"/>
        <w:gridCol w:w="1885"/>
        <w:gridCol w:w="1679"/>
      </w:tblGrid>
      <w:tr>
        <w:trPr>
          <w:cantSplit/>
          <w:tblHeader/>
        </w:trPr>
        <w:tc>
          <w:tcPr>
            <w:tcW w:type="dxa" w:w="230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p>
        </w:tc>
        <w:tc>
          <w:tcPr>
            <w:tcW w:type="dxa" w:w="188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Approvisionnement</w:t>
            </w:r>
          </w:p>
        </w:tc>
        <w:tc>
          <w:tcPr>
            <w:tcW w:type="dxa" w:w="188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Fabrication</w:t>
            </w:r>
          </w:p>
        </w:tc>
        <w:tc>
          <w:tcPr>
            <w:tcW w:type="dxa" w:w="188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Conditionnement</w:t>
            </w:r>
          </w:p>
        </w:tc>
        <w:tc>
          <w:tcPr>
            <w:tcW w:type="dxa" w:w="167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Distribution</w:t>
            </w:r>
          </w:p>
        </w:tc>
      </w:tr>
      <w:tr>
        <w:trPr>
          <w:cantSplit/>
          <w:tblHeader w:val="false"/>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incorporables</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6 860</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51 250</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45 000</w:t>
            </w:r>
          </w:p>
        </w:tc>
        <w:tc>
          <w:tcPr>
            <w:tcW w:type="dxa" w:w="16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30 400</w:t>
            </w:r>
          </w:p>
        </w:tc>
      </w:tr>
      <w:tr>
        <w:trPr>
          <w:cantSplit/>
          <w:tblHeader w:val="false"/>
        </w:trPr>
        <w:tc>
          <w:tcPr>
            <w:tcW w:type="dxa" w:w="23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Unité d'œuvre</w:t>
            </w:r>
          </w:p>
        </w:tc>
        <w:tc>
          <w:tcPr>
            <w:tcW w:type="dxa" w:w="188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100 € de MP achetées</w:t>
            </w:r>
          </w:p>
        </w:tc>
        <w:tc>
          <w:tcPr>
            <w:tcW w:type="dxa" w:w="188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100 l de produit fabriqué</w:t>
            </w:r>
          </w:p>
        </w:tc>
        <w:tc>
          <w:tcPr>
            <w:tcW w:type="dxa" w:w="188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100 FLANDOR conditionnés</w:t>
            </w:r>
          </w:p>
        </w:tc>
        <w:tc>
          <w:tcPr>
            <w:tcW w:type="dxa" w:w="167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100 € de ventes</w:t>
            </w:r>
          </w:p>
        </w:tc>
      </w:tr>
      <w:tr>
        <w:trPr>
          <w:cantSplit/>
          <w:tblHeader w:val="false"/>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Nombre d'UO</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1 372 (1)</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1 250 (2)</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10 000 (3)</w:t>
            </w:r>
          </w:p>
        </w:tc>
        <w:tc>
          <w:tcPr>
            <w:tcW w:type="dxa" w:w="167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3 800 (4)</w:t>
            </w:r>
          </w:p>
        </w:tc>
      </w:tr>
      <w:tr>
        <w:trPr>
          <w:cantSplit/>
          <w:tblHeader w:val="false"/>
        </w:trPr>
        <w:tc>
          <w:tcPr>
            <w:tcW w:type="dxa" w:w="230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l'UO</w:t>
            </w:r>
          </w:p>
        </w:tc>
        <w:tc>
          <w:tcPr>
            <w:tcW w:type="dxa" w:w="188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center"/>
            </w:pPr>
            <w:r>
              <w:rPr>
                <w:b/>
                <w:bCs/>
                <w:sz w:val="20"/>
                <w:szCs w:val="20"/>
              </w:rPr>
              <w:t xml:space="preserve">5</w:t>
            </w:r>
          </w:p>
        </w:tc>
        <w:tc>
          <w:tcPr>
            <w:tcW w:type="dxa" w:w="188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center"/>
            </w:pPr>
            <w:r>
              <w:rPr>
                <w:b/>
                <w:bCs/>
                <w:sz w:val="20"/>
                <w:szCs w:val="20"/>
              </w:rPr>
              <w:t xml:space="preserve">41</w:t>
            </w:r>
          </w:p>
        </w:tc>
        <w:tc>
          <w:tcPr>
            <w:tcW w:type="dxa" w:w="188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center"/>
            </w:pPr>
            <w:r>
              <w:rPr>
                <w:b/>
                <w:bCs/>
                <w:sz w:val="20"/>
                <w:szCs w:val="20"/>
              </w:rPr>
              <w:t xml:space="preserve">4,5</w:t>
            </w:r>
          </w:p>
        </w:tc>
        <w:tc>
          <w:tcPr>
            <w:tcW w:type="dxa" w:w="1679"/>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center"/>
            </w:pPr>
            <w:r>
              <w:rPr>
                <w:b/>
                <w:bCs/>
                <w:sz w:val="20"/>
                <w:szCs w:val="20"/>
              </w:rPr>
              <w:t xml:space="preserve">8</w:t>
            </w:r>
          </w:p>
        </w:tc>
      </w:tr>
    </w:tbl>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(1) Achats MP = 410 000 × 0,12 + 120 000 × 0,40 + 100 000 × 0,40 = 49 200 + 48 000 + 40 000 = 137 200 € → 1 372 UO</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(2) 125 000 litres fabriqués → 1 250 UO</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(3) 125 000 l / 0,125 l par pot = 1 000 000 pots → 10 000 UO</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(4) CA = 950 000 × 0,40 = 380 000 € → 3 800 UO</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indiquaient « 41 000 × 0,12 + … + 10 000 × 0,4 » et « 12 500 / 0,125 » : il manquait un zéro (</w:t>
      </w:r>
      <w:r>
        <w:rPr>
          <w:b/>
          <w:bCs/>
        </w:rPr>
        <w:t xml:space="preserve">410 000</w:t>
      </w:r>
      <w:r>
        <w:t xml:space="preserve"> œufs, </w:t>
      </w:r>
      <w:r>
        <w:rPr>
          <w:b/>
          <w:bCs/>
        </w:rPr>
        <w:t xml:space="preserve">100 000</w:t>
      </w:r>
      <w:r>
        <w:t xml:space="preserve"> kg de sucre, </w:t>
      </w:r>
      <w:r>
        <w:rPr>
          <w:b/>
          <w:bCs/>
        </w:rPr>
        <w:t xml:space="preserve">125 000</w:t>
      </w:r>
      <w:r>
        <w:t xml:space="preserve"> litres). Le total 137 200 et le nombre de pots 1 000 000 étaient justes.</w:t>
      </w:r>
    </w:p>
    <w:p>
      <w:pPr>
        <w:spacing w:after="120"/>
      </w:pPr>
    </w:p>
    <w:p>
      <w:pPr>
        <w:spacing w:after="100"/>
      </w:pPr>
      <w:r>
        <w:rPr>
          <w:b/>
          <w:bCs/>
        </w:rPr>
        <w:t xml:space="preserve">2. Coût d'achat des matières premières</w:t>
      </w:r>
      <w:r>
        <w:t xml:space="preserve"> (frais d'approvisionnement = 5 € par 100 € achetés, soit 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4"/>
        <w:gridCol w:w="3109"/>
        <w:gridCol w:w="3109"/>
        <w:gridCol w:w="1866"/>
      </w:tblGrid>
      <w:tr>
        <w:trPr>
          <w:cantSplit/>
          <w:tblHeader/>
        </w:trPr>
        <w:tc>
          <w:tcPr>
            <w:tcW w:type="dxa" w:w="155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Matière</w:t>
            </w:r>
          </w:p>
        </w:tc>
        <w:tc>
          <w:tcPr>
            <w:tcW w:type="dxa" w:w="310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Achats</w:t>
            </w:r>
          </w:p>
        </w:tc>
        <w:tc>
          <w:tcPr>
            <w:tcW w:type="dxa" w:w="3109"/>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Frais d'appro. (5 %)</w:t>
            </w:r>
          </w:p>
        </w:tc>
        <w:tc>
          <w:tcPr>
            <w:tcW w:type="dxa" w:w="1866"/>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Coût d'achat</w:t>
            </w:r>
          </w:p>
        </w:tc>
      </w:tr>
      <w:tr>
        <w:trPr>
          <w:cantSplit/>
          <w:tblHeader w:val="false"/>
        </w:trPr>
        <w:tc>
          <w:tcPr>
            <w:tcW w:type="dxa" w:w="15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Œufs</w:t>
            </w:r>
          </w:p>
        </w:tc>
        <w:tc>
          <w:tcPr>
            <w:tcW w:type="dxa" w:w="3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410 000 × 0,12 = 49 200</w:t>
            </w:r>
          </w:p>
        </w:tc>
        <w:tc>
          <w:tcPr>
            <w:tcW w:type="dxa" w:w="3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49 200 × 0,05 = 2 460</w:t>
            </w:r>
          </w:p>
        </w:tc>
        <w:tc>
          <w:tcPr>
            <w:tcW w:type="dxa" w:w="18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b/>
                <w:bCs/>
                <w:sz w:val="20"/>
                <w:szCs w:val="20"/>
              </w:rPr>
              <w:t xml:space="preserve">51 660</w:t>
            </w:r>
          </w:p>
        </w:tc>
      </w:tr>
      <w:tr>
        <w:trPr>
          <w:cantSplit/>
          <w:tblHeader w:val="false"/>
        </w:trPr>
        <w:tc>
          <w:tcPr>
            <w:tcW w:type="dxa" w:w="15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Lait</w:t>
            </w:r>
          </w:p>
        </w:tc>
        <w:tc>
          <w:tcPr>
            <w:tcW w:type="dxa" w:w="31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120 000 × 0,40 = 48 000</w:t>
            </w:r>
          </w:p>
        </w:tc>
        <w:tc>
          <w:tcPr>
            <w:tcW w:type="dxa" w:w="31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48 000 × 0,05 = 2 400</w:t>
            </w:r>
          </w:p>
        </w:tc>
        <w:tc>
          <w:tcPr>
            <w:tcW w:type="dxa" w:w="186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b/>
                <w:bCs/>
                <w:sz w:val="20"/>
                <w:szCs w:val="20"/>
              </w:rPr>
              <w:t xml:space="preserve">50 400</w:t>
            </w:r>
          </w:p>
        </w:tc>
      </w:tr>
      <w:tr>
        <w:trPr>
          <w:cantSplit/>
          <w:tblHeader w:val="false"/>
        </w:trPr>
        <w:tc>
          <w:tcPr>
            <w:tcW w:type="dxa" w:w="15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Sucre</w:t>
            </w:r>
          </w:p>
        </w:tc>
        <w:tc>
          <w:tcPr>
            <w:tcW w:type="dxa" w:w="3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100 000 × 0,40 = 40 000</w:t>
            </w:r>
          </w:p>
        </w:tc>
        <w:tc>
          <w:tcPr>
            <w:tcW w:type="dxa" w:w="31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40 000 × 0,05 = 2 000</w:t>
            </w:r>
          </w:p>
        </w:tc>
        <w:tc>
          <w:tcPr>
            <w:tcW w:type="dxa" w:w="186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b/>
                <w:bCs/>
                <w:sz w:val="20"/>
                <w:szCs w:val="20"/>
              </w:rPr>
              <w:t xml:space="preserve">42 000</w:t>
            </w:r>
          </w:p>
        </w:tc>
      </w:tr>
    </w:tbl>
    <w:p>
      <w:pPr>
        <w:spacing w:after="120"/>
      </w:pPr>
    </w:p>
    <w:p>
      <w:pPr>
        <w:spacing w:after="100"/>
      </w:pPr>
      <w:r>
        <w:rPr>
          <w:b/>
          <w:bCs/>
        </w:rPr>
        <w:t xml:space="preserve">Comptes de stock des matières (CMUP)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5"/>
        <w:gridCol w:w="2665"/>
        <w:gridCol w:w="2460"/>
        <w:gridCol w:w="2668"/>
      </w:tblGrid>
      <w:tr>
        <w:trPr>
          <w:cantSplit/>
          <w:tblHeader/>
        </w:trPr>
        <w:tc>
          <w:tcPr>
            <w:tcW w:type="dxa" w:w="184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p>
        </w:tc>
        <w:tc>
          <w:tcPr>
            <w:tcW w:type="dxa" w:w="2665"/>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Œufs (Q / PU / Montant)</w:t>
            </w:r>
          </w:p>
        </w:tc>
        <w:tc>
          <w:tcPr>
            <w:tcW w:type="dxa" w:w="2460"/>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Lait (Q / PU / Montant)</w:t>
            </w:r>
          </w:p>
        </w:tc>
        <w:tc>
          <w:tcPr>
            <w:tcW w:type="dxa" w:w="2668"/>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Sucre (Q / PU / Montant)</w:t>
            </w:r>
          </w:p>
        </w:tc>
      </w:tr>
      <w:tr>
        <w:trPr>
          <w:cantSplit/>
          <w:tblHeader w:val="false"/>
        </w:trPr>
        <w:tc>
          <w:tcPr>
            <w:tcW w:type="dxa" w:w="184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Stock initial</w:t>
            </w:r>
          </w:p>
        </w:tc>
        <w:tc>
          <w:tcPr>
            <w:tcW w:type="dxa" w:w="26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10 000 / 0,294 / 2 940</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5 000 / 0,42 / 2 100</w:t>
            </w:r>
          </w:p>
        </w:tc>
        <w:tc>
          <w:tcPr>
            <w:tcW w:type="dxa" w:w="26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80 000 / 0,386 / 30 900</w:t>
            </w:r>
          </w:p>
        </w:tc>
      </w:tr>
      <w:tr>
        <w:trPr>
          <w:cantSplit/>
          <w:tblHeader w:val="false"/>
        </w:trPr>
        <w:tc>
          <w:tcPr>
            <w:tcW w:type="dxa" w:w="184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Achats</w:t>
            </w:r>
          </w:p>
        </w:tc>
        <w:tc>
          <w:tcPr>
            <w:tcW w:type="dxa" w:w="26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410 000 / 0,126 / 51 660</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120 000 / 0,42 / 50 400</w:t>
            </w:r>
          </w:p>
        </w:tc>
        <w:tc>
          <w:tcPr>
            <w:tcW w:type="dxa" w:w="26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100 000 / 0,42 / 42 000</w:t>
            </w:r>
          </w:p>
        </w:tc>
      </w:tr>
      <w:tr>
        <w:trPr>
          <w:cantSplit/>
          <w:tblHeader w:val="false"/>
        </w:trPr>
        <w:tc>
          <w:tcPr>
            <w:tcW w:type="dxa" w:w="184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Total = CMUP</w:t>
            </w:r>
          </w:p>
        </w:tc>
        <w:tc>
          <w:tcPr>
            <w:tcW w:type="dxa" w:w="2665"/>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center"/>
            </w:pPr>
            <w:r>
              <w:rPr>
                <w:b/>
                <w:bCs/>
                <w:sz w:val="20"/>
                <w:szCs w:val="20"/>
              </w:rPr>
              <w:t xml:space="preserve">420 000 / </w:t>
            </w:r>
            <w:r>
              <w:rPr>
                <w:b/>
                <w:bCs/>
                <w:sz w:val="20"/>
                <w:szCs w:val="20"/>
              </w:rPr>
              <w:t xml:space="preserve">0,13</w:t>
            </w:r>
            <w:r>
              <w:rPr>
                <w:b/>
                <w:bCs/>
                <w:sz w:val="20"/>
                <w:szCs w:val="20"/>
              </w:rPr>
              <w:t xml:space="preserve"> / 54 600</w:t>
            </w:r>
          </w:p>
        </w:tc>
        <w:tc>
          <w:tcPr>
            <w:tcW w:type="dxa" w:w="246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center"/>
            </w:pPr>
            <w:r>
              <w:rPr>
                <w:b/>
                <w:bCs/>
                <w:sz w:val="20"/>
                <w:szCs w:val="20"/>
              </w:rPr>
              <w:t xml:space="preserve">125 000 / </w:t>
            </w:r>
            <w:r>
              <w:rPr>
                <w:b/>
                <w:bCs/>
                <w:sz w:val="20"/>
                <w:szCs w:val="20"/>
              </w:rPr>
              <w:t xml:space="preserve">0,42</w:t>
            </w:r>
            <w:r>
              <w:rPr>
                <w:b/>
                <w:bCs/>
                <w:sz w:val="20"/>
                <w:szCs w:val="20"/>
              </w:rPr>
              <w:t xml:space="preserve"> / 52 500</w:t>
            </w:r>
          </w:p>
        </w:tc>
        <w:tc>
          <w:tcPr>
            <w:tcW w:type="dxa" w:w="266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center"/>
            </w:pPr>
            <w:r>
              <w:rPr>
                <w:b/>
                <w:bCs/>
                <w:sz w:val="20"/>
                <w:szCs w:val="20"/>
              </w:rPr>
              <w:t xml:space="preserve">180 000 / </w:t>
            </w:r>
            <w:r>
              <w:rPr>
                <w:b/>
                <w:bCs/>
                <w:sz w:val="20"/>
                <w:szCs w:val="20"/>
              </w:rPr>
              <w:t xml:space="preserve">0,405</w:t>
            </w:r>
            <w:r>
              <w:rPr>
                <w:b/>
                <w:bCs/>
                <w:sz w:val="20"/>
                <w:szCs w:val="20"/>
              </w:rPr>
              <w:t xml:space="preserve"> / 72 900</w:t>
            </w:r>
          </w:p>
        </w:tc>
      </w:tr>
      <w:tr>
        <w:trPr>
          <w:cantSplit/>
          <w:tblHeader w:val="false"/>
        </w:trPr>
        <w:tc>
          <w:tcPr>
            <w:tcW w:type="dxa" w:w="184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Sorties (production)</w:t>
            </w:r>
          </w:p>
        </w:tc>
        <w:tc>
          <w:tcPr>
            <w:tcW w:type="dxa" w:w="26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410 000 / 0,13 / </w:t>
            </w:r>
            <w:r>
              <w:rPr>
                <w:b/>
                <w:bCs/>
                <w:sz w:val="20"/>
                <w:szCs w:val="20"/>
              </w:rPr>
              <w:t xml:space="preserve">53 300</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102 000 / 0,42 / </w:t>
            </w:r>
            <w:r>
              <w:rPr>
                <w:b/>
                <w:bCs/>
                <w:sz w:val="20"/>
                <w:szCs w:val="20"/>
              </w:rPr>
              <w:t xml:space="preserve">42 840</w:t>
            </w:r>
          </w:p>
        </w:tc>
        <w:tc>
          <w:tcPr>
            <w:tcW w:type="dxa" w:w="26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25 000 / 0,405 / </w:t>
            </w:r>
            <w:r>
              <w:rPr>
                <w:b/>
                <w:bCs/>
                <w:sz w:val="20"/>
                <w:szCs w:val="20"/>
              </w:rPr>
              <w:t xml:space="preserve">10 125</w:t>
            </w:r>
          </w:p>
        </w:tc>
      </w:tr>
      <w:tr>
        <w:trPr>
          <w:cantSplit/>
          <w:tblHeader w:val="false"/>
        </w:trPr>
        <w:tc>
          <w:tcPr>
            <w:tcW w:type="dxa" w:w="184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Stock final</w:t>
            </w:r>
          </w:p>
        </w:tc>
        <w:tc>
          <w:tcPr>
            <w:tcW w:type="dxa" w:w="26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10 000 / 0,13 / 1 300</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23 000 / 0,42 / 9 660</w:t>
            </w:r>
          </w:p>
        </w:tc>
        <w:tc>
          <w:tcPr>
            <w:tcW w:type="dxa" w:w="26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155 000 / 0,405 / 62 775</w:t>
            </w:r>
          </w:p>
        </w:tc>
      </w:tr>
    </w:tbl>
    <w:p>
      <w:pPr>
        <w:spacing w:after="120"/>
      </w:pPr>
    </w:p>
    <w:p>
      <w:pPr>
        <w:spacing w:after="100"/>
      </w:pPr>
      <w:r>
        <w:rPr>
          <w:b/>
          <w:bCs/>
        </w:rPr>
        <w:t xml:space="preserve">Coût de production d'un litre de dessert non conditionné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3614"/>
        <w:gridCol w:w="2410"/>
      </w:tblGrid>
      <w:tr>
        <w:trPr>
          <w:cantSplit/>
          <w:tblHeader/>
        </w:trPr>
        <w:tc>
          <w:tcPr>
            <w:tcW w:type="dxa" w:w="36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Éléments</w:t>
            </w:r>
          </w:p>
        </w:tc>
        <w:tc>
          <w:tcPr>
            <w:tcW w:type="dxa" w:w="36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Calcul</w:t>
            </w:r>
          </w:p>
        </w:tc>
        <w:tc>
          <w:tcPr>
            <w:tcW w:type="dxa" w:w="2410"/>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Œufs</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410 000 × 0,13</w:t>
            </w:r>
          </w:p>
        </w:tc>
        <w:tc>
          <w:tcPr>
            <w:tcW w:type="dxa" w:w="24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53 300</w:t>
            </w:r>
          </w:p>
        </w:tc>
      </w:tr>
      <w:tr>
        <w:trPr>
          <w:cantSplit/>
          <w:tblHeader w:val="false"/>
        </w:trPr>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Lait</w:t>
            </w:r>
          </w:p>
        </w:tc>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102 000 × 0,42</w:t>
            </w:r>
          </w:p>
        </w:tc>
        <w:tc>
          <w:tcPr>
            <w:tcW w:type="dxa" w:w="241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42 840</w:t>
            </w:r>
          </w:p>
        </w:tc>
      </w:tr>
      <w:tr>
        <w:trPr>
          <w:cantSplit/>
          <w:tblHeader w:val="false"/>
        </w:trPr>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Sucre</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25 000 × 0,405</w:t>
            </w:r>
          </w:p>
        </w:tc>
        <w:tc>
          <w:tcPr>
            <w:tcW w:type="dxa" w:w="24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10 125</w:t>
            </w:r>
          </w:p>
        </w:tc>
      </w:tr>
      <w:tr>
        <w:trPr>
          <w:cantSplit/>
          <w:tblHeader w:val="false"/>
        </w:trPr>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Atelier Fabrication</w:t>
            </w:r>
          </w:p>
        </w:tc>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1 250 UO × 41</w:t>
            </w:r>
          </w:p>
        </w:tc>
        <w:tc>
          <w:tcPr>
            <w:tcW w:type="dxa" w:w="241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51 250</w:t>
            </w:r>
          </w:p>
        </w:tc>
      </w:tr>
      <w:tr>
        <w:trPr>
          <w:cantSplit/>
          <w:tblHeader w:val="false"/>
        </w:trPr>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Total (125 000 litres)</w:t>
            </w:r>
          </w:p>
        </w:tc>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241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157 515</w:t>
            </w:r>
          </w:p>
        </w:tc>
      </w:tr>
      <w:tr>
        <w:trPr>
          <w:cantSplit/>
          <w:tblHeader w:val="false"/>
        </w:trPr>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d'un litre</w:t>
            </w:r>
          </w:p>
        </w:tc>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157 515 / 125 000</w:t>
            </w:r>
          </w:p>
        </w:tc>
        <w:tc>
          <w:tcPr>
            <w:tcW w:type="dxa" w:w="241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1,26012 €</w:t>
            </w:r>
          </w:p>
        </w:tc>
      </w:tr>
    </w:tbl>
    <w:p>
      <w:pPr>
        <w:spacing w:after="120"/>
      </w:pPr>
    </w:p>
    <w:p>
      <w:pPr>
        <w:spacing w:after="100"/>
      </w:pPr>
      <w:r>
        <w:rPr>
          <w:b/>
          <w:bCs/>
        </w:rPr>
        <w:t xml:space="preserve">Coût de production d'un pot conditionné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3614"/>
        <w:gridCol w:w="2410"/>
      </w:tblGrid>
      <w:tr>
        <w:trPr>
          <w:cantSplit/>
          <w:tblHeader/>
        </w:trPr>
        <w:tc>
          <w:tcPr>
            <w:tcW w:type="dxa" w:w="36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Éléments</w:t>
            </w:r>
          </w:p>
        </w:tc>
        <w:tc>
          <w:tcPr>
            <w:tcW w:type="dxa" w:w="36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Calcul</w:t>
            </w:r>
          </w:p>
        </w:tc>
        <w:tc>
          <w:tcPr>
            <w:tcW w:type="dxa" w:w="2410"/>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Dessert consommé</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24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157 515</w:t>
            </w:r>
          </w:p>
        </w:tc>
      </w:tr>
      <w:tr>
        <w:trPr>
          <w:cantSplit/>
          <w:tblHeader w:val="false"/>
        </w:trPr>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Centre Conditionnement</w:t>
            </w:r>
          </w:p>
        </w:tc>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10 000 UO × 4,5</w:t>
            </w:r>
          </w:p>
        </w:tc>
        <w:tc>
          <w:tcPr>
            <w:tcW w:type="dxa" w:w="241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45 000</w:t>
            </w:r>
          </w:p>
        </w:tc>
      </w:tr>
      <w:tr>
        <w:trPr>
          <w:cantSplit/>
          <w:tblHeader w:val="false"/>
        </w:trPr>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Pots (emballages)</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1 000 000 pots à 95 € le mille</w:t>
            </w:r>
          </w:p>
        </w:tc>
        <w:tc>
          <w:tcPr>
            <w:tcW w:type="dxa" w:w="241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95 000</w:t>
            </w:r>
          </w:p>
        </w:tc>
      </w:tr>
      <w:tr>
        <w:trPr>
          <w:cantSplit/>
          <w:tblHeader w:val="false"/>
        </w:trPr>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production total</w:t>
            </w:r>
          </w:p>
        </w:tc>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241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297 515</w:t>
            </w:r>
          </w:p>
        </w:tc>
      </w:tr>
      <w:tr>
        <w:trPr>
          <w:cantSplit/>
          <w:tblHeader w:val="false"/>
        </w:trPr>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unitaire (1 000 000 pots)</w:t>
            </w:r>
          </w:p>
        </w:tc>
        <w:tc>
          <w:tcPr>
            <w:tcW w:type="dxa" w:w="361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297 515 / 1 000 000</w:t>
            </w:r>
          </w:p>
        </w:tc>
        <w:tc>
          <w:tcPr>
            <w:tcW w:type="dxa" w:w="241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0,297515 €</w:t>
            </w:r>
          </w:p>
        </w:tc>
      </w:tr>
    </w:tbl>
    <w:p>
      <w:pPr>
        <w:spacing w:after="120"/>
      </w:pPr>
    </w:p>
    <w:p>
      <w:pPr>
        <w:spacing w:after="100"/>
      </w:pPr>
      <w:r>
        <w:rPr>
          <w:b/>
          <w:bCs/>
        </w:rPr>
        <w:t xml:space="preserve">Compte de stock des produits finis</w:t>
      </w:r>
      <w:r>
        <w:t xml:space="preserve"> : SI 0 ; production 1 000 000 pots × 0,297515 = 297 515 ; coût de production des ventes 950 000 × 0,297515 = </w:t>
      </w:r>
      <w:r>
        <w:rPr>
          <w:b/>
          <w:bCs/>
        </w:rPr>
        <w:t xml:space="preserve">282 639</w:t>
      </w:r>
      <w:r>
        <w:t xml:space="preserve"> ; SF 50 000 × 0,297515 = </w:t>
      </w:r>
      <w:r>
        <w:rPr>
          <w:b/>
          <w:bCs/>
        </w:rPr>
        <w:t xml:space="preserve">14 876</w:t>
      </w:r>
      <w:r>
        <w:t xml:space="preserve">.</w:t>
      </w:r>
    </w:p>
    <w:p>
      <w:pPr>
        <w:spacing w:after="100"/>
      </w:pPr>
      <w:r>
        <w:rPr>
          <w:b/>
          <w:bCs/>
        </w:rPr>
        <w:t xml:space="preserve">3. Coût de revient et résultat analytique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1807"/>
        <w:gridCol w:w="1807"/>
        <w:gridCol w:w="1808"/>
      </w:tblGrid>
      <w:tr>
        <w:trPr>
          <w:cantSplit/>
          <w:tblHeader/>
        </w:trPr>
        <w:tc>
          <w:tcPr>
            <w:tcW w:type="dxa" w:w="4216"/>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p>
        </w:tc>
        <w:tc>
          <w:tcPr>
            <w:tcW w:type="dxa" w:w="1807"/>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Quantité</w:t>
            </w:r>
          </w:p>
        </w:tc>
        <w:tc>
          <w:tcPr>
            <w:tcW w:type="dxa" w:w="1807"/>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Prix unitaire</w:t>
            </w:r>
          </w:p>
        </w:tc>
        <w:tc>
          <w:tcPr>
            <w:tcW w:type="dxa" w:w="1808"/>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42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Coût de production des produits vendus</w:t>
            </w:r>
          </w:p>
        </w:tc>
        <w:tc>
          <w:tcPr>
            <w:tcW w:type="dxa" w:w="18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950 000</w:t>
            </w:r>
          </w:p>
        </w:tc>
        <w:tc>
          <w:tcPr>
            <w:tcW w:type="dxa" w:w="18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0,297515</w:t>
            </w:r>
          </w:p>
        </w:tc>
        <w:tc>
          <w:tcPr>
            <w:tcW w:type="dxa" w:w="180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282 639</w:t>
            </w:r>
          </w:p>
        </w:tc>
      </w:tr>
      <w:tr>
        <w:trPr>
          <w:cantSplit/>
          <w:tblHeader w:val="false"/>
        </w:trPr>
        <w:tc>
          <w:tcPr>
            <w:tcW w:type="dxa" w:w="421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Coût de distribution</w:t>
            </w:r>
          </w:p>
        </w:tc>
        <w:tc>
          <w:tcPr>
            <w:tcW w:type="dxa" w:w="180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3 800 UO</w:t>
            </w:r>
          </w:p>
        </w:tc>
        <w:tc>
          <w:tcPr>
            <w:tcW w:type="dxa" w:w="180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8</w:t>
            </w:r>
          </w:p>
        </w:tc>
        <w:tc>
          <w:tcPr>
            <w:tcW w:type="dxa" w:w="180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30 400</w:t>
            </w:r>
          </w:p>
        </w:tc>
      </w:tr>
      <w:tr>
        <w:trPr>
          <w:cantSplit/>
          <w:tblHeader w:val="false"/>
        </w:trPr>
        <w:tc>
          <w:tcPr>
            <w:tcW w:type="dxa" w:w="4216"/>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Coût de revient</w:t>
            </w:r>
          </w:p>
        </w:tc>
        <w:tc>
          <w:tcPr>
            <w:tcW w:type="dxa" w:w="1807"/>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950 000</w:t>
            </w:r>
          </w:p>
        </w:tc>
        <w:tc>
          <w:tcPr>
            <w:tcW w:type="dxa" w:w="1807"/>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0,3295</w:t>
            </w:r>
          </w:p>
        </w:tc>
        <w:tc>
          <w:tcPr>
            <w:tcW w:type="dxa" w:w="180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313 039</w:t>
            </w:r>
          </w:p>
        </w:tc>
      </w:tr>
      <w:tr>
        <w:trPr>
          <w:cantSplit/>
          <w:tblHeader w:val="false"/>
        </w:trPr>
        <w:tc>
          <w:tcPr>
            <w:tcW w:type="dxa" w:w="421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Prix de vente</w:t>
            </w:r>
          </w:p>
        </w:tc>
        <w:tc>
          <w:tcPr>
            <w:tcW w:type="dxa" w:w="180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950 000</w:t>
            </w:r>
          </w:p>
        </w:tc>
        <w:tc>
          <w:tcPr>
            <w:tcW w:type="dxa" w:w="180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0,40</w:t>
            </w:r>
          </w:p>
        </w:tc>
        <w:tc>
          <w:tcPr>
            <w:tcW w:type="dxa" w:w="180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380 000</w:t>
            </w:r>
          </w:p>
        </w:tc>
      </w:tr>
      <w:tr>
        <w:trPr>
          <w:cantSplit/>
          <w:tblHeader w:val="false"/>
        </w:trPr>
        <w:tc>
          <w:tcPr>
            <w:tcW w:type="dxa" w:w="4216"/>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Résultat analytique</w:t>
            </w:r>
          </w:p>
        </w:tc>
        <w:tc>
          <w:tcPr>
            <w:tcW w:type="dxa" w:w="1807"/>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1807"/>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180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66 961</w:t>
            </w:r>
          </w:p>
        </w:tc>
      </w:tr>
    </w:tbl>
    <w:p>
      <w:pPr>
        <w:spacing w:after="120"/>
      </w:pPr>
    </w:p>
    <w:p>
      <w:pPr>
        <w:spacing w:after="100"/>
      </w:pPr>
      <w:r>
        <w:rPr>
          <w:b/>
          <w:bCs/>
        </w:rPr>
        <w:t xml:space="preserve">4. Rapprochement avec la comptabilité générale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2754"/>
      </w:tblGrid>
      <w:tr>
        <w:trPr>
          <w:cantSplit/>
          <w:tblHeader/>
        </w:trPr>
        <w:tc>
          <w:tcPr>
            <w:tcW w:type="dxa" w:w="688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État de rapprochement</w:t>
            </w:r>
          </w:p>
        </w:tc>
        <w:tc>
          <w:tcPr>
            <w:tcW w:type="dxa" w:w="275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68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Résultat analytique</w:t>
            </w:r>
          </w:p>
        </w:tc>
        <w:tc>
          <w:tcPr>
            <w:tcW w:type="dxa" w:w="27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66 961</w:t>
            </w:r>
          </w:p>
        </w:tc>
      </w:tr>
      <w:tr>
        <w:trPr>
          <w:cantSplit/>
          <w:tblHeader w:val="false"/>
        </w:trPr>
        <w:tc>
          <w:tcPr>
            <w:tcW w:type="dxa" w:w="68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 Charges non incorporables (entretien et réparations)</w:t>
            </w:r>
          </w:p>
        </w:tc>
        <w:tc>
          <w:tcPr>
            <w:tcW w:type="dxa" w:w="27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 1 200</w:t>
            </w:r>
          </w:p>
        </w:tc>
      </w:tr>
      <w:tr>
        <w:trPr>
          <w:cantSplit/>
          <w:tblHeader w:val="false"/>
        </w:trPr>
        <w:tc>
          <w:tcPr>
            <w:tcW w:type="dxa" w:w="68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 Charges supplétives</w:t>
            </w:r>
          </w:p>
        </w:tc>
        <w:tc>
          <w:tcPr>
            <w:tcW w:type="dxa" w:w="27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0</w:t>
            </w:r>
          </w:p>
        </w:tc>
      </w:tr>
      <w:tr>
        <w:trPr>
          <w:cantSplit/>
          <w:tblHeader w:val="false"/>
        </w:trPr>
        <w:tc>
          <w:tcPr>
            <w:tcW w:type="dxa" w:w="688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 Résultat de la comptabilité générale</w:t>
            </w:r>
          </w:p>
        </w:tc>
        <w:tc>
          <w:tcPr>
            <w:tcW w:type="dxa" w:w="2754"/>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65 761</w:t>
            </w:r>
          </w:p>
        </w:tc>
      </w:tr>
    </w:tbl>
    <w:p>
      <w:pPr>
        <w:spacing w:after="120"/>
      </w:pPr>
    </w:p>
    <w:p>
      <w:pPr>
        <w:spacing w:after="100"/>
      </w:pPr>
      <w:r>
        <w:rPr>
          <w:b/>
          <w:bCs/>
        </w:rPr>
        <w:t xml:space="preserve">Compte de résultat (vérification)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1"/>
        <w:gridCol w:w="1423"/>
        <w:gridCol w:w="2628"/>
        <w:gridCol w:w="1426"/>
      </w:tblGrid>
      <w:tr>
        <w:trPr>
          <w:cantSplit/>
          <w:tblHeader/>
        </w:trPr>
        <w:tc>
          <w:tcPr>
            <w:tcW w:type="dxa" w:w="4161"/>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Charges</w:t>
            </w:r>
          </w:p>
        </w:tc>
        <w:tc>
          <w:tcPr>
            <w:tcW w:type="dxa" w:w="1423"/>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c>
          <w:tcPr>
            <w:tcW w:type="dxa" w:w="2628"/>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Produits</w:t>
            </w:r>
          </w:p>
        </w:tc>
        <w:tc>
          <w:tcPr>
            <w:tcW w:type="dxa" w:w="1426"/>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41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Achats œufs</w:t>
            </w:r>
          </w:p>
        </w:tc>
        <w:tc>
          <w:tcPr>
            <w:tcW w:type="dxa" w:w="14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49 200</w:t>
            </w:r>
          </w:p>
        </w:tc>
        <w:tc>
          <w:tcPr>
            <w:tcW w:type="dxa" w:w="26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Ventes FLANDOR</w:t>
            </w:r>
          </w:p>
        </w:tc>
        <w:tc>
          <w:tcPr>
            <w:tcW w:type="dxa" w:w="1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380 000</w:t>
            </w:r>
          </w:p>
        </w:tc>
      </w:tr>
      <w:tr>
        <w:trPr>
          <w:cantSplit/>
          <w:tblHeader w:val="false"/>
        </w:trPr>
        <w:tc>
          <w:tcPr>
            <w:tcW w:type="dxa" w:w="416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Achats lait</w:t>
            </w:r>
          </w:p>
        </w:tc>
        <w:tc>
          <w:tcPr>
            <w:tcW w:type="dxa" w:w="142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48 000</w:t>
            </w:r>
          </w:p>
        </w:tc>
        <w:tc>
          <w:tcPr>
            <w:tcW w:type="dxa" w:w="26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Production stockée</w:t>
            </w: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14 876</w:t>
            </w:r>
          </w:p>
        </w:tc>
      </w:tr>
      <w:tr>
        <w:trPr>
          <w:cantSplit/>
          <w:tblHeader w:val="false"/>
        </w:trPr>
        <w:tc>
          <w:tcPr>
            <w:tcW w:type="dxa" w:w="41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Achats sucre</w:t>
            </w:r>
          </w:p>
        </w:tc>
        <w:tc>
          <w:tcPr>
            <w:tcW w:type="dxa" w:w="14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40 000</w:t>
            </w:r>
          </w:p>
        </w:tc>
        <w:tc>
          <w:tcPr>
            <w:tcW w:type="dxa" w:w="26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Achats emballages</w:t>
            </w:r>
          </w:p>
        </w:tc>
        <w:tc>
          <w:tcPr>
            <w:tcW w:type="dxa" w:w="142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95 000</w:t>
            </w:r>
          </w:p>
        </w:tc>
        <w:tc>
          <w:tcPr>
            <w:tcW w:type="dxa" w:w="26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Variation stock œufs (2 940 – 1 300)</w:t>
            </w:r>
          </w:p>
        </w:tc>
        <w:tc>
          <w:tcPr>
            <w:tcW w:type="dxa" w:w="14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1 640</w:t>
            </w:r>
          </w:p>
        </w:tc>
        <w:tc>
          <w:tcPr>
            <w:tcW w:type="dxa" w:w="26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Variation stock lait (2 100 – 9 660)</w:t>
            </w:r>
          </w:p>
        </w:tc>
        <w:tc>
          <w:tcPr>
            <w:tcW w:type="dxa" w:w="142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 7 560</w:t>
            </w:r>
          </w:p>
        </w:tc>
        <w:tc>
          <w:tcPr>
            <w:tcW w:type="dxa" w:w="26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Variation stock sucre (30 900 – 62 775)</w:t>
            </w:r>
          </w:p>
        </w:tc>
        <w:tc>
          <w:tcPr>
            <w:tcW w:type="dxa" w:w="14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 31 875</w:t>
            </w:r>
          </w:p>
        </w:tc>
        <w:tc>
          <w:tcPr>
            <w:tcW w:type="dxa" w:w="26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Variation stock emballages</w:t>
            </w:r>
          </w:p>
        </w:tc>
        <w:tc>
          <w:tcPr>
            <w:tcW w:type="dxa" w:w="142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0</w:t>
            </w:r>
          </w:p>
        </w:tc>
        <w:tc>
          <w:tcPr>
            <w:tcW w:type="dxa" w:w="26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de personnel</w:t>
            </w:r>
          </w:p>
        </w:tc>
        <w:tc>
          <w:tcPr>
            <w:tcW w:type="dxa" w:w="14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55 000</w:t>
            </w:r>
          </w:p>
        </w:tc>
        <w:tc>
          <w:tcPr>
            <w:tcW w:type="dxa" w:w="26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Autres charges (15 600 + 17 060 + 16 000 + 31 050)</w:t>
            </w:r>
          </w:p>
        </w:tc>
        <w:tc>
          <w:tcPr>
            <w:tcW w:type="dxa" w:w="142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79 710</w:t>
            </w:r>
          </w:p>
        </w:tc>
        <w:tc>
          <w:tcPr>
            <w:tcW w:type="dxa" w:w="26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Résultat</w:t>
            </w:r>
          </w:p>
        </w:tc>
        <w:tc>
          <w:tcPr>
            <w:tcW w:type="dxa" w:w="1423"/>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65 761</w:t>
            </w:r>
          </w:p>
        </w:tc>
        <w:tc>
          <w:tcPr>
            <w:tcW w:type="dxa" w:w="262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c>
          <w:tcPr>
            <w:tcW w:type="dxa" w:w="1426"/>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p>
        </w:tc>
      </w:tr>
      <w:tr>
        <w:trPr>
          <w:cantSplit/>
          <w:tblHeader w:val="false"/>
        </w:trPr>
        <w:tc>
          <w:tcPr>
            <w:tcW w:type="dxa" w:w="4161"/>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b/>
                <w:bCs/>
                <w:sz w:val="20"/>
                <w:szCs w:val="20"/>
              </w:rPr>
              <w:t xml:space="preserve">Total</w:t>
            </w:r>
          </w:p>
        </w:tc>
        <w:tc>
          <w:tcPr>
            <w:tcW w:type="dxa" w:w="1423"/>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394 876</w:t>
            </w:r>
          </w:p>
        </w:tc>
        <w:tc>
          <w:tcPr>
            <w:tcW w:type="dxa" w:w="2628"/>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Total</w:t>
            </w:r>
          </w:p>
        </w:tc>
        <w:tc>
          <w:tcPr>
            <w:tcW w:type="dxa" w:w="1426"/>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b/>
                <w:bCs/>
                <w:sz w:val="20"/>
                <w:szCs w:val="20"/>
              </w:rPr>
              <w:t xml:space="preserve">394 876</w:t>
            </w:r>
          </w:p>
        </w:tc>
      </w:tr>
    </w:tbl>
    <w:p>
      <w:pPr>
        <w:spacing w:after="120"/>
      </w:pPr>
    </w:p>
    <w:p>
      <w:pPr>
        <w:spacing w:after="120" w:before="60"/>
      </w:pPr>
      <w:r>
        <w:rPr>
          <w:b/>
          <w:bCs/>
          <w:color w:val="FFFFFF"/>
          <w:sz w:val="20"/>
          <w:szCs w:val="20"/>
          <w:shd w:fill="217346" w:color="auto" w:val="clear"/>
        </w:rPr>
        <w:t xml:space="preserve"> 📊 Voir Excel – FLANDOR </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120" w:right="120"/>
      </w:pPr>
      <w:r>
        <w:rPr>
          <w:b/>
          <w:bCs/>
          <w:color w:val="548235"/>
          <w:sz w:val="23"/>
          <w:szCs w:val="23"/>
        </w:rPr>
        <w:t xml:space="preserve">★ POINTS À RETENIR</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Coût complet = </w:t>
      </w:r>
      <w:r>
        <w:rPr>
          <w:b/>
          <w:bCs/>
        </w:rPr>
        <w:t xml:space="preserve">toutes</w:t>
      </w:r>
      <w:r>
        <w:t xml:space="preserve"> les charges incorporables (directes + indirectes) ; méthode des </w:t>
      </w:r>
      <w:r>
        <w:rPr>
          <w:b/>
          <w:bCs/>
        </w:rPr>
        <w:t xml:space="preserve">centres d'analyse</w:t>
      </w:r>
      <w:r>
        <w:t xml:space="preserve"> (sections homogènes).</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Charges incorporées = charges CG </w:t>
      </w:r>
      <w:r>
        <w:rPr>
          <w:b/>
          <w:bCs/>
        </w:rPr>
        <w:t xml:space="preserve">– non incorporables ± charges calculées + supplétives</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Charges indirectes : répartition </w:t>
      </w:r>
      <w:r>
        <w:rPr>
          <w:b/>
          <w:bCs/>
        </w:rPr>
        <w:t xml:space="preserve">primaire</w:t>
      </w:r>
      <w:r>
        <w:t xml:space="preserve"> (tous les centres) → </w:t>
      </w:r>
      <w:r>
        <w:rPr>
          <w:b/>
          <w:bCs/>
        </w:rPr>
        <w:t xml:space="preserve">secondaire</w:t>
      </w:r>
      <w:r>
        <w:t xml:space="preserve"> (auxiliaires vidés dans les principaux, par équations si prestations réciproques) → </w:t>
      </w:r>
      <w:r>
        <w:rPr>
          <w:b/>
          <w:bCs/>
        </w:rPr>
        <w:t xml:space="preserve">coût de l'UO</w:t>
      </w:r>
      <w:r>
        <w:t xml:space="preserve"> = total ÷ nombre d'UO.</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Cascade : </w:t>
      </w:r>
      <w:r>
        <w:rPr>
          <w:b/>
          <w:bCs/>
        </w:rPr>
        <w:t xml:space="preserve">coût d'achat → coût de production → coût de revient → résultat analytique</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Stocks : </w:t>
      </w:r>
      <w:r>
        <w:rPr>
          <w:b/>
          <w:bCs/>
        </w:rPr>
        <w:t xml:space="preserve">CMUP</w:t>
      </w:r>
      <w:r>
        <w:t xml:space="preserve"> (période ou après chaque entrée) ou </w:t>
      </w:r>
      <w:r>
        <w:rPr>
          <w:b/>
          <w:bCs/>
        </w:rPr>
        <w:t xml:space="preserve">FIFO</w:t>
      </w:r>
      <w:r>
        <w:t xml:space="preserve"> ; le LIFO est interdit fiscalement. Le choix de la méthode </w:t>
      </w:r>
      <w:r>
        <w:rPr>
          <w:b/>
          <w:bCs/>
        </w:rPr>
        <w:t xml:space="preserve">influence le résultat</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En-cours : coût des produits terminés = charges du mois + en-cours initiaux – en-cours finaux.</w:t>
      </w:r>
    </w:p>
    <w:p>
      <w:pPr>
        <w:keepNext w:val="false"/>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Rapprochement : </w:t>
      </w:r>
      <w:r>
        <w:rPr>
          <w:b/>
          <w:bCs/>
        </w:rPr>
        <w:t xml:space="preserve">Résultat CG = Résultat analytique – non incorporables + supplétives</w:t>
      </w:r>
      <w:r>
        <w:t xml:space="preserve">.</w:t>
      </w:r>
    </w:p>
    <w:p>
      <w:pPr>
        <w:spacing w:after="120"/>
      </w:pPr>
    </w:p>
    <w:p>
      <w:pPr>
        <w:pStyle w:val="Heading1"/>
        <w:pageBreakBefore/>
        <w:pBdr>
          <w:left w:val="single" w:color="C55A11" w:sz="48" w:space="8"/>
        </w:pBdr>
        <w:shd w:fill="C55A11" w:color="auto" w:val="clear"/>
        <w:spacing w:after="240" w:before="0"/>
        <w:ind w:left="0"/>
      </w:pPr>
      <w:bookmarkStart w:name="ch22" w:id="22"/>
      <w:r>
        <w:rPr>
          <w:b/>
          <w:bCs/>
          <w:color w:val="FFFFFF"/>
          <w:sz w:val="36"/>
          <w:szCs w:val="36"/>
        </w:rPr>
        <w:t xml:space="preserve">Chapitre 2 – Le seuil de rentabilité</w:t>
      </w:r>
      <w:bookmarkEnd w:id="22"/>
    </w:p>
    <w:p>
      <w:pPr>
        <w:pStyle w:val="Heading2"/>
        <w:keepNext/>
        <w:pBdr>
          <w:bottom w:val="single" w:color="C55A11" w:sz="8" w:space="2"/>
        </w:pBdr>
        <w:spacing w:after="120" w:before="300"/>
      </w:pPr>
      <w:bookmarkStart w:name="s23" w:id="23"/>
      <w:r>
        <w:rPr>
          <w:b/>
          <w:bCs/>
          <w:color w:val="C55A11"/>
          <w:sz w:val="30"/>
          <w:szCs w:val="30"/>
        </w:rPr>
        <w:t xml:space="preserve">Introduction : raisonner à court terme</w:t>
      </w:r>
      <w:bookmarkEnd w:id="23"/>
    </w:p>
    <w:p>
      <w:pPr>
        <w:spacing w:after="100"/>
      </w:pPr>
      <w:r>
        <w:t xml:space="preserve">Un coût complet se calcule comme une </w:t>
      </w:r>
      <w:r>
        <w:rPr>
          <w:b/>
          <w:bCs/>
        </w:rPr>
        <w:t xml:space="preserve">évaluation à long terme</w:t>
      </w:r>
      <w:r>
        <w:t xml:space="preserve">, dans une optique </w:t>
      </w:r>
      <w:r>
        <w:rPr>
          <w:b/>
          <w:bCs/>
        </w:rPr>
        <w:t xml:space="preserve">stratégique</w:t>
      </w:r>
      <w:r>
        <w:t xml:space="preserve">, notamment du fait de la lourdeur des calculs.</w:t>
      </w:r>
    </w:p>
    <w:p>
      <w:pPr>
        <w:spacing w:after="100"/>
      </w:pPr>
      <w:r>
        <w:t xml:space="preserve">À </w:t>
      </w:r>
      <w:r>
        <w:rPr>
          <w:b/>
          <w:bCs/>
        </w:rPr>
        <w:t xml:space="preserve">court terme</w:t>
      </w:r>
      <w:r>
        <w:t xml:space="preserve"> (cette année, l'an prochain, pas plus) : des capacités de production existent, des moyens ont été mis en œuvre, certains coûts sont </w:t>
      </w:r>
      <w:r>
        <w:rPr>
          <w:b/>
          <w:bCs/>
        </w:rPr>
        <w:t xml:space="preserve">irréversibles</w:t>
      </w:r>
      <w:r>
        <w:t xml:space="preserve"> et imposés au responsable. Il est donc logique de ne considérer que les </w:t>
      </w:r>
      <w:r>
        <w:rPr>
          <w:b/>
          <w:bCs/>
        </w:rPr>
        <w:t xml:space="preserve">coûts variables</w:t>
      </w:r>
      <w:r>
        <w:t xml:space="preserve">, sur lesquels on peut agir à court terme. C'est un </w:t>
      </w:r>
      <w:r>
        <w:rPr>
          <w:b/>
          <w:bCs/>
        </w:rPr>
        <w:t xml:space="preserve">outil d'aide à la décision à court terme</w:t>
      </w:r>
      <w:r>
        <w:t xml:space="preserve">.</w:t>
      </w:r>
    </w:p>
    <w:p>
      <w:pPr>
        <w:spacing w:after="100"/>
      </w:pPr>
      <w:r>
        <w:t xml:space="preserve">On structure donc le compte de résultat en distinguant </w:t>
      </w:r>
      <w:r>
        <w:rPr>
          <w:b/>
          <w:bCs/>
        </w:rPr>
        <w:t xml:space="preserve">charges fixes</w:t>
      </w:r>
      <w:r>
        <w:t xml:space="preserve"> et </w:t>
      </w:r>
      <w:r>
        <w:rPr>
          <w:b/>
          <w:bCs/>
        </w:rPr>
        <w:t xml:space="preserve">charges variables</w:t>
      </w:r>
      <w:r>
        <w:t xml:space="preserve">, et on raisonne selon les </w:t>
      </w:r>
      <w:r>
        <w:rPr>
          <w:b/>
          <w:bCs/>
        </w:rPr>
        <w:t xml:space="preserve">volumes</w:t>
      </w:r>
      <w:r>
        <w:t xml:space="preserve"> :</w:t>
      </w:r>
    </w:p>
    <w:p>
      <w:pPr>
        <w:pStyle w:val="ListParagraph"/>
        <w:numPr>
          <w:ilvl w:val="0"/>
          <w:numId w:val="2"/>
        </w:numPr>
        <w:spacing w:after="60"/>
      </w:pPr>
      <w:r>
        <w:rPr>
          <w:b/>
          <w:bCs/>
        </w:rPr>
        <w:t xml:space="preserve">Charges variables (CV)</w:t>
      </w:r>
      <w:r>
        <w:t xml:space="preserve"> : elles varient dans le même sens que l'activité (mesurée par la production ou par le chiffre d'affaires).</w:t>
      </w:r>
    </w:p>
    <w:p>
      <w:pPr>
        <w:pStyle w:val="ListParagraph"/>
        <w:numPr>
          <w:ilvl w:val="0"/>
          <w:numId w:val="2"/>
        </w:numPr>
        <w:spacing w:after="60"/>
      </w:pPr>
      <w:r>
        <w:rPr>
          <w:b/>
          <w:bCs/>
        </w:rPr>
        <w:t xml:space="preserve">Charges fixes (CF)</w:t>
      </w:r>
      <w:r>
        <w:t xml:space="preserve">, ou </w:t>
      </w:r>
      <w:r>
        <w:rPr>
          <w:b/>
          <w:bCs/>
        </w:rPr>
        <w:t xml:space="preserve">charges de structure</w:t>
      </w:r>
      <w:r>
        <w:t xml:space="preserve"> : leur montant ne dépend pas du volume d'activité </w:t>
      </w:r>
      <w:r>
        <w:rPr>
          <w:b/>
          <w:bCs/>
        </w:rPr>
        <w:t xml:space="preserve">dans le cadre d'une structure donnée</w:t>
      </w:r>
      <w:r>
        <w:t xml:space="preserve"> (une capacité de production donnée). Elles ne sont pas « éternelles » : elles sont fixes </w:t>
      </w:r>
      <w:r>
        <w:rPr>
          <w:b/>
          <w:bCs/>
        </w:rPr>
        <w:t xml:space="preserve">sur un intervalle</w:t>
      </w:r>
      <w:r>
        <w:t xml:space="preserve">. Un changement de structure entraîne le plus souvent un </w:t>
      </w:r>
      <w:r>
        <w:rPr>
          <w:b/>
          <w:bCs/>
        </w:rPr>
        <w:t xml:space="preserve">nouveau palier</w:t>
      </w:r>
      <w:r>
        <w:t xml:space="preserve"> de charges fixes.</w:t>
      </w:r>
    </w:p>
    <w:p>
      <w:pPr>
        <w:pStyle w:val="Heading2"/>
        <w:keepNext/>
        <w:pBdr>
          <w:bottom w:val="single" w:color="C55A11" w:sz="8" w:space="2"/>
        </w:pBdr>
        <w:spacing w:after="120" w:before="300"/>
      </w:pPr>
      <w:bookmarkStart w:name="s24" w:id="24"/>
      <w:r>
        <w:rPr>
          <w:b/>
          <w:bCs/>
          <w:color w:val="C55A11"/>
          <w:sz w:val="30"/>
          <w:szCs w:val="30"/>
        </w:rPr>
        <w:t xml:space="preserve">1. Notion de seuil de rentabilité</w:t>
      </w:r>
      <w:bookmarkEnd w:id="24"/>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Le compte de résultat différentiel</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CA</w:t>
      </w:r>
      <w:r>
        <w:rPr>
          <w:b w:val="false"/>
          <w:bCs w:val="false"/>
        </w:rPr>
        <w:t xml:space="preserve"> = Quantités vendues × Prix de vente unitaire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CV</w:t>
      </w:r>
      <w:r>
        <w:rPr>
          <w:b w:val="false"/>
          <w:bCs w:val="false"/>
        </w:rPr>
        <w:t xml:space="preserve"> = Quantités vendues × Coût variable unitaire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Marge sur coût variable (M/CV)</w:t>
      </w:r>
      <w:r>
        <w:rPr>
          <w:b w:val="false"/>
          <w:bCs w:val="false"/>
        </w:rPr>
        <w:t xml:space="preserve"> = CA – CV          </w:t>
      </w:r>
      <w:r>
        <w:rPr>
          <w:b/>
          <w:bCs/>
        </w:rPr>
        <w:t xml:space="preserve">Taux de M/CV</w:t>
      </w:r>
      <w:r>
        <w:rPr>
          <w:b w:val="false"/>
          <w:bCs w:val="false"/>
        </w:rPr>
        <w:t xml:space="preserve"> = M/CV ÷ CA</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Résultat</w:t>
      </w:r>
      <w:r>
        <w:rPr>
          <w:b w:val="false"/>
          <w:bCs w:val="false"/>
        </w:rPr>
        <w:t xml:space="preserve"> = M/CV – CF</w:t>
      </w:r>
    </w:p>
    <w:p>
      <w:pPr>
        <w:spacing w:after="120"/>
      </w:pPr>
    </w:p>
    <w:p>
      <w:pPr>
        <w:spacing w:after="100"/>
      </w:pPr>
      <w:r>
        <w:t xml:space="preserve">Le </w:t>
      </w:r>
      <w:r>
        <w:rPr>
          <w:b/>
          <w:bCs/>
        </w:rPr>
        <w:t xml:space="preserve">seuil de rentabilité (SR)</w:t>
      </w:r>
      <w:r>
        <w:t xml:space="preserve">, ou </w:t>
      </w:r>
      <w:r>
        <w:rPr>
          <w:b/>
          <w:bCs/>
        </w:rPr>
        <w:t xml:space="preserve">CA critique</w:t>
      </w:r>
      <w:r>
        <w:t xml:space="preserve">, est le niveau de chiffre d'affaires pour lequel le </w:t>
      </w:r>
      <w:r>
        <w:rPr>
          <w:b/>
          <w:bCs/>
        </w:rPr>
        <w:t xml:space="preserve">résultat est nul</w:t>
      </w:r>
      <w:r>
        <w:t xml:space="preserv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Démonstration</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R = 0  ⇔  CA – CV – CF = 0  ⇔  CA – CV = CF  ⇔  </w:t>
      </w:r>
      <w:r>
        <w:rPr>
          <w:b/>
          <w:bCs/>
        </w:rPr>
        <w:t xml:space="preserve">M/CV = CF</w:t>
      </w:r>
    </w:p>
    <w:p>
      <w:pPr>
        <w:spacing w:after="120"/>
      </w:pP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Les indicateurs à connaître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SR (en €)</w:t>
      </w:r>
      <w:r>
        <w:rPr>
          <w:b w:val="false"/>
          <w:bCs w:val="false"/>
        </w:rPr>
        <w:t xml:space="preserve"> = CF ÷ Taux de M/CV</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SR (en quantités)</w:t>
      </w:r>
      <w:r>
        <w:rPr>
          <w:b w:val="false"/>
          <w:bCs w:val="false"/>
        </w:rPr>
        <w:t xml:space="preserve"> = CF ÷ M/CV unitaire   (on arrondit à l'unité supérieure)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Date du SR (point mort)</w:t>
      </w:r>
      <w:r>
        <w:rPr>
          <w:b w:val="false"/>
          <w:bCs w:val="false"/>
        </w:rPr>
        <w:t xml:space="preserve"> = (SR ÷ CA annuel) × 12 mois   (ou × 360 jours)</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Marge de sécurité (MS)</w:t>
      </w:r>
      <w:r>
        <w:rPr>
          <w:b w:val="false"/>
          <w:bCs w:val="false"/>
        </w:rPr>
        <w:t xml:space="preserve"> = CA – SR</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Indice de sécurité (IS)</w:t>
      </w:r>
      <w:r>
        <w:rPr>
          <w:b w:val="false"/>
          <w:bCs w:val="false"/>
        </w:rPr>
        <w:t xml:space="preserve"> = MS ÷ CA</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Indice de prélèvement</w:t>
      </w:r>
      <w:r>
        <w:rPr>
          <w:b w:val="false"/>
          <w:bCs w:val="false"/>
        </w:rPr>
        <w:t xml:space="preserve"> = CF ÷ CA</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Levier opérationnel (LO)</w:t>
      </w:r>
      <w:r>
        <w:rPr>
          <w:b w:val="false"/>
          <w:bCs w:val="false"/>
        </w:rPr>
        <w:t xml:space="preserve"> = M/CV ÷ Résultat = 1 ÷ IS = (ΔR/R) ÷ (ΔCA/CA)</w:t>
      </w:r>
    </w:p>
    <w:p>
      <w:pPr>
        <w:spacing w:after="120"/>
      </w:pPr>
    </w:p>
    <w:p>
      <w:pPr>
        <w:pStyle w:val="ListParagraph"/>
        <w:numPr>
          <w:ilvl w:val="0"/>
          <w:numId w:val="2"/>
        </w:numPr>
        <w:spacing w:after="60"/>
      </w:pPr>
      <w:r>
        <w:rPr>
          <w:b/>
          <w:bCs/>
        </w:rPr>
        <w:t xml:space="preserve">Date du seuil</w:t>
      </w:r>
      <w:r>
        <w:t xml:space="preserve"> : sous l'hypothèse d'un CA </w:t>
      </w:r>
      <w:r>
        <w:rPr>
          <w:b/>
          <w:bCs/>
        </w:rPr>
        <w:t xml:space="preserve">réalisé régulièrement</w:t>
      </w:r>
      <w:r>
        <w:t xml:space="preserve"> dans l'année, on détermine la date à laquelle le seuil est atteint. Il faut donc que le CA soit à peu près homogène sur l'année (sinon, on raisonne avec le CA cumulé, voir Cas X).</w:t>
      </w:r>
    </w:p>
    <w:p>
      <w:pPr>
        <w:pStyle w:val="ListParagraph"/>
        <w:numPr>
          <w:ilvl w:val="0"/>
          <w:numId w:val="2"/>
        </w:numPr>
        <w:spacing w:after="60"/>
      </w:pPr>
      <w:r>
        <w:rPr>
          <w:b/>
          <w:bCs/>
        </w:rPr>
        <w:t xml:space="preserve">Marge de sécurité</w:t>
      </w:r>
      <w:r>
        <w:t xml:space="preserve"> : montant du CA qui peut être supprimé par une conjoncture défavorable </w:t>
      </w:r>
      <w:r>
        <w:rPr>
          <w:b/>
          <w:bCs/>
        </w:rPr>
        <w:t xml:space="preserve">sans entraîner de perte</w:t>
      </w:r>
      <w:r>
        <w:t xml:space="preserve">.</w:t>
      </w:r>
    </w:p>
    <w:p>
      <w:pPr>
        <w:pStyle w:val="ListParagraph"/>
        <w:numPr>
          <w:ilvl w:val="0"/>
          <w:numId w:val="2"/>
        </w:numPr>
        <w:spacing w:after="60"/>
      </w:pPr>
      <w:r>
        <w:rPr>
          <w:b/>
          <w:bCs/>
        </w:rPr>
        <w:t xml:space="preserve">Indice de prélèvement</w:t>
      </w:r>
      <w:r>
        <w:t xml:space="preserve"> : % du CA qui sert à couvrir les CF. Plus il est faible, plus l'entreprise atteint facilement son SR.</w:t>
      </w:r>
    </w:p>
    <w:p>
      <w:pPr>
        <w:pStyle w:val="ListParagraph"/>
        <w:numPr>
          <w:ilvl w:val="0"/>
          <w:numId w:val="2"/>
        </w:numPr>
        <w:spacing w:after="60"/>
      </w:pPr>
      <w:r>
        <w:rPr>
          <w:b/>
          <w:bCs/>
        </w:rPr>
        <w:t xml:space="preserve">Levier opérationnel</w:t>
      </w:r>
      <w:r>
        <w:t xml:space="preserve"> : % de variation du résultat pour une variation de 1 % du CA. Un LO de 2 signifie que si le CA augmente de 10 %, le résultat augmente de 20 %. Il est valable si le prix et le taux de M/CV restent inchangés (la hausse du CA vient des volumes).</w:t>
      </w:r>
    </w:p>
    <w:p>
      <w:pPr>
        <w:pStyle w:val="Heading3"/>
        <w:keepNext/>
        <w:pBdr>
          <w:left w:val="single" w:color="C55A11" w:sz="24" w:space="6"/>
        </w:pBdr>
        <w:shd w:fill="FBE4D5" w:color="auto" w:val="clear"/>
        <w:spacing w:after="100" w:before="280"/>
      </w:pPr>
      <w:bookmarkStart w:name="cas25" w:id="25"/>
      <w:r>
        <w:rPr>
          <w:b/>
          <w:bCs/>
          <w:color w:val="C55A11"/>
          <w:sz w:val="25"/>
          <w:szCs w:val="25"/>
        </w:rPr>
        <w:t xml:space="preserve">📌 Cas 1 – Seuil, marge de sécurité, levier</w:t>
      </w:r>
      <w:bookmarkEnd w:id="25"/>
    </w:p>
    <w:p>
      <w:pPr>
        <w:spacing w:after="120" w:before="60"/>
      </w:pPr>
      <w:r>
        <w:rPr>
          <w:b/>
          <w:bCs/>
          <w:color w:val="FFFFFF"/>
          <w:sz w:val="20"/>
          <w:szCs w:val="20"/>
          <w:shd w:fill="7030A0" w:color="auto" w:val="clear"/>
        </w:rPr>
        <w:t xml:space="preserve"> 📄 Voir énoncé – Cas 1 </w:t>
      </w:r>
    </w:p>
    <w:p>
      <w:pPr>
        <w:spacing w:after="100"/>
      </w:pPr>
      <w:r>
        <w:t xml:space="preserve">Données : 45 000 unités vendues à 75 € ; CV de production 52,5 €/u ; CV de distribution 10 % du prix ; CF 500 000 €.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3212"/>
        <w:gridCol w:w="1835"/>
        <w:gridCol w:w="1149"/>
      </w:tblGrid>
      <w:tr>
        <w:trPr>
          <w:cantSplit/>
          <w:tblHeader/>
        </w:trPr>
        <w:tc>
          <w:tcPr>
            <w:tcW w:type="dxa" w:w="3442"/>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Compte de résultat différentiel</w:t>
            </w:r>
          </w:p>
        </w:tc>
        <w:tc>
          <w:tcPr>
            <w:tcW w:type="dxa" w:w="3212"/>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Calcul</w:t>
            </w:r>
          </w:p>
        </w:tc>
        <w:tc>
          <w:tcPr>
            <w:tcW w:type="dxa" w:w="1835"/>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Montant</w:t>
            </w:r>
          </w:p>
        </w:tc>
        <w:tc>
          <w:tcPr>
            <w:tcW w:type="dxa" w:w="1149"/>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w:t>
            </w:r>
          </w:p>
        </w:tc>
      </w:tr>
      <w:tr>
        <w:trPr>
          <w:cantSplit/>
          <w:tblHeader w:val="false"/>
        </w:trPr>
        <w:tc>
          <w:tcPr>
            <w:tcW w:type="dxa" w:w="34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Chiffre d'affaires</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45 000 × 75</w:t>
            </w:r>
          </w:p>
        </w:tc>
        <w:tc>
          <w:tcPr>
            <w:tcW w:type="dxa" w:w="18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3 375 000</w:t>
            </w:r>
          </w:p>
        </w:tc>
        <w:tc>
          <w:tcPr>
            <w:tcW w:type="dxa" w:w="11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w:t>
            </w:r>
          </w:p>
        </w:tc>
      </w:tr>
      <w:tr>
        <w:trPr>
          <w:cantSplit/>
          <w:tblHeader w:val="false"/>
        </w:trPr>
        <w:tc>
          <w:tcPr>
            <w:tcW w:type="dxa" w:w="34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CV de production</w:t>
            </w:r>
          </w:p>
        </w:tc>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45 000 × 52,5</w:t>
            </w:r>
          </w:p>
        </w:tc>
        <w:tc>
          <w:tcPr>
            <w:tcW w:type="dxa" w:w="18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2 362 500</w:t>
            </w:r>
          </w:p>
        </w:tc>
        <w:tc>
          <w:tcPr>
            <w:tcW w:type="dxa" w:w="11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70 %</w:t>
            </w:r>
          </w:p>
        </w:tc>
      </w:tr>
      <w:tr>
        <w:trPr>
          <w:cantSplit/>
          <w:tblHeader w:val="false"/>
        </w:trPr>
        <w:tc>
          <w:tcPr>
            <w:tcW w:type="dxa" w:w="34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CV de distribution</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45 000 × 7,5 (10 % de 75)</w:t>
            </w:r>
          </w:p>
        </w:tc>
        <w:tc>
          <w:tcPr>
            <w:tcW w:type="dxa" w:w="18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337 500</w:t>
            </w:r>
          </w:p>
        </w:tc>
        <w:tc>
          <w:tcPr>
            <w:tcW w:type="dxa" w:w="11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w:t>
            </w:r>
          </w:p>
        </w:tc>
      </w:tr>
      <w:tr>
        <w:trPr>
          <w:cantSplit/>
          <w:tblHeader w:val="false"/>
        </w:trPr>
        <w:tc>
          <w:tcPr>
            <w:tcW w:type="dxa" w:w="344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M/CV</w:t>
            </w:r>
          </w:p>
        </w:tc>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45 000 × 15</w:t>
            </w:r>
          </w:p>
        </w:tc>
        <w:tc>
          <w:tcPr>
            <w:tcW w:type="dxa" w:w="183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675 000</w:t>
            </w:r>
          </w:p>
        </w:tc>
        <w:tc>
          <w:tcPr>
            <w:tcW w:type="dxa" w:w="114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20 %</w:t>
            </w:r>
          </w:p>
        </w:tc>
      </w:tr>
      <w:tr>
        <w:trPr>
          <w:cantSplit/>
          <w:tblHeader w:val="false"/>
        </w:trPr>
        <w:tc>
          <w:tcPr>
            <w:tcW w:type="dxa" w:w="34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fixes</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8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500 000</w:t>
            </w:r>
          </w:p>
        </w:tc>
        <w:tc>
          <w:tcPr>
            <w:tcW w:type="dxa" w:w="11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344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Résultat d'exploitation</w:t>
            </w:r>
          </w:p>
        </w:tc>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675 000 – 500 000</w:t>
            </w:r>
          </w:p>
        </w:tc>
        <w:tc>
          <w:tcPr>
            <w:tcW w:type="dxa" w:w="183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175 000</w:t>
            </w:r>
          </w:p>
        </w:tc>
        <w:tc>
          <w:tcPr>
            <w:tcW w:type="dxa" w:w="114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5,2 %</w:t>
            </w:r>
          </w:p>
        </w:tc>
      </w:tr>
    </w:tbl>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Correction détaillée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SR (€)</w:t>
      </w:r>
      <w:r>
        <w:t xml:space="preserve"> = 500 000 ÷ 0,20 = </w:t>
      </w:r>
      <w:r>
        <w:rPr>
          <w:b/>
          <w:bCs/>
        </w:rPr>
        <w:t xml:space="preserve">2 500 000 €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SR (unités)</w:t>
      </w:r>
      <w:r>
        <w:t xml:space="preserve"> : M/CV unitaire = 75 – 52,5 – 7,5 = 15 € → 500 000 ÷ 15 = 33 333,3 → </w:t>
      </w:r>
      <w:r>
        <w:rPr>
          <w:b/>
          <w:bCs/>
        </w:rPr>
        <w:t xml:space="preserve">33 334 unités</w:t>
      </w:r>
      <w:r>
        <w:t xml:space="preserve"> (on ne vend pas 0,33 produit)</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Date</w:t>
      </w:r>
      <w:r>
        <w:t xml:space="preserve"> : 2 500 000 ÷ 3 375 000 × 12 = 8,89 mois → 8 mois + 0,89 × 30 j ≈ 27 j → </w:t>
      </w:r>
      <w:r>
        <w:rPr>
          <w:b/>
          <w:bCs/>
        </w:rPr>
        <w:t xml:space="preserve">27 septembre</w:t>
      </w:r>
      <w:r>
        <w:t xml:space="preserve"> (ou 2 500 000 / 3 375 000 × 360 = 267 jours)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MS</w:t>
      </w:r>
      <w:r>
        <w:t xml:space="preserve"> = 3 375 000 – 2 500 000 = </w:t>
      </w:r>
      <w:r>
        <w:rPr>
          <w:b/>
          <w:bCs/>
        </w:rPr>
        <w:t xml:space="preserve">875 000 €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IS</w:t>
      </w:r>
      <w:r>
        <w:t xml:space="preserve"> = 875 000 ÷ 3 375 000 = </w:t>
      </w:r>
      <w:r>
        <w:rPr>
          <w:b/>
          <w:bCs/>
        </w:rPr>
        <w:t xml:space="preserve">25,93 %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Indice de prélèvement</w:t>
      </w:r>
      <w:r>
        <w:t xml:space="preserve"> = 500 000 ÷ 3 375 000 = </w:t>
      </w:r>
      <w:r>
        <w:rPr>
          <w:b/>
          <w:bCs/>
        </w:rPr>
        <w:t xml:space="preserve">14,8 %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LO</w:t>
      </w:r>
      <w:r>
        <w:t xml:space="preserve"> = 675 000 ÷ 175 000 = </w:t>
      </w:r>
      <w:r>
        <w:rPr>
          <w:b/>
          <w:bCs/>
        </w:rPr>
        <w:t xml:space="preserve">3,86</w:t>
      </w:r>
      <w:r>
        <w:t xml:space="preserve">   (vérification : 1 ÷ 0,2593 = 3,86)</w:t>
      </w:r>
    </w:p>
    <w:p>
      <w:pPr>
        <w:spacing w:after="120"/>
      </w:pPr>
    </w:p>
    <w:p>
      <w:pPr>
        <w:spacing w:after="100"/>
      </w:pPr>
      <w:r>
        <w:rPr>
          <w:b/>
          <w:bCs/>
        </w:rPr>
        <w:t xml:space="preserve">Interprétation</w:t>
      </w:r>
      <w:r>
        <w:t xml:space="preserve"> :</w:t>
      </w:r>
    </w:p>
    <w:p>
      <w:pPr>
        <w:pStyle w:val="ListParagraph"/>
        <w:numPr>
          <w:ilvl w:val="0"/>
          <w:numId w:val="2"/>
        </w:numPr>
        <w:spacing w:after="60"/>
      </w:pPr>
      <w:r>
        <w:t xml:space="preserve">MS : c'est un </w:t>
      </w:r>
      <w:r>
        <w:rPr>
          <w:b/>
          <w:bCs/>
        </w:rPr>
        <w:t xml:space="preserve">coussin amortisseur</w:t>
      </w:r>
      <w:r>
        <w:t xml:space="preserve">. Si l'entreprise perdait 875 000 € de CA, elle serait tout juste à l'équilibre, pas encore en perte.</w:t>
      </w:r>
    </w:p>
    <w:p>
      <w:pPr>
        <w:pStyle w:val="ListParagraph"/>
        <w:numPr>
          <w:ilvl w:val="0"/>
          <w:numId w:val="2"/>
        </w:numPr>
        <w:spacing w:after="60"/>
      </w:pPr>
      <w:r>
        <w:t xml:space="preserve">IS : l'entreprise peut voir son CA chuter de près de </w:t>
      </w:r>
      <w:r>
        <w:rPr>
          <w:b/>
          <w:bCs/>
        </w:rPr>
        <w:t xml:space="preserve">26 %</w:t>
      </w:r>
      <w:r>
        <w:t xml:space="preserve"> avant de tomber en perte. Plus l'indice est élevé, moins l'activité est risquée.</w:t>
      </w:r>
    </w:p>
    <w:p>
      <w:pPr>
        <w:pStyle w:val="ListParagraph"/>
        <w:numPr>
          <w:ilvl w:val="0"/>
          <w:numId w:val="2"/>
        </w:numPr>
        <w:spacing w:after="60"/>
      </w:pPr>
      <w:r>
        <w:t xml:space="preserve">LO : si le CA augmente de 10 %, le résultat augmente d'environ 10 % × 3,86 = </w:t>
      </w:r>
      <w:r>
        <w:rPr>
          <w:b/>
          <w:bCs/>
        </w:rPr>
        <w:t xml:space="preserve">38,6 %</w:t>
      </w:r>
      <w:r>
        <w:t xml:space="preserve">. C'est un effet de levier qui joue </w:t>
      </w:r>
      <w:r>
        <w:rPr>
          <w:b/>
          <w:bCs/>
        </w:rPr>
        <w:t xml:space="preserve">dans les deux sens</w:t>
      </w:r>
      <w:r>
        <w:t xml:space="preserve"> : bon quand l'activité progresse, mais il amplifie aussi les baisses. Une entreprise avec beaucoup de charges fixes a souvent un levier élevé.</w:t>
      </w:r>
    </w:p>
    <w:p>
      <w:pPr>
        <w:spacing w:after="120" w:before="60"/>
      </w:pPr>
      <w:r>
        <w:rPr>
          <w:b/>
          <w:bCs/>
          <w:color w:val="FFFFFF"/>
          <w:sz w:val="20"/>
          <w:szCs w:val="20"/>
          <w:shd w:fill="217346" w:color="auto" w:val="clear"/>
        </w:rPr>
        <w:t xml:space="preserve"> 📊 Voir Excel – Cas 1 </w:t>
      </w:r>
    </w:p>
    <w:p>
      <w:pPr>
        <w:pStyle w:val="Heading3"/>
        <w:keepNext/>
        <w:pBdr>
          <w:left w:val="single" w:color="C55A11" w:sz="24" w:space="6"/>
        </w:pBdr>
        <w:shd w:fill="FBE4D5" w:color="auto" w:val="clear"/>
        <w:spacing w:after="100" w:before="280"/>
      </w:pPr>
      <w:bookmarkStart w:name="cas26" w:id="26"/>
      <w:r>
        <w:rPr>
          <w:b/>
          <w:bCs/>
          <w:color w:val="C55A11"/>
          <w:sz w:val="25"/>
          <w:szCs w:val="25"/>
        </w:rPr>
        <w:t xml:space="preserve">📌 Cas LAGRIFFOL – faut-il investir ?</w:t>
      </w:r>
      <w:bookmarkEnd w:id="26"/>
    </w:p>
    <w:p>
      <w:pPr>
        <w:spacing w:after="120" w:before="60"/>
      </w:pPr>
      <w:r>
        <w:rPr>
          <w:b/>
          <w:bCs/>
          <w:color w:val="FFFFFF"/>
          <w:sz w:val="20"/>
          <w:szCs w:val="20"/>
          <w:shd w:fill="7030A0" w:color="auto" w:val="clear"/>
        </w:rPr>
        <w:t xml:space="preserve"> 📄 Voir énoncé – LAGRIFFOL </w:t>
      </w:r>
    </w:p>
    <w:p>
      <w:pPr>
        <w:spacing w:after="100"/>
      </w:pPr>
      <w:r>
        <w:rPr>
          <w:b/>
          <w:bCs/>
        </w:rPr>
        <w:t xml:space="preserve">1. Seuil de rentabilité dans la structure actuelle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2784"/>
        <w:gridCol w:w="856"/>
        <w:gridCol w:w="2784"/>
        <w:gridCol w:w="859"/>
      </w:tblGrid>
      <w:tr>
        <w:trPr>
          <w:cantSplit/>
          <w:tblHeader/>
        </w:trPr>
        <w:tc>
          <w:tcPr>
            <w:tcW w:type="dxa" w:w="2355"/>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p>
        </w:tc>
        <w:tc>
          <w:tcPr>
            <w:tcW w:type="dxa" w:w="2784"/>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Structure actuelle</w:t>
            </w:r>
          </w:p>
        </w:tc>
        <w:tc>
          <w:tcPr>
            <w:tcW w:type="dxa" w:w="856"/>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w:t>
            </w:r>
          </w:p>
        </w:tc>
        <w:tc>
          <w:tcPr>
            <w:tcW w:type="dxa" w:w="2784"/>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Après investissement</w:t>
            </w:r>
          </w:p>
        </w:tc>
        <w:tc>
          <w:tcPr>
            <w:tcW w:type="dxa" w:w="859"/>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w:t>
            </w:r>
          </w:p>
        </w:tc>
      </w:tr>
      <w:tr>
        <w:trPr>
          <w:cantSplit/>
          <w:tblHeader w:val="false"/>
        </w:trPr>
        <w:tc>
          <w:tcPr>
            <w:tcW w:type="dxa" w:w="23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Chiffre d'affaires</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6 000 000</w:t>
            </w:r>
          </w:p>
        </w:tc>
        <w:tc>
          <w:tcPr>
            <w:tcW w:type="dxa" w:w="8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8 000 000</w:t>
            </w:r>
          </w:p>
        </w:tc>
        <w:tc>
          <w:tcPr>
            <w:tcW w:type="dxa" w:w="85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w:t>
            </w:r>
          </w:p>
        </w:tc>
      </w:tr>
      <w:tr>
        <w:trPr>
          <w:cantSplit/>
          <w:tblHeader w:val="false"/>
        </w:trPr>
        <w:tc>
          <w:tcPr>
            <w:tcW w:type="dxa" w:w="23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Charges variables</w:t>
            </w:r>
          </w:p>
        </w:tc>
        <w:tc>
          <w:tcPr>
            <w:tcW w:type="dxa" w:w="27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3 600 000</w:t>
            </w:r>
          </w:p>
        </w:tc>
        <w:tc>
          <w:tcPr>
            <w:tcW w:type="dxa" w:w="8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60 %</w:t>
            </w:r>
          </w:p>
        </w:tc>
        <w:tc>
          <w:tcPr>
            <w:tcW w:type="dxa" w:w="27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4 800 000</w:t>
            </w:r>
          </w:p>
        </w:tc>
        <w:tc>
          <w:tcPr>
            <w:tcW w:type="dxa" w:w="85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60 %</w:t>
            </w:r>
          </w:p>
        </w:tc>
      </w:tr>
      <w:tr>
        <w:trPr>
          <w:cantSplit/>
          <w:tblHeader w:val="false"/>
        </w:trPr>
        <w:tc>
          <w:tcPr>
            <w:tcW w:type="dxa" w:w="235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M/CV</w:t>
            </w:r>
          </w:p>
        </w:tc>
        <w:tc>
          <w:tcPr>
            <w:tcW w:type="dxa" w:w="278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2 400 000</w:t>
            </w:r>
          </w:p>
        </w:tc>
        <w:tc>
          <w:tcPr>
            <w:tcW w:type="dxa" w:w="856"/>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40 %</w:t>
            </w:r>
          </w:p>
        </w:tc>
        <w:tc>
          <w:tcPr>
            <w:tcW w:type="dxa" w:w="278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3 200 000</w:t>
            </w:r>
          </w:p>
        </w:tc>
        <w:tc>
          <w:tcPr>
            <w:tcW w:type="dxa" w:w="85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40 %</w:t>
            </w:r>
          </w:p>
        </w:tc>
      </w:tr>
      <w:tr>
        <w:trPr>
          <w:cantSplit/>
          <w:tblHeader w:val="false"/>
        </w:trPr>
        <w:tc>
          <w:tcPr>
            <w:tcW w:type="dxa" w:w="23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Charges fixes</w:t>
            </w:r>
          </w:p>
        </w:tc>
        <w:tc>
          <w:tcPr>
            <w:tcW w:type="dxa" w:w="27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2 000 000</w:t>
            </w:r>
          </w:p>
        </w:tc>
        <w:tc>
          <w:tcPr>
            <w:tcW w:type="dxa" w:w="8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27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2 500 000</w:t>
            </w:r>
          </w:p>
        </w:tc>
        <w:tc>
          <w:tcPr>
            <w:tcW w:type="dxa" w:w="85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235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Résultat</w:t>
            </w:r>
          </w:p>
        </w:tc>
        <w:tc>
          <w:tcPr>
            <w:tcW w:type="dxa" w:w="278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400 000</w:t>
            </w:r>
          </w:p>
        </w:tc>
        <w:tc>
          <w:tcPr>
            <w:tcW w:type="dxa" w:w="856"/>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c>
          <w:tcPr>
            <w:tcW w:type="dxa" w:w="278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700 000</w:t>
            </w:r>
          </w:p>
        </w:tc>
        <w:tc>
          <w:tcPr>
            <w:tcW w:type="dxa" w:w="85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r>
      <w:tr>
        <w:trPr>
          <w:cantSplit/>
          <w:tblHeader w:val="false"/>
        </w:trPr>
        <w:tc>
          <w:tcPr>
            <w:tcW w:type="dxa" w:w="235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Seuil de rentabilité</w:t>
            </w:r>
          </w:p>
        </w:tc>
        <w:tc>
          <w:tcPr>
            <w:tcW w:type="dxa" w:w="278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2 000 000 ÷ 0,40 = </w:t>
            </w:r>
            <w:r>
              <w:rPr>
                <w:b/>
                <w:bCs/>
                <w:sz w:val="20"/>
                <w:szCs w:val="20"/>
              </w:rPr>
              <w:t xml:space="preserve">5 000 000</w:t>
            </w:r>
          </w:p>
        </w:tc>
        <w:tc>
          <w:tcPr>
            <w:tcW w:type="dxa" w:w="856"/>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c>
          <w:tcPr>
            <w:tcW w:type="dxa" w:w="278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2 500 000 ÷ 0,40 = </w:t>
            </w:r>
            <w:r>
              <w:rPr>
                <w:b/>
                <w:bCs/>
                <w:sz w:val="20"/>
                <w:szCs w:val="20"/>
              </w:rPr>
              <w:t xml:space="preserve">6 250 000</w:t>
            </w:r>
          </w:p>
        </w:tc>
        <w:tc>
          <w:tcPr>
            <w:tcW w:type="dxa" w:w="85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r>
    </w:tbl>
    <w:p>
      <w:pPr>
        <w:spacing w:after="120"/>
      </w:pPr>
    </w:p>
    <w:p>
      <w:pPr>
        <w:spacing w:after="100"/>
      </w:pPr>
      <w:r>
        <w:rPr>
          <w:b/>
          <w:bCs/>
        </w:rPr>
        <w:t xml:space="preserve">2. Faut-il investir ?</w:t>
      </w:r>
      <w:r>
        <w:t xml:space="preserve"> L'investissement permet de gagner plus d'argent </w:t>
      </w:r>
      <w:r>
        <w:rPr>
          <w:b/>
          <w:bCs/>
        </w:rPr>
        <w:t xml:space="preserve">à l'optimum</w:t>
      </w:r>
      <w:r>
        <w:t xml:space="preserve"> (700 000 contre 400 000), mais le SR est nettement plus élevé (+1 250 000 €) : l'entreprise prend plus de risque.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 Complément</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Pour que l'investissement soit plus rentable que la situation actuelle : 0,40 CA – 2 500 000 &gt; 400 000  ⇔  CA &gt; 2 900 000 ÷ 0,40 = </w:t>
      </w:r>
      <w:r>
        <w:rPr>
          <w:b/>
          <w:bCs/>
        </w:rPr>
        <w:t xml:space="preserve">7 250 000 €</w:t>
      </w:r>
    </w:p>
    <w:p>
      <w:pPr>
        <w:spacing w:after="120"/>
      </w:pPr>
    </w:p>
    <w:p>
      <w:pPr>
        <w:spacing w:after="100"/>
      </w:pPr>
      <w:r>
        <w:t xml:space="preserve">L'investissement n'est donc intéressant que si l'entreprise est </w:t>
      </w:r>
      <w:r>
        <w:rPr>
          <w:b/>
          <w:bCs/>
        </w:rPr>
        <w:t xml:space="preserve">sûre de dépasser 7 250 000 € de CA</w:t>
      </w:r>
      <w:r>
        <w:t xml:space="preserve">.</w:t>
      </w:r>
    </w:p>
    <w:p>
      <w:pPr>
        <w:pStyle w:val="Heading3"/>
        <w:keepNext/>
        <w:pBdr>
          <w:left w:val="single" w:color="C55A11" w:sz="24" w:space="6"/>
        </w:pBdr>
        <w:shd w:fill="FBE4D5" w:color="auto" w:val="clear"/>
        <w:spacing w:after="100" w:before="280"/>
      </w:pPr>
      <w:bookmarkStart w:name="cas27" w:id="27"/>
      <w:r>
        <w:rPr>
          <w:b/>
          <w:bCs/>
          <w:color w:val="C55A11"/>
          <w:sz w:val="25"/>
          <w:szCs w:val="25"/>
        </w:rPr>
        <w:t xml:space="preserve">📌 Cas COPIFREE – acheter ou louer ?</w:t>
      </w:r>
      <w:bookmarkEnd w:id="27"/>
    </w:p>
    <w:p>
      <w:pPr>
        <w:spacing w:after="120" w:before="60"/>
      </w:pPr>
      <w:r>
        <w:rPr>
          <w:b/>
          <w:bCs/>
          <w:color w:val="FFFFFF"/>
          <w:sz w:val="20"/>
          <w:szCs w:val="20"/>
          <w:shd w:fill="7030A0" w:color="auto" w:val="clear"/>
        </w:rPr>
        <w:t xml:space="preserve"> 📄 Voir énoncé – COPIFREE </w:t>
      </w:r>
    </w:p>
    <w:p>
      <w:pPr>
        <w:spacing w:after="100"/>
      </w:pPr>
      <w:r>
        <w:rPr>
          <w:b/>
          <w:bCs/>
        </w:rPr>
        <w:t xml:space="preserve">1. Seuil de rentabilité en nombre de copies annuelles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2460"/>
        <w:gridCol w:w="2460"/>
        <w:gridCol w:w="2463"/>
      </w:tblGrid>
      <w:tr>
        <w:trPr>
          <w:cantSplit/>
          <w:tblHeader/>
        </w:trPr>
        <w:tc>
          <w:tcPr>
            <w:tcW w:type="dxa" w:w="2255"/>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p>
        </w:tc>
        <w:tc>
          <w:tcPr>
            <w:tcW w:type="dxa" w:w="2460"/>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Achat</w:t>
            </w:r>
          </w:p>
        </w:tc>
        <w:tc>
          <w:tcPr>
            <w:tcW w:type="dxa" w:w="2460"/>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Location 2 ans</w:t>
            </w:r>
          </w:p>
        </w:tc>
        <w:tc>
          <w:tcPr>
            <w:tcW w:type="dxa" w:w="2463"/>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Location 3 ans</w:t>
            </w:r>
          </w:p>
        </w:tc>
      </w:tr>
      <w:tr>
        <w:trPr>
          <w:cantSplit/>
          <w:tblHeader w:val="false"/>
        </w:trPr>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Prix de vente / copie</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0,10</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0,10</w:t>
            </w:r>
          </w:p>
        </w:tc>
        <w:tc>
          <w:tcPr>
            <w:tcW w:type="dxa" w:w="24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0,10</w:t>
            </w:r>
          </w:p>
        </w:tc>
      </w:tr>
      <w:tr>
        <w:trPr>
          <w:cantSplit/>
          <w:tblHeader w:val="false"/>
        </w:trPr>
        <w:tc>
          <w:tcPr>
            <w:tcW w:type="dxa" w:w="22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Entretien</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400 / 50 000 = 0,008</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 (compris)</w:t>
            </w:r>
          </w:p>
        </w:tc>
        <w:tc>
          <w:tcPr>
            <w:tcW w:type="dxa" w:w="24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 (compris)</w:t>
            </w:r>
          </w:p>
        </w:tc>
      </w:tr>
      <w:tr>
        <w:trPr>
          <w:cantSplit/>
          <w:tblHeader w:val="false"/>
        </w:trPr>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Encre</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90 / 4 000 = 0,0225</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0,0225</w:t>
            </w:r>
          </w:p>
        </w:tc>
        <w:tc>
          <w:tcPr>
            <w:tcW w:type="dxa" w:w="24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0,0225</w:t>
            </w:r>
          </w:p>
        </w:tc>
      </w:tr>
      <w:tr>
        <w:trPr>
          <w:cantSplit/>
          <w:tblHeader w:val="false"/>
        </w:trPr>
        <w:tc>
          <w:tcPr>
            <w:tcW w:type="dxa" w:w="22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Papier</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3,5 / 500 = 0,007</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0,007</w:t>
            </w:r>
          </w:p>
        </w:tc>
        <w:tc>
          <w:tcPr>
            <w:tcW w:type="dxa" w:w="24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0,007</w:t>
            </w:r>
          </w:p>
        </w:tc>
      </w:tr>
      <w:tr>
        <w:trPr>
          <w:cantSplit/>
          <w:tblHeader w:val="false"/>
        </w:trPr>
        <w:tc>
          <w:tcPr>
            <w:tcW w:type="dxa" w:w="225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CV unitaire</w:t>
            </w:r>
          </w:p>
        </w:tc>
        <w:tc>
          <w:tcPr>
            <w:tcW w:type="dxa" w:w="246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0,0375</w:t>
            </w:r>
          </w:p>
        </w:tc>
        <w:tc>
          <w:tcPr>
            <w:tcW w:type="dxa" w:w="246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0,0295</w:t>
            </w:r>
          </w:p>
        </w:tc>
        <w:tc>
          <w:tcPr>
            <w:tcW w:type="dxa" w:w="2463"/>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0,0295</w:t>
            </w:r>
          </w:p>
        </w:tc>
      </w:tr>
      <w:tr>
        <w:trPr>
          <w:cantSplit/>
          <w:tblHeader w:val="false"/>
        </w:trPr>
        <w:tc>
          <w:tcPr>
            <w:tcW w:type="dxa" w:w="225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M/CV unitaire</w:t>
            </w:r>
          </w:p>
        </w:tc>
        <w:tc>
          <w:tcPr>
            <w:tcW w:type="dxa" w:w="246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0,0625</w:t>
            </w:r>
          </w:p>
        </w:tc>
        <w:tc>
          <w:tcPr>
            <w:tcW w:type="dxa" w:w="246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0,0705</w:t>
            </w:r>
          </w:p>
        </w:tc>
        <w:tc>
          <w:tcPr>
            <w:tcW w:type="dxa" w:w="2463"/>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0,0705</w:t>
            </w:r>
          </w:p>
        </w:tc>
      </w:tr>
      <w:tr>
        <w:trPr>
          <w:cantSplit/>
          <w:tblHeader w:val="false"/>
        </w:trPr>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Loyer du local</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450 × 12 = 5 400</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5 400</w:t>
            </w:r>
          </w:p>
        </w:tc>
        <w:tc>
          <w:tcPr>
            <w:tcW w:type="dxa" w:w="24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5 400</w:t>
            </w:r>
          </w:p>
        </w:tc>
      </w:tr>
      <w:tr>
        <w:trPr>
          <w:cantSplit/>
          <w:tblHeader w:val="false"/>
        </w:trPr>
        <w:tc>
          <w:tcPr>
            <w:tcW w:type="dxa" w:w="22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Loyer machines</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180 × 12 × 3 = 6 480</w:t>
            </w:r>
          </w:p>
        </w:tc>
        <w:tc>
          <w:tcPr>
            <w:tcW w:type="dxa" w:w="24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140 × 12 × 3 = 5 040</w:t>
            </w:r>
          </w:p>
        </w:tc>
      </w:tr>
      <w:tr>
        <w:trPr>
          <w:cantSplit/>
          <w:tblHeader w:val="false"/>
        </w:trPr>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Amortissements</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3 × 1 200 / 3 = 1 200</w:t>
            </w:r>
          </w:p>
        </w:tc>
        <w:tc>
          <w:tcPr>
            <w:tcW w:type="dxa" w:w="24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w:t>
            </w:r>
          </w:p>
        </w:tc>
        <w:tc>
          <w:tcPr>
            <w:tcW w:type="dxa" w:w="24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w:t>
            </w:r>
          </w:p>
        </w:tc>
      </w:tr>
      <w:tr>
        <w:trPr>
          <w:cantSplit/>
          <w:tblHeader w:val="false"/>
        </w:trPr>
        <w:tc>
          <w:tcPr>
            <w:tcW w:type="dxa" w:w="22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Intérêts d'emprunt</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3 600 × 5 % = 180</w:t>
            </w:r>
          </w:p>
        </w:tc>
        <w:tc>
          <w:tcPr>
            <w:tcW w:type="dxa" w:w="24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w:t>
            </w:r>
          </w:p>
        </w:tc>
        <w:tc>
          <w:tcPr>
            <w:tcW w:type="dxa" w:w="24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w:t>
            </w:r>
          </w:p>
        </w:tc>
      </w:tr>
      <w:tr>
        <w:trPr>
          <w:cantSplit/>
          <w:tblHeader w:val="false"/>
        </w:trPr>
        <w:tc>
          <w:tcPr>
            <w:tcW w:type="dxa" w:w="225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Total CF</w:t>
            </w:r>
          </w:p>
        </w:tc>
        <w:tc>
          <w:tcPr>
            <w:tcW w:type="dxa" w:w="246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6 780</w:t>
            </w:r>
          </w:p>
        </w:tc>
        <w:tc>
          <w:tcPr>
            <w:tcW w:type="dxa" w:w="246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11 880</w:t>
            </w:r>
          </w:p>
        </w:tc>
        <w:tc>
          <w:tcPr>
            <w:tcW w:type="dxa" w:w="2463"/>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10 440</w:t>
            </w:r>
          </w:p>
        </w:tc>
      </w:tr>
      <w:tr>
        <w:trPr>
          <w:cantSplit/>
          <w:tblHeader w:val="false"/>
        </w:trPr>
        <w:tc>
          <w:tcPr>
            <w:tcW w:type="dxa" w:w="225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SR (copies)</w:t>
            </w:r>
          </w:p>
        </w:tc>
        <w:tc>
          <w:tcPr>
            <w:tcW w:type="dxa" w:w="246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6 780 / 0,0625 = </w:t>
            </w:r>
            <w:r>
              <w:rPr>
                <w:b/>
                <w:bCs/>
                <w:sz w:val="20"/>
                <w:szCs w:val="20"/>
              </w:rPr>
              <w:t xml:space="preserve">108 480</w:t>
            </w:r>
          </w:p>
        </w:tc>
        <w:tc>
          <w:tcPr>
            <w:tcW w:type="dxa" w:w="246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11 880 / 0,0705 = </w:t>
            </w:r>
            <w:r>
              <w:rPr>
                <w:b/>
                <w:bCs/>
                <w:sz w:val="20"/>
                <w:szCs w:val="20"/>
              </w:rPr>
              <w:t xml:space="preserve">168 511</w:t>
            </w:r>
          </w:p>
        </w:tc>
        <w:tc>
          <w:tcPr>
            <w:tcW w:type="dxa" w:w="2463"/>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10 440 / 0,0705 = </w:t>
            </w:r>
            <w:r>
              <w:rPr>
                <w:b/>
                <w:bCs/>
                <w:sz w:val="20"/>
                <w:szCs w:val="20"/>
              </w:rPr>
              <w:t xml:space="preserve">148 086</w:t>
            </w:r>
          </w:p>
        </w:tc>
      </w:tr>
    </w:tbl>
    <w:p>
      <w:pPr>
        <w:spacing w:after="120"/>
      </w:pPr>
    </w:p>
    <w:p>
      <w:pPr>
        <w:spacing w:after="100"/>
      </w:pPr>
      <w:r>
        <w:rPr>
          <w:b/>
          <w:bCs/>
        </w:rPr>
        <w:t xml:space="preserve">2. Résultat pour 600 000 copies par an</w:t>
      </w:r>
      <w:r>
        <w:t xml:space="preserve"> (CA = 600 000 × 0,10 = 60 000 €)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665"/>
        <w:gridCol w:w="2665"/>
        <w:gridCol w:w="2258"/>
      </w:tblGrid>
      <w:tr>
        <w:trPr>
          <w:cantSplit/>
          <w:tblHeader/>
        </w:trPr>
        <w:tc>
          <w:tcPr>
            <w:tcW w:type="dxa" w:w="2050"/>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p>
        </w:tc>
        <w:tc>
          <w:tcPr>
            <w:tcW w:type="dxa" w:w="2665"/>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Achat</w:t>
            </w:r>
          </w:p>
        </w:tc>
        <w:tc>
          <w:tcPr>
            <w:tcW w:type="dxa" w:w="2665"/>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Location 2 ans</w:t>
            </w:r>
          </w:p>
        </w:tc>
        <w:tc>
          <w:tcPr>
            <w:tcW w:type="dxa" w:w="2258"/>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Location 3 ans</w:t>
            </w:r>
          </w:p>
        </w:tc>
      </w:tr>
      <w:tr>
        <w:trPr>
          <w:cantSplit/>
          <w:tblHeader w:val="false"/>
        </w:trPr>
        <w:tc>
          <w:tcPr>
            <w:tcW w:type="dxa" w:w="20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M/CV totale</w:t>
            </w:r>
          </w:p>
        </w:tc>
        <w:tc>
          <w:tcPr>
            <w:tcW w:type="dxa" w:w="26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600 000 × 0,0625 = 37 500</w:t>
            </w:r>
          </w:p>
        </w:tc>
        <w:tc>
          <w:tcPr>
            <w:tcW w:type="dxa" w:w="26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600 000 × 0,0705 = 42 300</w:t>
            </w:r>
          </w:p>
        </w:tc>
        <w:tc>
          <w:tcPr>
            <w:tcW w:type="dxa" w:w="225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42 300</w:t>
            </w:r>
          </w:p>
        </w:tc>
      </w:tr>
      <w:tr>
        <w:trPr>
          <w:cantSplit/>
          <w:tblHeader w:val="false"/>
        </w:trPr>
        <w:tc>
          <w:tcPr>
            <w:tcW w:type="dxa" w:w="20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CF</w:t>
            </w:r>
          </w:p>
        </w:tc>
        <w:tc>
          <w:tcPr>
            <w:tcW w:type="dxa" w:w="26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6 780</w:t>
            </w:r>
          </w:p>
        </w:tc>
        <w:tc>
          <w:tcPr>
            <w:tcW w:type="dxa" w:w="26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11 880</w:t>
            </w:r>
          </w:p>
        </w:tc>
        <w:tc>
          <w:tcPr>
            <w:tcW w:type="dxa" w:w="225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10 440</w:t>
            </w:r>
          </w:p>
        </w:tc>
      </w:tr>
      <w:tr>
        <w:trPr>
          <w:cantSplit/>
          <w:tblHeader w:val="false"/>
        </w:trPr>
        <w:tc>
          <w:tcPr>
            <w:tcW w:type="dxa" w:w="2050"/>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Résultat</w:t>
            </w:r>
          </w:p>
        </w:tc>
        <w:tc>
          <w:tcPr>
            <w:tcW w:type="dxa" w:w="266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30 720</w:t>
            </w:r>
          </w:p>
        </w:tc>
        <w:tc>
          <w:tcPr>
            <w:tcW w:type="dxa" w:w="266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30 420</w:t>
            </w:r>
          </w:p>
        </w:tc>
        <w:tc>
          <w:tcPr>
            <w:tcW w:type="dxa" w:w="2258"/>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31 860</w:t>
            </w:r>
          </w:p>
        </w:tc>
      </w:tr>
    </w:tbl>
    <w:p>
      <w:pPr>
        <w:spacing w:after="120"/>
      </w:pPr>
    </w:p>
    <w:p>
      <w:pPr>
        <w:spacing w:after="100"/>
      </w:pPr>
      <w:r>
        <w:rPr>
          <w:b/>
          <w:bCs/>
        </w:rPr>
        <w:t xml:space="preserve">3. Nombre de copies pour un revenu annuel de 30 000 €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Il faut M/CV = CF + 30 000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Achat : (6 780 + 30 000) ÷ 0,0625 = 36 780 ÷ 0,0625 = </w:t>
      </w:r>
      <w:r>
        <w:rPr>
          <w:b/>
          <w:bCs/>
        </w:rPr>
        <w:t xml:space="preserve">588 480 copies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Location 2 ans : (11 880 + 30 000) ÷ 0,0705 = </w:t>
      </w:r>
      <w:r>
        <w:rPr>
          <w:b/>
          <w:bCs/>
        </w:rPr>
        <w:t xml:space="preserve">594 043 copies</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Location 3 ans : (10 440 + 30 000) ÷ 0,0705 = </w:t>
      </w:r>
      <w:r>
        <w:rPr>
          <w:b/>
          <w:bCs/>
        </w:rPr>
        <w:t xml:space="preserve">573 618 copies</w:t>
      </w:r>
    </w:p>
    <w:p>
      <w:pPr>
        <w:spacing w:after="120"/>
      </w:pPr>
    </w:p>
    <w:p>
      <w:pPr>
        <w:spacing w:after="100"/>
      </w:pPr>
      <w:r>
        <w:rPr>
          <w:b/>
          <w:bCs/>
        </w:rPr>
        <w:t xml:space="preserve">4. Conclusion</w:t>
      </w:r>
      <w:r>
        <w:t xml:space="preserve"> : les différences entre les formules sont faibles. La </w:t>
      </w:r>
      <w:r>
        <w:rPr>
          <w:b/>
          <w:bCs/>
        </w:rPr>
        <w:t xml:space="preserve">location sur 3 ans</w:t>
      </w:r>
      <w:r>
        <w:t xml:space="preserve"> offre le meilleur résultat (et demande le moins de copies pour 30 000 €), mais le SR est atteint </w:t>
      </w:r>
      <w:r>
        <w:rPr>
          <w:b/>
          <w:bCs/>
        </w:rPr>
        <w:t xml:space="preserve">plus vite avec l'achat</w:t>
      </w:r>
      <w:r>
        <w:t xml:space="preserve">.</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Dans les notes, la ligne « MCV unitaire 37 500 / 42 300 » du tableau de la question 2 correspond en fait à la </w:t>
      </w:r>
      <w:r>
        <w:rPr>
          <w:b/>
          <w:bCs/>
        </w:rPr>
        <w:t xml:space="preserve">M/CV totale</w:t>
      </w:r>
      <w:r>
        <w:t xml:space="preserv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Pour la question 3, seul l'achat avait été calculé : les deux formules de location ont été ajoutées.</w:t>
      </w:r>
    </w:p>
    <w:p>
      <w:pPr>
        <w:spacing w:after="120"/>
      </w:pPr>
    </w:p>
    <w:p>
      <w:pPr>
        <w:pStyle w:val="Heading2"/>
        <w:keepNext/>
        <w:pBdr>
          <w:bottom w:val="single" w:color="C55A11" w:sz="8" w:space="2"/>
        </w:pBdr>
        <w:spacing w:after="120" w:before="300"/>
      </w:pPr>
      <w:bookmarkStart w:name="s28" w:id="28"/>
      <w:r>
        <w:rPr>
          <w:b/>
          <w:bCs/>
          <w:color w:val="C55A11"/>
          <w:sz w:val="30"/>
          <w:szCs w:val="30"/>
        </w:rPr>
        <w:t xml:space="preserve">2. Le seuil de rentabilité comme outil de simulation</w:t>
      </w:r>
      <w:bookmarkEnd w:id="28"/>
    </w:p>
    <w:p>
      <w:pPr>
        <w:spacing w:after="100"/>
      </w:pPr>
      <w:r>
        <w:t xml:space="preserve">Le seuil de rentabilité permet de </w:t>
      </w:r>
      <w:r>
        <w:rPr>
          <w:b/>
          <w:bCs/>
        </w:rPr>
        <w:t xml:space="preserve">simuler</w:t>
      </w:r>
      <w:r>
        <w:t xml:space="preserve"> la rentabilité de l'entreprise en fonction de son marché et de l'</w:t>
      </w:r>
      <w:r>
        <w:rPr>
          <w:b/>
          <w:bCs/>
        </w:rPr>
        <w:t xml:space="preserve">élasticité</w:t>
      </w:r>
      <w:r>
        <w:t xml:space="preserve"> du produit.</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Élasticité</w:t>
      </w:r>
      <w:r>
        <w:rPr>
          <w:b w:val="false"/>
          <w:bCs w:val="false"/>
        </w:rPr>
        <w:t xml:space="preserve"> (définition générale) = rapport des variations relatives de deux variables économiques</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Élasticité demande / prix</w:t>
      </w:r>
      <w:r>
        <w:rPr>
          <w:b w:val="false"/>
          <w:bCs w:val="false"/>
        </w:rPr>
        <w:t xml:space="preserve"> = (ΔD / D) ÷ (ΔP / P)</w:t>
      </w:r>
    </w:p>
    <w:p>
      <w:pPr>
        <w:spacing w:after="120"/>
      </w:pPr>
    </w:p>
    <w:p>
      <w:pPr>
        <w:spacing w:after="100"/>
      </w:pPr>
      <w:r>
        <w:t xml:space="preserve">Une élasticité peut être </w:t>
      </w:r>
      <w:r>
        <w:rPr>
          <w:b/>
          <w:bCs/>
        </w:rPr>
        <w:t xml:space="preserve">négative ou positive</w:t>
      </w:r>
      <w:r>
        <w:t xml:space="preserve">. Si l'élasticité demande/prix est de </w:t>
      </w:r>
      <w:r>
        <w:rPr>
          <w:b/>
          <w:bCs/>
        </w:rPr>
        <w:t xml:space="preserve">–0,8</w:t>
      </w:r>
      <w:r>
        <w:t xml:space="preserve">, une hausse des prix de 10 % fait baisser la demande de 8 %. Pour certains produits, elle peut être quasi nulle.</w:t>
      </w:r>
    </w:p>
    <w:p>
      <w:pPr>
        <w:pStyle w:val="Heading3"/>
        <w:keepNext/>
        <w:pBdr>
          <w:left w:val="single" w:color="C55A11" w:sz="24" w:space="6"/>
        </w:pBdr>
        <w:shd w:fill="FBE4D5" w:color="auto" w:val="clear"/>
        <w:spacing w:after="100" w:before="280"/>
      </w:pPr>
      <w:bookmarkStart w:name="cas29" w:id="29"/>
      <w:r>
        <w:rPr>
          <w:b/>
          <w:bCs/>
          <w:color w:val="C55A11"/>
          <w:sz w:val="25"/>
          <w:szCs w:val="25"/>
        </w:rPr>
        <w:t xml:space="preserve">📌 Cas 2 – Investissement en cours d'année</w:t>
      </w:r>
      <w:bookmarkEnd w:id="29"/>
    </w:p>
    <w:p>
      <w:pPr>
        <w:spacing w:after="100"/>
      </w:pPr>
      <w:r>
        <w:t xml:space="preserve">Mêmes données que le Cas 1. Nouvelle machine opérationnelle au </w:t>
      </w:r>
      <w:r>
        <w:rPr>
          <w:b/>
          <w:bCs/>
        </w:rPr>
        <w:t xml:space="preserve">1er juin N+1</w:t>
      </w:r>
      <w:r>
        <w:t xml:space="preserve"> : CV de production </w:t>
      </w:r>
      <w:r>
        <w:rPr>
          <w:b/>
          <w:bCs/>
        </w:rPr>
        <w:t xml:space="preserve">–4,76 %</w:t>
      </w:r>
      <w:r>
        <w:t xml:space="preserve">, amortissements supplémentaires </w:t>
      </w:r>
      <w:r>
        <w:rPr>
          <w:b/>
          <w:bCs/>
        </w:rPr>
        <w:t xml:space="preserve">142 800 €/an</w:t>
      </w:r>
      <w:r>
        <w:t xml:space="preserve">, rythme de production </w:t>
      </w:r>
      <w:r>
        <w:rPr>
          <w:b/>
          <w:bCs/>
        </w:rPr>
        <w:t xml:space="preserve">+4 %</w:t>
      </w:r>
      <w:r>
        <w:t xml:space="preserve"> deux mois après la mise en service (à partir du 1er août).</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Production de l'année N+1</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Nouveau CV de production : 52,5 × (1 – 0,0476) = </w:t>
      </w:r>
      <w:r>
        <w:rPr>
          <w:b/>
          <w:bCs/>
        </w:rPr>
        <w:t xml:space="preserve">50 €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Janvier → mai (5 mois) : 45 000 × 5/12 = 18 750 produits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Juin → juillet (2 mois) : 45 000 × 2/12 = 7 500 produits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Août → décembre (5 mois) : 45 000 × 5/12 × 1,04 = 19 500 produits</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Production annuelle = 18 750 + 7 500 + 19 500 = </w:t>
      </w:r>
      <w:r>
        <w:rPr>
          <w:b/>
          <w:bCs/>
        </w:rPr>
        <w:t xml:space="preserve">45 750 produits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3"/>
        <w:gridCol w:w="3671"/>
        <w:gridCol w:w="1835"/>
        <w:gridCol w:w="1149"/>
      </w:tblGrid>
      <w:tr>
        <w:trPr>
          <w:cantSplit/>
          <w:tblHeader/>
        </w:trPr>
        <w:tc>
          <w:tcPr>
            <w:tcW w:type="dxa" w:w="2983"/>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Tableau différentiel N+1</w:t>
            </w:r>
          </w:p>
        </w:tc>
        <w:tc>
          <w:tcPr>
            <w:tcW w:type="dxa" w:w="3671"/>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Calcul</w:t>
            </w:r>
          </w:p>
        </w:tc>
        <w:tc>
          <w:tcPr>
            <w:tcW w:type="dxa" w:w="1835"/>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Montant</w:t>
            </w:r>
          </w:p>
        </w:tc>
        <w:tc>
          <w:tcPr>
            <w:tcW w:type="dxa" w:w="1149"/>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w:t>
            </w:r>
          </w:p>
        </w:tc>
      </w:tr>
      <w:tr>
        <w:trPr>
          <w:cantSplit/>
          <w:tblHeader w:val="false"/>
        </w:trPr>
        <w:tc>
          <w:tcPr>
            <w:tcW w:type="dxa" w:w="29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Chiffre d'affaires</w:t>
            </w:r>
          </w:p>
        </w:tc>
        <w:tc>
          <w:tcPr>
            <w:tcW w:type="dxa" w:w="36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45 750 × 75</w:t>
            </w:r>
          </w:p>
        </w:tc>
        <w:tc>
          <w:tcPr>
            <w:tcW w:type="dxa" w:w="18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3 431 250</w:t>
            </w:r>
          </w:p>
        </w:tc>
        <w:tc>
          <w:tcPr>
            <w:tcW w:type="dxa" w:w="11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w:t>
            </w:r>
          </w:p>
        </w:tc>
      </w:tr>
      <w:tr>
        <w:trPr>
          <w:cantSplit/>
          <w:tblHeader w:val="false"/>
        </w:trPr>
        <w:tc>
          <w:tcPr>
            <w:tcW w:type="dxa" w:w="29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CV de production</w:t>
            </w:r>
          </w:p>
        </w:tc>
        <w:tc>
          <w:tcPr>
            <w:tcW w:type="dxa" w:w="36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18 750 × 52,5 + 27 000 × 50</w:t>
            </w:r>
          </w:p>
        </w:tc>
        <w:tc>
          <w:tcPr>
            <w:tcW w:type="dxa" w:w="18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2 334 375</w:t>
            </w:r>
          </w:p>
        </w:tc>
        <w:tc>
          <w:tcPr>
            <w:tcW w:type="dxa" w:w="11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68,0 %</w:t>
            </w:r>
          </w:p>
        </w:tc>
      </w:tr>
      <w:tr>
        <w:trPr>
          <w:cantSplit/>
          <w:tblHeader w:val="false"/>
        </w:trPr>
        <w:tc>
          <w:tcPr>
            <w:tcW w:type="dxa" w:w="29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CV de distribution</w:t>
            </w:r>
          </w:p>
        </w:tc>
        <w:tc>
          <w:tcPr>
            <w:tcW w:type="dxa" w:w="36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45 750 × 7,5</w:t>
            </w:r>
          </w:p>
        </w:tc>
        <w:tc>
          <w:tcPr>
            <w:tcW w:type="dxa" w:w="18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343 125</w:t>
            </w:r>
          </w:p>
        </w:tc>
        <w:tc>
          <w:tcPr>
            <w:tcW w:type="dxa" w:w="11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w:t>
            </w:r>
          </w:p>
        </w:tc>
      </w:tr>
      <w:tr>
        <w:trPr>
          <w:cantSplit/>
          <w:tblHeader w:val="false"/>
        </w:trPr>
        <w:tc>
          <w:tcPr>
            <w:tcW w:type="dxa" w:w="2983"/>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M/CV</w:t>
            </w:r>
          </w:p>
        </w:tc>
        <w:tc>
          <w:tcPr>
            <w:tcW w:type="dxa" w:w="3671"/>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3 431 250 – 2 334 375 – 343 125</w:t>
            </w:r>
          </w:p>
        </w:tc>
        <w:tc>
          <w:tcPr>
            <w:tcW w:type="dxa" w:w="183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753 750</w:t>
            </w:r>
          </w:p>
        </w:tc>
        <w:tc>
          <w:tcPr>
            <w:tcW w:type="dxa" w:w="114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21,97 %</w:t>
            </w:r>
          </w:p>
        </w:tc>
      </w:tr>
      <w:tr>
        <w:trPr>
          <w:cantSplit/>
          <w:tblHeader w:val="false"/>
        </w:trPr>
        <w:tc>
          <w:tcPr>
            <w:tcW w:type="dxa" w:w="29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CF anciennes</w:t>
            </w:r>
          </w:p>
        </w:tc>
        <w:tc>
          <w:tcPr>
            <w:tcW w:type="dxa" w:w="36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8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500 000</w:t>
            </w:r>
          </w:p>
        </w:tc>
        <w:tc>
          <w:tcPr>
            <w:tcW w:type="dxa" w:w="11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29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CF nouvelles</w:t>
            </w:r>
          </w:p>
        </w:tc>
        <w:tc>
          <w:tcPr>
            <w:tcW w:type="dxa" w:w="36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142 800 × 7/12</w:t>
            </w:r>
          </w:p>
        </w:tc>
        <w:tc>
          <w:tcPr>
            <w:tcW w:type="dxa" w:w="18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83 300</w:t>
            </w:r>
          </w:p>
        </w:tc>
        <w:tc>
          <w:tcPr>
            <w:tcW w:type="dxa" w:w="11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2983"/>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Résultat</w:t>
            </w:r>
          </w:p>
        </w:tc>
        <w:tc>
          <w:tcPr>
            <w:tcW w:type="dxa" w:w="3671"/>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753 750 – 583 300</w:t>
            </w:r>
          </w:p>
        </w:tc>
        <w:tc>
          <w:tcPr>
            <w:tcW w:type="dxa" w:w="1835"/>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170 450</w:t>
            </w:r>
          </w:p>
        </w:tc>
        <w:tc>
          <w:tcPr>
            <w:tcW w:type="dxa" w:w="114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5,0 %</w:t>
            </w:r>
          </w:p>
        </w:tc>
      </w:tr>
    </w:tbl>
    <w:p>
      <w:pPr>
        <w:spacing w:after="120"/>
      </w:pPr>
    </w:p>
    <w:p>
      <w:pPr>
        <w:spacing w:after="100"/>
      </w:pPr>
      <w:r>
        <w:rPr>
          <w:b/>
          <w:bCs/>
        </w:rPr>
        <w:t xml:space="preserve">Recherche du seuil (approximation)</w:t>
      </w:r>
      <w:r>
        <w:t xml:space="preserve"> : SR ≈ 583 300 ÷ 0,2197 ≈ 2 655 000 € (≈ 35 400 produits). Cette approximation suppose un taux de M/CV constant sur l'année, ce qui est faux ici → on calcule plutôt </w:t>
      </w:r>
      <w:r>
        <w:rPr>
          <w:b/>
          <w:bCs/>
        </w:rPr>
        <w:t xml:space="preserve">la date exacte</w:t>
      </w:r>
      <w:r>
        <w:t xml:space="preserve">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Date à laquelle le SR est atteint</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générée du 1/1 au 31/5 : 18 750 × 15 = </w:t>
      </w:r>
      <w:r>
        <w:rPr>
          <w:b/>
          <w:bCs/>
        </w:rPr>
        <w:t xml:space="preserve">281 250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CF restant à couvrir au 1/6 : 583 300 – 281 250 = </w:t>
      </w:r>
      <w:r>
        <w:rPr>
          <w:b/>
          <w:bCs/>
        </w:rPr>
        <w:t xml:space="preserve">302 050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unitaire à partir du 1/6 : 75 – 50 – 7,5 = </w:t>
      </w:r>
      <w:r>
        <w:rPr>
          <w:b/>
          <w:bCs/>
        </w:rPr>
        <w:t xml:space="preserve">17,5 €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générée du 1/6 au 31/7 : 7 500 × 17,5 = </w:t>
      </w:r>
      <w:r>
        <w:rPr>
          <w:b/>
          <w:bCs/>
        </w:rPr>
        <w:t xml:space="preserve">131 250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CF restant à couvrir au 1/8 : 302 050 – 131 250 = </w:t>
      </w:r>
      <w:r>
        <w:rPr>
          <w:b/>
          <w:bCs/>
        </w:rPr>
        <w:t xml:space="preserve">170 800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Production mensuelle à partir du 1/8 : 45 000 / 12 × 1,04 = 3 900 → M/CV par mois = 3 900 × 17,5 = </w:t>
      </w:r>
      <w:r>
        <w:rPr>
          <w:b/>
          <w:bCs/>
        </w:rPr>
        <w:t xml:space="preserve">68 250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Durée nécessaire : 170 800 ÷ 68 250 = </w:t>
      </w:r>
      <w:r>
        <w:rPr>
          <w:b/>
          <w:bCs/>
        </w:rPr>
        <w:t xml:space="preserve">2,5 mois</w:t>
      </w:r>
      <w:r>
        <w:t xml:space="preserve">, soit 170 800 ÷ 17,5 = </w:t>
      </w:r>
      <w:r>
        <w:rPr>
          <w:b/>
          <w:bCs/>
        </w:rPr>
        <w:t xml:space="preserve">9 760 produits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En jours : 9 760 × 150 j / 19 500 = 75 jours → 7 mois + 75 jours = </w:t>
      </w:r>
      <w:r>
        <w:rPr>
          <w:b/>
          <w:bCs/>
        </w:rPr>
        <w:t xml:space="preserve">15 octobre N+1</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Quantité au SR = 18 750 + 7 500 + 9 760 = </w:t>
      </w:r>
      <w:r>
        <w:rPr>
          <w:b/>
          <w:bCs/>
        </w:rPr>
        <w:t xml:space="preserve">36 010 produits</w:t>
      </w:r>
      <w:r>
        <w:t xml:space="preserve">, soit un SR de 36 010 × 75 = </w:t>
      </w:r>
      <w:r>
        <w:rPr>
          <w:b/>
          <w:bCs/>
        </w:rPr>
        <w:t xml:space="preserve">2 700 750 €</w:t>
      </w:r>
      <w:r>
        <w:t xml:space="preserve"> (plus précis que l'approximation)</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indiquaient « 58 300 – 281 250 » : il faut lire </w:t>
      </w:r>
      <w:r>
        <w:rPr>
          <w:b/>
          <w:bCs/>
        </w:rPr>
        <w:t xml:space="preserve">583 300</w:t>
      </w:r>
      <w:r>
        <w:t xml:space="preserve"> (500 000 + 83 300). Elles donnaient aussi « SR = 583 300 / 0,219 = 2 663 470 » : le taux exact est 753 750 / 3 431 250 = 21,97 %. De toute façon, le calcul fiable est celui de la date (36 010 produits).</w:t>
      </w:r>
    </w:p>
    <w:p>
      <w:pPr>
        <w:spacing w:after="120"/>
      </w:pPr>
    </w:p>
    <w:p>
      <w:pPr>
        <w:spacing w:after="100"/>
      </w:pPr>
      <w:r>
        <w:rPr>
          <w:b/>
          <w:bCs/>
        </w:rPr>
        <w:t xml:space="preserve">Opinion sur l'investissement (année de mise en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686"/>
        <w:gridCol w:w="1686"/>
        <w:gridCol w:w="1927"/>
        <w:gridCol w:w="2412"/>
      </w:tblGrid>
      <w:tr>
        <w:trPr>
          <w:cantSplit/>
          <w:tblHeader/>
        </w:trPr>
        <w:tc>
          <w:tcPr>
            <w:tcW w:type="dxa" w:w="1927"/>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p>
        </w:tc>
        <w:tc>
          <w:tcPr>
            <w:tcW w:type="dxa" w:w="1686"/>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Taux de M/CV</w:t>
            </w:r>
          </w:p>
        </w:tc>
        <w:tc>
          <w:tcPr>
            <w:tcW w:type="dxa" w:w="1686"/>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Résultat</w:t>
            </w:r>
          </w:p>
        </w:tc>
        <w:tc>
          <w:tcPr>
            <w:tcW w:type="dxa" w:w="1927"/>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Seuil</w:t>
            </w:r>
          </w:p>
        </w:tc>
        <w:tc>
          <w:tcPr>
            <w:tcW w:type="dxa" w:w="2412"/>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Date du SR</w:t>
            </w:r>
          </w:p>
        </w:tc>
      </w:tr>
      <w:tr>
        <w:trPr>
          <w:cantSplit/>
          <w:tblHeader w:val="false"/>
        </w:trPr>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Cas 1</w:t>
            </w:r>
          </w:p>
        </w:tc>
        <w:tc>
          <w:tcPr>
            <w:tcW w:type="dxa" w:w="16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20 %</w:t>
            </w:r>
          </w:p>
        </w:tc>
        <w:tc>
          <w:tcPr>
            <w:tcW w:type="dxa" w:w="168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175 000</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2 500 000</w:t>
            </w:r>
          </w:p>
        </w:tc>
        <w:tc>
          <w:tcPr>
            <w:tcW w:type="dxa" w:w="24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27 septembre</w:t>
            </w:r>
          </w:p>
        </w:tc>
      </w:tr>
      <w:tr>
        <w:trPr>
          <w:cantSplit/>
          <w:tblHeader w:val="false"/>
        </w:trPr>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Cas 2</w:t>
            </w:r>
          </w:p>
        </w:tc>
        <w:tc>
          <w:tcPr>
            <w:tcW w:type="dxa" w:w="168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21,97 %</w:t>
            </w:r>
          </w:p>
        </w:tc>
        <w:tc>
          <w:tcPr>
            <w:tcW w:type="dxa" w:w="168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170 450</w:t>
            </w:r>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2 700 750</w:t>
            </w:r>
          </w:p>
        </w:tc>
        <w:tc>
          <w:tcPr>
            <w:tcW w:type="dxa" w:w="24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15 octobre</w:t>
            </w:r>
          </w:p>
        </w:tc>
      </w:tr>
      <w:tr>
        <w:trPr>
          <w:cantSplit/>
          <w:tblHeader w:val="false"/>
        </w:trPr>
        <w:tc>
          <w:tcPr>
            <w:tcW w:type="dxa" w:w="192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Différence</w:t>
            </w:r>
          </w:p>
        </w:tc>
        <w:tc>
          <w:tcPr>
            <w:tcW w:type="dxa" w:w="1686"/>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+1,97 pt</w:t>
            </w:r>
          </w:p>
        </w:tc>
        <w:tc>
          <w:tcPr>
            <w:tcW w:type="dxa" w:w="1686"/>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 4 550</w:t>
            </w:r>
          </w:p>
        </w:tc>
        <w:tc>
          <w:tcPr>
            <w:tcW w:type="dxa" w:w="192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+ 200 750</w:t>
            </w:r>
          </w:p>
        </w:tc>
        <w:tc>
          <w:tcPr>
            <w:tcW w:type="dxa" w:w="24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18 jours plus tard</w:t>
            </w:r>
          </w:p>
        </w:tc>
      </w:tr>
    </w:tbl>
    <w:p>
      <w:pPr>
        <w:spacing w:after="120"/>
      </w:pPr>
    </w:p>
    <w:p>
      <w:pPr>
        <w:spacing w:after="100"/>
      </w:pPr>
      <w:r>
        <w:t xml:space="preserve">L'investissement conduit à une </w:t>
      </w:r>
      <w:r>
        <w:rPr>
          <w:b/>
          <w:bCs/>
        </w:rPr>
        <w:t xml:space="preserve">baisse du résultat</w:t>
      </w:r>
      <w:r>
        <w:t xml:space="preserve"> et à un SR atteint </w:t>
      </w:r>
      <w:r>
        <w:rPr>
          <w:b/>
          <w:bCs/>
        </w:rPr>
        <w:t xml:space="preserve">plus tard</w:t>
      </w:r>
      <w:r>
        <w:t xml:space="preserve">. Sur les critères de rentabilité </w:t>
      </w:r>
      <w:r>
        <w:rPr>
          <w:b/>
          <w:bCs/>
        </w:rPr>
        <w:t xml:space="preserve">et</w:t>
      </w:r>
      <w:r>
        <w:t xml:space="preserve"> de sécurité, il ne semble pas positif. </w:t>
      </w:r>
      <w:r>
        <w:rPr>
          <w:b/>
          <w:bCs/>
        </w:rPr>
        <w:t xml:space="preserve">Toutefois, ce jugement est erroné</w:t>
      </w:r>
      <w:r>
        <w:t xml:space="preserve"> : pour évaluer l'impact d'un investissement, il faut raisonner sur une </w:t>
      </w:r>
      <w:r>
        <w:rPr>
          <w:b/>
          <w:bCs/>
        </w:rPr>
        <w:t xml:space="preserve">année pleine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977"/>
        <w:gridCol w:w="1237"/>
      </w:tblGrid>
      <w:tr>
        <w:trPr>
          <w:cantSplit/>
          <w:tblHeader/>
        </w:trPr>
        <w:tc>
          <w:tcPr>
            <w:tcW w:type="dxa" w:w="3212"/>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Année pleine</w:t>
            </w:r>
          </w:p>
        </w:tc>
        <w:tc>
          <w:tcPr>
            <w:tcW w:type="dxa" w:w="3212"/>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Calcul</w:t>
            </w:r>
          </w:p>
        </w:tc>
        <w:tc>
          <w:tcPr>
            <w:tcW w:type="dxa" w:w="1977"/>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Montant</w:t>
            </w:r>
          </w:p>
        </w:tc>
        <w:tc>
          <w:tcPr>
            <w:tcW w:type="dxa" w:w="1237"/>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Chiffre d'affaires</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46 800 × 75</w:t>
            </w:r>
          </w:p>
        </w:tc>
        <w:tc>
          <w:tcPr>
            <w:tcW w:type="dxa" w:w="19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3 510 000</w:t>
            </w:r>
          </w:p>
        </w:tc>
        <w:tc>
          <w:tcPr>
            <w:tcW w:type="dxa" w:w="12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CV de production</w:t>
            </w:r>
          </w:p>
        </w:tc>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46 800 × 50</w:t>
            </w:r>
          </w:p>
        </w:tc>
        <w:tc>
          <w:tcPr>
            <w:tcW w:type="dxa" w:w="19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2 340 000</w:t>
            </w:r>
          </w:p>
        </w:tc>
        <w:tc>
          <w:tcPr>
            <w:tcW w:type="dxa" w:w="123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66,7 %</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CV de distribution</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46 800 × 7,5</w:t>
            </w:r>
          </w:p>
        </w:tc>
        <w:tc>
          <w:tcPr>
            <w:tcW w:type="dxa" w:w="19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351 000</w:t>
            </w:r>
          </w:p>
        </w:tc>
        <w:tc>
          <w:tcPr>
            <w:tcW w:type="dxa" w:w="12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w:t>
            </w:r>
          </w:p>
        </w:tc>
      </w:tr>
      <w:tr>
        <w:trPr>
          <w:cantSplit/>
          <w:tblHeader w:val="false"/>
        </w:trPr>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M/CV</w:t>
            </w:r>
          </w:p>
        </w:tc>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46 800 × 17,5</w:t>
            </w:r>
          </w:p>
        </w:tc>
        <w:tc>
          <w:tcPr>
            <w:tcW w:type="dxa" w:w="197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819 000</w:t>
            </w:r>
          </w:p>
        </w:tc>
        <w:tc>
          <w:tcPr>
            <w:tcW w:type="dxa" w:w="123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23,3 %</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CF anciennes</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9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500 000</w:t>
            </w:r>
          </w:p>
        </w:tc>
        <w:tc>
          <w:tcPr>
            <w:tcW w:type="dxa" w:w="12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CF nouvelles</w:t>
            </w:r>
          </w:p>
        </w:tc>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9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142 800</w:t>
            </w:r>
          </w:p>
        </w:tc>
        <w:tc>
          <w:tcPr>
            <w:tcW w:type="dxa" w:w="123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Résultat</w:t>
            </w:r>
          </w:p>
        </w:tc>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c>
          <w:tcPr>
            <w:tcW w:type="dxa" w:w="197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176 200</w:t>
            </w:r>
          </w:p>
        </w:tc>
        <w:tc>
          <w:tcPr>
            <w:tcW w:type="dxa" w:w="123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5,02 %</w:t>
            </w:r>
          </w:p>
        </w:tc>
      </w:tr>
    </w:tbl>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Production année pleine : 45 000 × 1,04 = 46 800 produits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SR = 642 800 ÷ 17,5 = 36 731,4 → </w:t>
      </w:r>
      <w:r>
        <w:rPr>
          <w:b/>
          <w:bCs/>
        </w:rPr>
        <w:t xml:space="preserve">36 732 produits</w:t>
      </w:r>
      <w:r>
        <w:t xml:space="preserve">, soit un CA de ≈ </w:t>
      </w:r>
      <w:r>
        <w:rPr>
          <w:b/>
          <w:bCs/>
        </w:rPr>
        <w:t xml:space="preserve">2 754 800 €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Date : 2 754 800 ÷ 3 510 000 × 360 ≈ 282,5 jours → </w:t>
      </w:r>
      <w:r>
        <w:rPr>
          <w:b/>
          <w:bCs/>
        </w:rPr>
        <w:t xml:space="preserve">vers le 12 octobre</w:t>
      </w:r>
    </w:p>
    <w:p>
      <w:pPr>
        <w:spacing w:after="120"/>
      </w:pPr>
    </w:p>
    <w:p>
      <w:pPr>
        <w:spacing w:after="100"/>
      </w:pPr>
      <w:r>
        <w:rPr>
          <w:b/>
          <w:bCs/>
        </w:rPr>
        <w:t xml:space="preserve">Conclusion</w:t>
      </w:r>
      <w:r>
        <w:t xml:space="preserve"> : l'investissement améliore le résultat (176 200 contre 175 000), mais faiblement, et il </w:t>
      </w:r>
      <w:r>
        <w:rPr>
          <w:b/>
          <w:bCs/>
        </w:rPr>
        <w:t xml:space="preserve">accroît le risque</w:t>
      </w:r>
      <w:r>
        <w:t xml:space="preserve"> de l'entreprise puisque le SR est atteint plus tardivement.</w:t>
      </w:r>
    </w:p>
    <w:p>
      <w:pPr>
        <w:pStyle w:val="Heading3"/>
        <w:keepNext/>
        <w:pBdr>
          <w:left w:val="single" w:color="C55A11" w:sz="24" w:space="6"/>
        </w:pBdr>
        <w:shd w:fill="FBE4D5" w:color="auto" w:val="clear"/>
        <w:spacing w:after="100" w:before="280"/>
      </w:pPr>
      <w:bookmarkStart w:name="cas30" w:id="30"/>
      <w:r>
        <w:rPr>
          <w:b/>
          <w:bCs/>
          <w:color w:val="C55A11"/>
          <w:sz w:val="25"/>
          <w:szCs w:val="25"/>
        </w:rPr>
        <w:t xml:space="preserve">📌 Cas 3 – Baisse de prix et élasticité</w:t>
      </w:r>
      <w:bookmarkEnd w:id="30"/>
    </w:p>
    <w:p>
      <w:pPr>
        <w:spacing w:after="100"/>
      </w:pPr>
      <w:r>
        <w:t xml:space="preserve">Données du Cas 1. Élasticité demande/prix = </w:t>
      </w:r>
      <w:r>
        <w:rPr>
          <w:b/>
          <w:bCs/>
        </w:rPr>
        <w:t xml:space="preserve">–2</w:t>
      </w:r>
      <w:r>
        <w:t xml:space="preserve"> (entre 60 et 85 €). L'entreprise envisage de baisser ses prix de </w:t>
      </w:r>
      <w:r>
        <w:rPr>
          <w:b/>
          <w:bCs/>
        </w:rPr>
        <w:t xml:space="preserve">4 %</w:t>
      </w:r>
      <w:r>
        <w:t xml:space="preserve">.</w:t>
      </w:r>
    </w:p>
    <w:p>
      <w:pPr>
        <w:spacing w:after="100"/>
      </w:pPr>
      <w:r>
        <w:rPr>
          <w:b/>
          <w:bCs/>
        </w:rPr>
        <w:t xml:space="preserve">1. Résultat attendu</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Baisse de prix de 4 % × élasticité de –2 → hausse des quantités de </w:t>
      </w:r>
      <w:r>
        <w:rPr>
          <w:b/>
          <w:bCs/>
        </w:rPr>
        <w:t xml:space="preserve">8 %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Nouveau prix : 75 × 0,96 = </w:t>
      </w:r>
      <w:r>
        <w:rPr>
          <w:b/>
          <w:bCs/>
        </w:rPr>
        <w:t xml:space="preserve">72 €</w:t>
      </w:r>
      <w:r>
        <w:t xml:space="preserve"> ; nouvelle quantité : 45 000 × 1,08 = </w:t>
      </w:r>
      <w:r>
        <w:rPr>
          <w:b/>
          <w:bCs/>
        </w:rPr>
        <w:t xml:space="preserve">48 600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977"/>
        <w:gridCol w:w="1237"/>
      </w:tblGrid>
      <w:tr>
        <w:trPr>
          <w:cantSplit/>
          <w:tblHeader/>
        </w:trPr>
        <w:tc>
          <w:tcPr>
            <w:tcW w:type="dxa" w:w="3212"/>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p>
        </w:tc>
        <w:tc>
          <w:tcPr>
            <w:tcW w:type="dxa" w:w="3212"/>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Calcul</w:t>
            </w:r>
          </w:p>
        </w:tc>
        <w:tc>
          <w:tcPr>
            <w:tcW w:type="dxa" w:w="1977"/>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Montant</w:t>
            </w:r>
          </w:p>
        </w:tc>
        <w:tc>
          <w:tcPr>
            <w:tcW w:type="dxa" w:w="1237"/>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48 600 × 72</w:t>
            </w:r>
          </w:p>
        </w:tc>
        <w:tc>
          <w:tcPr>
            <w:tcW w:type="dxa" w:w="19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3 499 200</w:t>
            </w:r>
          </w:p>
        </w:tc>
        <w:tc>
          <w:tcPr>
            <w:tcW w:type="dxa" w:w="12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100 %</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CV de production</w:t>
            </w:r>
          </w:p>
        </w:tc>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48 600 × 52,5</w:t>
            </w:r>
          </w:p>
        </w:tc>
        <w:tc>
          <w:tcPr>
            <w:tcW w:type="dxa" w:w="19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2 551 500</w:t>
            </w:r>
          </w:p>
        </w:tc>
        <w:tc>
          <w:tcPr>
            <w:tcW w:type="dxa" w:w="123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72,9 %</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CV de distribution</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48 600 × 7,2</w:t>
            </w:r>
          </w:p>
        </w:tc>
        <w:tc>
          <w:tcPr>
            <w:tcW w:type="dxa" w:w="19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349 920</w:t>
            </w:r>
          </w:p>
        </w:tc>
        <w:tc>
          <w:tcPr>
            <w:tcW w:type="dxa" w:w="12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w:t>
            </w:r>
          </w:p>
        </w:tc>
      </w:tr>
      <w:tr>
        <w:trPr>
          <w:cantSplit/>
          <w:tblHeader w:val="false"/>
        </w:trPr>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M/CV</w:t>
            </w:r>
          </w:p>
        </w:tc>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c>
          <w:tcPr>
            <w:tcW w:type="dxa" w:w="197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597 780</w:t>
            </w:r>
          </w:p>
        </w:tc>
        <w:tc>
          <w:tcPr>
            <w:tcW w:type="dxa" w:w="123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17,1 %</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CF</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9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500 000</w:t>
            </w:r>
          </w:p>
        </w:tc>
        <w:tc>
          <w:tcPr>
            <w:tcW w:type="dxa" w:w="123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Résultat d'exploitation</w:t>
            </w:r>
          </w:p>
        </w:tc>
        <w:tc>
          <w:tcPr>
            <w:tcW w:type="dxa" w:w="3212"/>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c>
          <w:tcPr>
            <w:tcW w:type="dxa" w:w="197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97 780</w:t>
            </w:r>
          </w:p>
        </w:tc>
        <w:tc>
          <w:tcPr>
            <w:tcW w:type="dxa" w:w="1237"/>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2,8 %</w:t>
            </w:r>
          </w:p>
        </w:tc>
      </w:tr>
    </w:tbl>
    <w:p>
      <w:pPr>
        <w:spacing w:after="120"/>
      </w:pPr>
    </w:p>
    <w:p>
      <w:pPr>
        <w:spacing w:after="100"/>
      </w:pPr>
      <w:r>
        <w:t xml:space="preserve">Le résultat </w:t>
      </w:r>
      <w:r>
        <w:rPr>
          <w:b/>
          <w:bCs/>
        </w:rPr>
        <w:t xml:space="preserve">baisse de 175 000 – 97 780 = 77 220 €</w:t>
      </w:r>
      <w:r>
        <w:t xml:space="preserve">, soit </w:t>
      </w:r>
      <w:r>
        <w:rPr>
          <w:b/>
          <w:bCs/>
        </w:rPr>
        <w:t xml:space="preserve">–44 %</w:t>
      </w:r>
      <w:r>
        <w:t xml:space="preserve"> par rapport à la situation initiale → hypothèse à éviter.</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personnelles disaient « le résultat passe de 77 220 € » : il s'agit d'une </w:t>
      </w:r>
      <w:r>
        <w:rPr>
          <w:b/>
          <w:bCs/>
        </w:rPr>
        <w:t xml:space="preserve">baisse de</w:t>
      </w:r>
      <w:r>
        <w:t xml:space="preserve"> 77 220 € (de 175 000 à 97 780).</w:t>
      </w:r>
    </w:p>
    <w:p>
      <w:pPr>
        <w:spacing w:after="120"/>
      </w:pPr>
    </w:p>
    <w:p>
      <w:pPr>
        <w:spacing w:after="100"/>
      </w:pPr>
      <w:r>
        <w:rPr>
          <w:b/>
          <w:bCs/>
        </w:rPr>
        <w:t xml:space="preserve">2. À quelles conditions d'élasticité la décision serait-elle opportune ?</w:t>
      </w:r>
    </w:p>
    <w:p>
      <w:pPr>
        <w:spacing w:after="100"/>
      </w:pPr>
      <w:r>
        <w:t xml:space="preserve">Il faut un résultat au moins égal à celui du Cas 1 (175 000 €), donc une </w:t>
      </w:r>
      <w:r>
        <w:rPr>
          <w:b/>
          <w:bCs/>
        </w:rPr>
        <w:t xml:space="preserve">M/CV d'au moins 675 000 €</w:t>
      </w:r>
      <w:r>
        <w:t xml:space="preserve">. On peut jouer sur les quantités </w:t>
      </w:r>
      <w:r>
        <w:rPr>
          <w:b/>
          <w:bCs/>
        </w:rPr>
        <w:t xml:space="preserve">ou</w:t>
      </w:r>
      <w:r>
        <w:t xml:space="preserve"> sur le prix.</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a) On garde le prix de 72 €</w:t>
      </w:r>
      <w:r>
        <w:t xml:space="preserve"> : M/CV unitaire = 72 – 52,5 – 7,2 = 12,3 €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Quantités nécessaires = 675 000 ÷ 12,3 = 54 878 articles → hausse de 54 878 ÷ 45 000 – 1 = </w:t>
      </w:r>
      <w:r>
        <w:rPr>
          <w:b/>
          <w:bCs/>
        </w:rPr>
        <w:t xml:space="preserve">+21,95 %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Élasticité nécessaire = 21,95 % ÷ (–4 %) = </w:t>
      </w:r>
      <w:r>
        <w:rPr>
          <w:b/>
          <w:bCs/>
        </w:rPr>
        <w:t xml:space="preserve">–5,49</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b) On garde une demande de 48 600 produits</w:t>
      </w:r>
      <w:r>
        <w:t xml:space="preserve"> : M/CV unitaire ≥ 675 000 ÷ 48 600 = 13,89 €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PV – 52,5 – 0,1 PV = 13,89  ⇔  0,9 PV = 66,39  ⇔  PV minimum = </w:t>
      </w:r>
      <w:r>
        <w:rPr>
          <w:b/>
          <w:bCs/>
        </w:rPr>
        <w:t xml:space="preserve">73,77 €</w:t>
      </w:r>
      <w:r>
        <w:t xml:space="preserve"> (baisse de 1,64 % par rapport à 75 €)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Élasticité minimum = 8 % ÷ (–1,64 %) = </w:t>
      </w:r>
      <w:r>
        <w:rPr>
          <w:b/>
          <w:bCs/>
        </w:rPr>
        <w:t xml:space="preserve">–4,88</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de Vianney écrivaient « 13,89 + 52,5 = 0,1 PV » : il faut lire </w:t>
      </w:r>
      <w:r>
        <w:rPr>
          <w:b/>
          <w:bCs/>
        </w:rPr>
        <w:t xml:space="preserve">0,9 PV</w:t>
      </w:r>
      <w:r>
        <w:t xml:space="preserve"> (PV – 0,1 PV), sinon on ne retrouve pas 73,77 €.</w:t>
      </w:r>
    </w:p>
    <w:p>
      <w:pPr>
        <w:spacing w:after="120"/>
      </w:pPr>
    </w:p>
    <w:p>
      <w:pPr>
        <w:pStyle w:val="Heading3"/>
        <w:keepNext/>
        <w:pBdr>
          <w:left w:val="single" w:color="C55A11" w:sz="24" w:space="6"/>
        </w:pBdr>
        <w:shd w:fill="FBE4D5" w:color="auto" w:val="clear"/>
        <w:spacing w:after="100" w:before="280"/>
      </w:pPr>
      <w:bookmarkStart w:name="cas31" w:id="31"/>
      <w:r>
        <w:rPr>
          <w:b/>
          <w:bCs/>
          <w:color w:val="C55A11"/>
          <w:sz w:val="25"/>
          <w:szCs w:val="25"/>
        </w:rPr>
        <w:t xml:space="preserve">📌 Cas POLTA – seuil de rentabilité et levier d'exploitation</w:t>
      </w:r>
      <w:bookmarkEnd w:id="31"/>
    </w:p>
    <w:p>
      <w:pPr>
        <w:spacing w:after="120" w:before="60"/>
      </w:pPr>
      <w:r>
        <w:rPr>
          <w:b/>
          <w:bCs/>
          <w:color w:val="FFFFFF"/>
          <w:sz w:val="20"/>
          <w:szCs w:val="20"/>
          <w:shd w:fill="7030A0" w:color="auto" w:val="clear"/>
        </w:rPr>
        <w:t xml:space="preserve"> 📄 Voir énoncé – POLTA </w:t>
      </w:r>
    </w:p>
    <w:p>
      <w:pPr>
        <w:spacing w:after="100"/>
      </w:pPr>
      <w:r>
        <w:rPr>
          <w:b/>
          <w:bCs/>
        </w:rPr>
        <w:t xml:space="preserve">1.1 Résultat net et seuil pour chaque hypothèse</w:t>
      </w:r>
      <w:r>
        <w:t xml:space="preserve"> (sous-traitance : taux de M/CV 40 %, CF 3 000 k€ ; production interne : taux de M/CV 60 %, CF 7 500 k€ ; CA moyen 18 000 k€ ± 15 % ; IS 33 1/3 %)</w:t>
      </w:r>
    </w:p>
    <w:p>
      <w:pPr>
        <w:keepNext/>
        <w:spacing w:after="40" w:before="80"/>
        <w:jc w:val="center"/>
      </w:pPr>
      <w:r>
        <w:drawing>
          <wp:inline distT="0" distB="0" distL="0" distR="0">
            <wp:extent cx="5905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43050"/>
                    </a:xfrm>
                    <a:prstGeom prst="rect">
                      <a:avLst/>
                    </a:prstGeom>
                  </pic:spPr>
                </pic:pic>
              </a:graphicData>
            </a:graphic>
          </wp:inline>
        </w:drawing>
      </w:r>
    </w:p>
    <w:p>
      <w:pPr>
        <w:spacing w:after="160"/>
        <w:jc w:val="center"/>
      </w:pPr>
      <w:r>
        <w:rPr>
          <w:i/>
          <w:iCs/>
          <w:color w:val="595959"/>
          <w:sz w:val="18"/>
          <w:szCs w:val="18"/>
        </w:rPr>
        <w:t xml:space="preserve">Capture Excel – POLTA, résultats par hypothèse (en k€)</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SR sous-traitance = 3 000 ÷ 0,40 = </w:t>
      </w:r>
      <w:r>
        <w:rPr>
          <w:b/>
          <w:bCs/>
        </w:rPr>
        <w:t xml:space="preserve">7 500 k€</w:t>
      </w:r>
      <w:r>
        <w:t xml:space="preserve"> ; SR production interne = 7 500 ÷ 0,60 = </w:t>
      </w:r>
      <w:r>
        <w:rPr>
          <w:b/>
          <w:bCs/>
        </w:rPr>
        <w:t xml:space="preserve">12 500 k€</w:t>
      </w:r>
    </w:p>
    <w:p>
      <w:pPr>
        <w:spacing w:after="120"/>
      </w:pPr>
    </w:p>
    <w:p>
      <w:pPr>
        <w:spacing w:after="100"/>
      </w:pPr>
      <w:r>
        <w:rPr>
          <w:b/>
          <w:bCs/>
        </w:rPr>
        <w:t xml:space="preserve">1.2 Variation relative du résultat si l'hypothèse moyenne ne se réalise pas</w:t>
      </w:r>
      <w:r>
        <w:t xml:space="preserve"> (passage de l'hypothèse moyenne à l'hypothèse basse, soit ΔCA/CA = –15 %)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Sous-traitance : ΔR/R = (2 800 – 2 080) / 2 800 = </w:t>
      </w:r>
      <w:r>
        <w:rPr>
          <w:b/>
          <w:bCs/>
        </w:rPr>
        <w:t xml:space="preserve">25,71 %</w:t>
      </w:r>
      <w:r>
        <w:t xml:space="preserve"> → LO = 25,71 / 15 = </w:t>
      </w:r>
      <w:r>
        <w:rPr>
          <w:b/>
          <w:bCs/>
        </w:rPr>
        <w:t xml:space="preserve">1,71</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Production interne : ΔR/R = (2 200 – 1 120) / 2 200 = </w:t>
      </w:r>
      <w:r>
        <w:rPr>
          <w:b/>
          <w:bCs/>
        </w:rPr>
        <w:t xml:space="preserve">49,1 %</w:t>
      </w:r>
      <w:r>
        <w:t xml:space="preserve"> → LO = 49,1 / 15 = </w:t>
      </w:r>
      <w:r>
        <w:rPr>
          <w:b/>
          <w:bCs/>
        </w:rPr>
        <w:t xml:space="preserve">3,27</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Vérification par M/CV ÷ R : 7 200 / 4 200 = 1,71 et 10 800 / 3 300 = 3,27</w:t>
      </w:r>
    </w:p>
    <w:p>
      <w:pPr>
        <w:spacing w:after="120"/>
      </w:pPr>
    </w:p>
    <w:p>
      <w:pPr>
        <w:spacing w:after="100"/>
      </w:pPr>
      <w:r>
        <w:rPr>
          <w:b/>
          <w:bCs/>
        </w:rPr>
        <w:t xml:space="preserve">1.3 Marge de sécurité, indice de sécurité, levier</w:t>
      </w:r>
    </w:p>
    <w:p>
      <w:pPr>
        <w:keepNext/>
        <w:spacing w:after="40" w:before="80"/>
        <w:jc w:val="center"/>
      </w:pPr>
      <w:r>
        <w:drawing>
          <wp:inline distT="0" distB="0" distL="0" distR="0">
            <wp:extent cx="46672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628650"/>
                    </a:xfrm>
                    <a:prstGeom prst="rect">
                      <a:avLst/>
                    </a:prstGeom>
                  </pic:spPr>
                </pic:pic>
              </a:graphicData>
            </a:graphic>
          </wp:inline>
        </w:drawing>
      </w:r>
    </w:p>
    <w:p>
      <w:pPr>
        <w:spacing w:after="160"/>
        <w:jc w:val="center"/>
      </w:pPr>
      <w:r>
        <w:rPr>
          <w:i/>
          <w:iCs/>
          <w:color w:val="595959"/>
          <w:sz w:val="18"/>
          <w:szCs w:val="18"/>
        </w:rPr>
        <w:t xml:space="preserve">Capture Excel – POLTA, MS / IS / levier</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Sous-traitance : MS = 18 000 – 7 500 = 10 500 ; IS = 10 500 / 18 000 = 0,5833 ; LO = 1 / 0,5833 = 1,71</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Production interne : MS = 18 000 – 12 500 = 5 500 ; IS = 5 500 / 18 000 = 0,3056 ; LO = 1 / 0,3056 = 3,27</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Dans la capture, lire « Marge de sécurité = </w:t>
      </w:r>
      <w:r>
        <w:rPr>
          <w:b/>
          <w:bCs/>
        </w:rPr>
        <w:t xml:space="preserve">CA – SR</w:t>
      </w:r>
      <w:r>
        <w:t xml:space="preserve"> » (et non CA/SR) et « Levier = </w:t>
      </w:r>
      <w:r>
        <w:rPr>
          <w:b/>
          <w:bCs/>
        </w:rPr>
        <w:t xml:space="preserve">1 / IS</w:t>
      </w:r>
      <w:r>
        <w:t xml:space="preserve"> » (et non I/IS). Les valeurs, elles, sont justes.</w:t>
      </w:r>
    </w:p>
    <w:p>
      <w:pPr>
        <w:spacing w:after="120"/>
      </w:pPr>
    </w:p>
    <w:p>
      <w:pPr>
        <w:spacing w:after="100"/>
      </w:pPr>
      <w:r>
        <w:rPr>
          <w:b/>
          <w:bCs/>
        </w:rPr>
        <w:t xml:space="preserve">1.4 Modalité conseillée</w:t>
      </w:r>
      <w:r>
        <w:t xml:space="preserve"> : la </w:t>
      </w:r>
      <w:r>
        <w:rPr>
          <w:b/>
          <w:bCs/>
        </w:rPr>
        <w:t xml:space="preserve">sous-traitance</w:t>
      </w:r>
      <w:r>
        <w:t xml:space="preserve"> minimise le risque d'exploitation. La production interne est plus risquée : SR plus élevé, marge de sécurité moindre, et levier plus élevé (le résultat réagit plus fortement à une variation du CA).</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 Complément – partie 2 (étude probabilisée), non traitée dans les notes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2.1 Le nombre d'ensembles vendus suit N(4 000 ; 250) et le prix est de 4,5 k€ → le CA suit une loi normale </w:t>
      </w:r>
      <w:r>
        <w:rPr>
          <w:b/>
          <w:bCs/>
        </w:rPr>
        <w:t xml:space="preserve">N(18 000 ; 1 125)</w:t>
      </w:r>
      <w:r>
        <w:t xml:space="preserve"> k€.</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2.2 Les deux modalités donnent le même résultat quand 0,40 CA – 3 000 = 0,60 CA – 7 500 ⇔ 0,20 CA = 4 500 ⇔ </w:t>
      </w:r>
      <w:r>
        <w:rPr>
          <w:b/>
          <w:bCs/>
        </w:rPr>
        <w:t xml:space="preserve">CA = 22 500 k€</w:t>
      </w:r>
      <w:r>
        <w:t xml:space="preserve">. Au-delà, la production interne est plus rentable.</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P(CA &gt; 22 500) = P(T &gt; (22 500 – 18 000) / 1 125) = P(T &gt; 4) ≈ </w:t>
      </w:r>
      <w:r>
        <w:rPr>
          <w:b/>
          <w:bCs/>
        </w:rPr>
        <w:t xml:space="preserve">0</w:t>
      </w:r>
      <w:r>
        <w:t xml:space="preserve"> → la production interne n'a quasiment aucune chance d'être la plus rentable.</w:t>
      </w:r>
    </w:p>
    <w:p>
      <w:pPr>
        <w:spacing w:after="120"/>
      </w:pPr>
    </w:p>
    <w:p>
      <w:pPr>
        <w:spacing w:after="120" w:before="60"/>
      </w:pPr>
      <w:r>
        <w:rPr>
          <w:b/>
          <w:bCs/>
          <w:color w:val="FFFFFF"/>
          <w:sz w:val="20"/>
          <w:szCs w:val="20"/>
          <w:shd w:fill="217346" w:color="auto" w:val="clear"/>
        </w:rPr>
        <w:t xml:space="preserve"> 📊 Voir Excel – POLTA </w:t>
      </w:r>
    </w:p>
    <w:p>
      <w:pPr>
        <w:pStyle w:val="Heading3"/>
        <w:keepNext/>
        <w:pBdr>
          <w:left w:val="single" w:color="C55A11" w:sz="24" w:space="6"/>
        </w:pBdr>
        <w:shd w:fill="FBE4D5" w:color="auto" w:val="clear"/>
        <w:spacing w:after="100" w:before="280"/>
      </w:pPr>
      <w:bookmarkStart w:name="cas32" w:id="32"/>
      <w:r>
        <w:rPr>
          <w:b/>
          <w:bCs/>
          <w:color w:val="C55A11"/>
          <w:sz w:val="25"/>
          <w:szCs w:val="25"/>
        </w:rPr>
        <w:t xml:space="preserve">📌 Cas ALIX – marge sur coût variable et seuil</w:t>
      </w:r>
      <w:bookmarkEnd w:id="32"/>
    </w:p>
    <w:p>
      <w:pPr>
        <w:spacing w:after="120" w:before="60"/>
      </w:pPr>
      <w:r>
        <w:rPr>
          <w:b/>
          <w:bCs/>
          <w:color w:val="FFFFFF"/>
          <w:sz w:val="20"/>
          <w:szCs w:val="20"/>
          <w:shd w:fill="7030A0" w:color="auto" w:val="clear"/>
        </w:rPr>
        <w:t xml:space="preserve"> 📄 Voir énoncé – ALIX (+ annexe : compte de résultat fonctionnel) </w:t>
      </w:r>
    </w:p>
    <w:p>
      <w:pPr>
        <w:spacing w:after="100"/>
      </w:pPr>
      <w:r>
        <w:rPr>
          <w:b/>
          <w:bCs/>
        </w:rPr>
        <w:t xml:space="preserve">1.1 Compte de résultat différentiel</w:t>
      </w:r>
      <w:r>
        <w:t xml:space="preserve"> (en k€)</w:t>
      </w:r>
    </w:p>
    <w:p>
      <w:pPr>
        <w:keepNext/>
        <w:spacing w:after="40" w:before="80"/>
        <w:jc w:val="center"/>
      </w:pPr>
      <w:r>
        <w:drawing>
          <wp:inline distT="0" distB="0" distL="0" distR="0">
            <wp:extent cx="2857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238250"/>
                    </a:xfrm>
                    <a:prstGeom prst="rect">
                      <a:avLst/>
                    </a:prstGeom>
                  </pic:spPr>
                </pic:pic>
              </a:graphicData>
            </a:graphic>
          </wp:inline>
        </w:drawing>
      </w:r>
    </w:p>
    <w:p>
      <w:pPr>
        <w:spacing w:after="160"/>
        <w:jc w:val="center"/>
      </w:pPr>
      <w:r>
        <w:rPr>
          <w:i/>
          <w:iCs/>
          <w:color w:val="595959"/>
          <w:sz w:val="18"/>
          <w:szCs w:val="18"/>
        </w:rPr>
        <w:t xml:space="preserve">Capture Excel – ALIX, compte de résultat différentiel</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CV N = 3 977 (MP) + 6 927 (sous-traitance) + 133 (transport) = </w:t>
      </w:r>
      <w:r>
        <w:rPr>
          <w:b/>
          <w:bCs/>
        </w:rPr>
        <w:t xml:space="preserve">11 037</w:t>
      </w:r>
      <w:r>
        <w:t xml:space="preserve"> ; CV N+1 = 4 651 + 8 972 + 203 = </w:t>
      </w:r>
      <w:r>
        <w:rPr>
          <w:b/>
          <w:bCs/>
        </w:rPr>
        <w:t xml:space="preserve">13 826</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CF N = 1 219 + 736 + 367 + 198 + 238 + 134 + 723 + 700 + 102 + 635 = </w:t>
      </w:r>
      <w:r>
        <w:rPr>
          <w:b/>
          <w:bCs/>
        </w:rPr>
        <w:t xml:space="preserve">5 052</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CF N+1 = 1 210 + 820 + 393 + 188 + 270 + 146 + 518 + 642 + 53 + 130 = </w:t>
      </w:r>
      <w:r>
        <w:rPr>
          <w:b/>
          <w:bCs/>
        </w:rPr>
        <w:t xml:space="preserve">4 370</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Taux de M/CV : N = 5 635 / 16 672 = </w:t>
      </w:r>
      <w:r>
        <w:rPr>
          <w:b/>
          <w:bCs/>
        </w:rPr>
        <w:t xml:space="preserve">33,8 %</w:t>
      </w:r>
      <w:r>
        <w:t xml:space="preserve"> ; N+1 = 4 634 / 18 460 = </w:t>
      </w:r>
      <w:r>
        <w:rPr>
          <w:b/>
          <w:bCs/>
        </w:rPr>
        <w:t xml:space="preserve">25,1 %</w:t>
      </w:r>
    </w:p>
    <w:p>
      <w:pPr>
        <w:spacing w:after="120"/>
      </w:pPr>
    </w:p>
    <w:p>
      <w:pPr>
        <w:spacing w:after="100"/>
      </w:pPr>
      <w:r>
        <w:rPr>
          <w:b/>
          <w:bCs/>
        </w:rPr>
        <w:t xml:space="preserve">1.2 Seuil de rentabilité</w:t>
      </w:r>
    </w:p>
    <w:p>
      <w:pPr>
        <w:keepNext w:val="false"/>
        <w:spacing w:after="160" w:before="80"/>
        <w:jc w:val="center"/>
      </w:pPr>
      <w:r>
        <w:drawing>
          <wp:inline distT="0" distB="0" distL="0" distR="0">
            <wp:extent cx="2857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81000"/>
                    </a:xfrm>
                    <a:prstGeom prst="rect">
                      <a:avLst/>
                    </a:prstGeom>
                  </pic:spPr>
                </pic:pic>
              </a:graphicData>
            </a:graphic>
          </wp:inline>
        </w:drawing>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N : 5 052 / 0,338 = </w:t>
      </w:r>
      <w:r>
        <w:rPr>
          <w:b/>
          <w:bCs/>
        </w:rPr>
        <w:t xml:space="preserve">14 947 k€</w:t>
      </w:r>
      <w:r>
        <w:t xml:space="preserve"> ; N+1 : 4 370 / 0,251 = </w:t>
      </w:r>
      <w:r>
        <w:rPr>
          <w:b/>
          <w:bCs/>
        </w:rPr>
        <w:t xml:space="preserve">17 408 k€</w:t>
      </w:r>
      <w:r>
        <w:t xml:space="preserve"> (≈ 17 410 en arrondissant le taux)</w:t>
      </w:r>
    </w:p>
    <w:p>
      <w:pPr>
        <w:spacing w:after="120"/>
      </w:pPr>
    </w:p>
    <w:p>
      <w:pPr>
        <w:spacing w:after="100"/>
      </w:pPr>
      <w:r>
        <w:rPr>
          <w:b/>
          <w:bCs/>
        </w:rPr>
        <w:t xml:space="preserve">1.3 Indice de sécurité</w:t>
      </w:r>
    </w:p>
    <w:p>
      <w:pPr>
        <w:keepNext w:val="false"/>
        <w:spacing w:after="160" w:before="80"/>
        <w:jc w:val="center"/>
      </w:pPr>
      <w:r>
        <w:drawing>
          <wp:inline distT="0" distB="0" distL="0" distR="0">
            <wp:extent cx="4953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3850"/>
                    </a:xfrm>
                    <a:prstGeom prst="rect">
                      <a:avLst/>
                    </a:prstGeom>
                  </pic:spPr>
                </pic:pic>
              </a:graphicData>
            </a:graphic>
          </wp:inline>
        </w:drawing>
      </w:r>
    </w:p>
    <w:p>
      <w:pPr>
        <w:spacing w:after="100"/>
      </w:pPr>
      <w:r>
        <w:rPr>
          <w:b/>
          <w:bCs/>
        </w:rPr>
        <w:t xml:space="preserve">1.4 Levier d'exploitation</w:t>
      </w:r>
    </w:p>
    <w:p>
      <w:pPr>
        <w:keepNext w:val="false"/>
        <w:spacing w:after="160" w:before="80"/>
        <w:jc w:val="center"/>
      </w:pPr>
      <w:r>
        <w:drawing>
          <wp:inline distT="0" distB="0" distL="0" distR="0">
            <wp:extent cx="4953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33375"/>
                    </a:xfrm>
                    <a:prstGeom prst="rect">
                      <a:avLst/>
                    </a:prstGeom>
                  </pic:spPr>
                </pic:pic>
              </a:graphicData>
            </a:graphic>
          </wp:inline>
        </w:drawing>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LO = 1 / IS : N = 1 / 0,1035 = </w:t>
      </w:r>
      <w:r>
        <w:rPr>
          <w:b/>
          <w:bCs/>
        </w:rPr>
        <w:t xml:space="preserve">9,66</w:t>
      </w:r>
      <w:r>
        <w:t xml:space="preserve"> ; N+1 = 1 / 0,0569 = </w:t>
      </w:r>
      <w:r>
        <w:rPr>
          <w:b/>
          <w:bCs/>
        </w:rPr>
        <w:t xml:space="preserve">17,58</w:t>
      </w:r>
      <w:r>
        <w:t xml:space="preserve"> (vérification M/CV ÷ R : 5 635 / 583 = 9,67 ; 4 634 / 264 = 17,55)</w:t>
      </w:r>
    </w:p>
    <w:p>
      <w:pPr>
        <w:spacing w:after="120"/>
      </w:pPr>
    </w:p>
    <w:p>
      <w:pPr>
        <w:spacing w:after="100"/>
      </w:pPr>
      <w:r>
        <w:rPr>
          <w:b/>
          <w:bCs/>
        </w:rPr>
        <w:t xml:space="preserve">Commentaire</w:t>
      </w:r>
      <w:r>
        <w:t xml:space="preserve"> : tous les indicateurs vont dans le mauvais sens : résultat divisé par plus de deux (583 → 264), SR en hausse d'environ 2,5 millions d'euros, levier très élevé (17,6 : quand je perds 1 % de CA, je perds 17,6 % de résultat) et indice de sécurité divisé par deux. </w:t>
      </w:r>
      <w:r>
        <w:rPr>
          <w:b/>
          <w:bCs/>
        </w:rPr>
        <w:t xml:space="preserve">Toute baisse, même minime, du CA influence beaucoup le résultat.</w:t>
      </w:r>
    </w:p>
    <w:p>
      <w:pPr>
        <w:spacing w:after="100"/>
      </w:pPr>
      <w:r>
        <w:t xml:space="preserve">La cause n'est </w:t>
      </w:r>
      <w:r>
        <w:rPr>
          <w:b/>
          <w:bCs/>
        </w:rPr>
        <w:t xml:space="preserve">pas</w:t>
      </w:r>
      <w:r>
        <w:t xml:space="preserve"> une hausse des CF (elles baissent de 5 052 à 4 370) mais la </w:t>
      </w:r>
      <w:r>
        <w:rPr>
          <w:b/>
          <w:bCs/>
        </w:rPr>
        <w:t xml:space="preserve">détérioration du taux de M/CV</w:t>
      </w:r>
      <w:r>
        <w:t xml:space="preserve"> : les charges variables augmentent plus vite que le CA, car l'entreprise a fortement </w:t>
      </w:r>
      <w:r>
        <w:rPr>
          <w:b/>
          <w:bCs/>
        </w:rPr>
        <w:t xml:space="preserve">sous-traité</w:t>
      </w:r>
      <w:r>
        <w:t xml:space="preserve">.</w:t>
      </w:r>
    </w:p>
    <w:p>
      <w:pPr>
        <w:spacing w:after="120" w:before="60"/>
      </w:pPr>
      <w:r>
        <w:rPr>
          <w:b/>
          <w:bCs/>
          <w:color w:val="FFFFFF"/>
          <w:sz w:val="20"/>
          <w:szCs w:val="20"/>
          <w:shd w:fill="217346" w:color="auto" w:val="clear"/>
        </w:rPr>
        <w:t xml:space="preserve"> 📊 Voir Excel – ALIX </w:t>
      </w:r>
    </w:p>
    <w:p>
      <w:pPr>
        <w:pStyle w:val="Heading3"/>
        <w:keepNext/>
        <w:pBdr>
          <w:left w:val="single" w:color="C55A11" w:sz="24" w:space="6"/>
        </w:pBdr>
        <w:shd w:fill="FBE4D5" w:color="auto" w:val="clear"/>
        <w:spacing w:after="100" w:before="280"/>
      </w:pPr>
      <w:bookmarkStart w:name="cas33" w:id="33"/>
      <w:r>
        <w:rPr>
          <w:b/>
          <w:bCs/>
          <w:color w:val="C55A11"/>
          <w:sz w:val="25"/>
          <w:szCs w:val="25"/>
        </w:rPr>
        <w:t xml:space="preserve">📌 Cas BERNARD – trois hypothèses</w:t>
      </w:r>
      <w:bookmarkEnd w:id="33"/>
    </w:p>
    <w:p>
      <w:pPr>
        <w:spacing w:after="120" w:before="60"/>
      </w:pPr>
      <w:r>
        <w:rPr>
          <w:b/>
          <w:bCs/>
          <w:color w:val="FFFFFF"/>
          <w:sz w:val="20"/>
          <w:szCs w:val="20"/>
          <w:shd w:fill="7030A0" w:color="auto" w:val="clear"/>
        </w:rPr>
        <w:t xml:space="preserve"> 📄 Voir énoncé – BERNARD </w:t>
      </w:r>
    </w:p>
    <w:p>
      <w:pPr>
        <w:spacing w:after="100"/>
      </w:pPr>
      <w:r>
        <w:t xml:space="preserve">Au 31 mars, CA du 1er trimestre = 600 000 €, CV = 462 000 €, CF = 140 000 € par trimestre.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2409"/>
        <w:gridCol w:w="3011"/>
        <w:gridCol w:w="3014"/>
      </w:tblGrid>
      <w:tr>
        <w:trPr>
          <w:cantSplit/>
          <w:tblHeader/>
        </w:trPr>
        <w:tc>
          <w:tcPr>
            <w:tcW w:type="dxa" w:w="1204"/>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p>
        </w:tc>
        <w:tc>
          <w:tcPr>
            <w:tcW w:type="dxa" w:w="2409"/>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Hypothèse 1 (statu quo)</w:t>
            </w:r>
          </w:p>
        </w:tc>
        <w:tc>
          <w:tcPr>
            <w:tcW w:type="dxa" w:w="3011"/>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Hypothèse 2 (prix +5 %, Q –10 %)</w:t>
            </w:r>
          </w:p>
        </w:tc>
        <w:tc>
          <w:tcPr>
            <w:tcW w:type="dxa" w:w="3014"/>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Hypothèse 3 (prix –5 %, Q +50 %, pub)</w:t>
            </w:r>
          </w:p>
        </w:tc>
      </w:tr>
      <w:tr>
        <w:trPr>
          <w:cantSplit/>
          <w:tblHeader w:val="false"/>
        </w:trPr>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w:t>
            </w:r>
          </w:p>
        </w:tc>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 × 600 000 = 2 400 000</w:t>
            </w:r>
          </w:p>
        </w:tc>
        <w:tc>
          <w:tcPr>
            <w:tcW w:type="dxa" w:w="3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600 000 + 600 000 × 3 × 1,05 × 0,9 = 2 301 000</w:t>
            </w:r>
          </w:p>
        </w:tc>
        <w:tc>
          <w:tcPr>
            <w:tcW w:type="dxa" w:w="30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600 000 + 600 000 × 3 × 0,95 × 1,5 = 3 165 000</w:t>
            </w:r>
          </w:p>
        </w:tc>
      </w:tr>
      <w:tr>
        <w:trPr>
          <w:cantSplit/>
          <w:tblHeader w:val="false"/>
        </w:trPr>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CV</w:t>
            </w:r>
          </w:p>
        </w:tc>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 × 462 000 = 1 848 000</w:t>
            </w:r>
          </w:p>
        </w:tc>
        <w:tc>
          <w:tcPr>
            <w:tcW w:type="dxa" w:w="301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462 000 + 462 000 × 3 × 0,9 = 1 709 400</w:t>
            </w:r>
          </w:p>
        </w:tc>
        <w:tc>
          <w:tcPr>
            <w:tcW w:type="dxa" w:w="30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462 000 + 462 000 × 3 × 1,5 = 2 541 000</w:t>
            </w:r>
          </w:p>
        </w:tc>
      </w:tr>
      <w:tr>
        <w:trPr>
          <w:cantSplit/>
          <w:tblHeader w:val="false"/>
        </w:trPr>
        <w:tc>
          <w:tcPr>
            <w:tcW w:type="dxa" w:w="120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M/CV</w:t>
            </w:r>
          </w:p>
        </w:tc>
        <w:tc>
          <w:tcPr>
            <w:tcW w:type="dxa" w:w="240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552 000</w:t>
            </w:r>
          </w:p>
        </w:tc>
        <w:tc>
          <w:tcPr>
            <w:tcW w:type="dxa" w:w="3011"/>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591 600</w:t>
            </w:r>
          </w:p>
        </w:tc>
        <w:tc>
          <w:tcPr>
            <w:tcW w:type="dxa" w:w="301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624 000</w:t>
            </w:r>
          </w:p>
        </w:tc>
      </w:tr>
      <w:tr>
        <w:trPr>
          <w:cantSplit/>
          <w:tblHeader w:val="false"/>
        </w:trPr>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CF</w:t>
            </w:r>
          </w:p>
        </w:tc>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 × 140 000 = 560 000</w:t>
            </w:r>
          </w:p>
        </w:tc>
        <w:tc>
          <w:tcPr>
            <w:tcW w:type="dxa" w:w="301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560 000</w:t>
            </w:r>
          </w:p>
        </w:tc>
        <w:tc>
          <w:tcPr>
            <w:tcW w:type="dxa" w:w="30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560 000 + 25 000 = 585 000</w:t>
            </w:r>
          </w:p>
        </w:tc>
      </w:tr>
      <w:tr>
        <w:trPr>
          <w:cantSplit/>
          <w:tblHeader w:val="false"/>
        </w:trPr>
        <w:tc>
          <w:tcPr>
            <w:tcW w:type="dxa" w:w="120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Résultat</w:t>
            </w:r>
          </w:p>
        </w:tc>
        <w:tc>
          <w:tcPr>
            <w:tcW w:type="dxa" w:w="240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(8 000)</w:t>
            </w:r>
          </w:p>
        </w:tc>
        <w:tc>
          <w:tcPr>
            <w:tcW w:type="dxa" w:w="3011"/>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31 600</w:t>
            </w:r>
          </w:p>
        </w:tc>
        <w:tc>
          <w:tcPr>
            <w:tcW w:type="dxa" w:w="3014"/>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center"/>
            </w:pPr>
            <w:r>
              <w:rPr>
                <w:b/>
                <w:bCs/>
                <w:sz w:val="20"/>
                <w:szCs w:val="20"/>
              </w:rPr>
              <w:t xml:space="preserve">39 000</w:t>
            </w:r>
          </w:p>
        </w:tc>
      </w:tr>
    </w:tbl>
    <w:p>
      <w:pPr>
        <w:spacing w:after="120"/>
      </w:pPr>
    </w:p>
    <w:p>
      <w:pPr>
        <w:spacing w:after="100"/>
      </w:pPr>
      <w:r>
        <w:rPr>
          <w:b/>
          <w:bCs/>
        </w:rPr>
        <w:t xml:space="preserve">Calcul des seuils de rentabilité</w:t>
      </w:r>
      <w:r>
        <w:t xml:space="preserve"> – attention : le 1er trimestre est déjà réalisé (M/CV = 600 000 – 462 000 = 138 000) et le taux de M/CV change ensuite.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H1</w:t>
      </w:r>
      <w:r>
        <w:t xml:space="preserve"> : taux de M/CV = 552 000 / 2 400 000 = 23 % → SR = 560 000 / 0,23 = </w:t>
      </w:r>
      <w:r>
        <w:rPr>
          <w:b/>
          <w:bCs/>
        </w:rPr>
        <w:t xml:space="preserve">2 434,8 k€</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H2</w:t>
      </w:r>
      <w:r>
        <w:t xml:space="preserve"> : CF restant après le 1er trimestre = 560 000 – 138 000 = 422 000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des 3 trimestres suivants = 591 600 – 138 000 = 453 600 pour un CA de 1 701 000 → taux = 26,67 %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nécessaire = 422 000 / 0,2667 = 1 582,5 k€ → SR = 600 + 1 582,5 = </w:t>
      </w:r>
      <w:r>
        <w:rPr>
          <w:b/>
          <w:bCs/>
        </w:rPr>
        <w:t xml:space="preserve">2 182,5 k€</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H3</w:t>
      </w:r>
      <w:r>
        <w:t xml:space="preserve"> : CF restant = 585 000 – 138 000 = 447 000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des 3 trimestres suivants = 624 000 – 138 000 = 486 000 pour un CA de 2 565 000 → taux = 18,95 %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nécessaire = 447 000 / 0,1895 = 2 359,2 k€ → SR = 600 + 2 359,2 = </w:t>
      </w:r>
      <w:r>
        <w:rPr>
          <w:b/>
          <w:bCs/>
        </w:rPr>
        <w:t xml:space="preserve">2 959,2 k€</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Dans les notes : « 230 100 » → </w:t>
      </w:r>
      <w:r>
        <w:rPr>
          <w:b/>
          <w:bCs/>
        </w:rPr>
        <w:t xml:space="preserve">2 301 000</w:t>
      </w:r>
      <w:r>
        <w:t xml:space="preserve"> ; « 48 600 / 256 500 » → </w:t>
      </w:r>
      <w:r>
        <w:rPr>
          <w:b/>
          <w:bCs/>
        </w:rPr>
        <w:t xml:space="preserve">486 000 / 2 565 000</w:t>
      </w:r>
      <w:r>
        <w:t xml:space="preserve">.</w:t>
      </w:r>
    </w:p>
    <w:p>
      <w:pPr>
        <w:spacing w:after="120"/>
      </w:pPr>
    </w:p>
    <w:p>
      <w:pPr>
        <w:spacing w:after="100"/>
      </w:pPr>
      <w:r>
        <w:rPr>
          <w:b/>
          <w:bCs/>
        </w:rPr>
        <w:t xml:space="preserve">Conclusion</w:t>
      </w:r>
      <w:r>
        <w:t xml:space="preserve"> : le choix se fait entre H2 et H3. H3 est a priori plus rentable (39 000 €), mais son SR est nettement plus élevé (2 959 k€ pour un CA prévu de 3 165 k€ : faible marge de sécurité). H2 est plus sûre.</w:t>
      </w:r>
    </w:p>
    <w:p>
      <w:pPr>
        <w:spacing w:after="120" w:before="60"/>
      </w:pPr>
      <w:r>
        <w:rPr>
          <w:b/>
          <w:bCs/>
          <w:color w:val="FFFFFF"/>
          <w:sz w:val="20"/>
          <w:szCs w:val="20"/>
          <w:shd w:fill="217346" w:color="auto" w:val="clear"/>
        </w:rPr>
        <w:t xml:space="preserve"> 📊 Voir Excel – BERNARD </w:t>
      </w:r>
    </w:p>
    <w:p>
      <w:pPr>
        <w:pStyle w:val="Heading3"/>
        <w:keepNext/>
        <w:pBdr>
          <w:left w:val="single" w:color="C55A11" w:sz="24" w:space="6"/>
        </w:pBdr>
        <w:shd w:fill="FBE4D5" w:color="auto" w:val="clear"/>
        <w:spacing w:after="100" w:before="280"/>
      </w:pPr>
      <w:bookmarkStart w:name="cas34" w:id="34"/>
      <w:r>
        <w:rPr>
          <w:b/>
          <w:bCs/>
          <w:color w:val="C55A11"/>
          <w:sz w:val="25"/>
          <w:szCs w:val="25"/>
        </w:rPr>
        <w:t xml:space="preserve">📌 Cas Société X – seuil, saisonnalité et propositions</w:t>
      </w:r>
      <w:bookmarkEnd w:id="34"/>
    </w:p>
    <w:p>
      <w:pPr>
        <w:spacing w:after="120" w:before="60"/>
      </w:pPr>
      <w:r>
        <w:rPr>
          <w:b/>
          <w:bCs/>
          <w:color w:val="FFFFFF"/>
          <w:sz w:val="20"/>
          <w:szCs w:val="20"/>
          <w:shd w:fill="7030A0" w:color="auto" w:val="clear"/>
        </w:rPr>
        <w:t xml:space="preserve"> 📄 Voir énoncé – Société X </w:t>
      </w:r>
    </w:p>
    <w:p>
      <w:pPr>
        <w:spacing w:after="100"/>
      </w:pPr>
      <w:r>
        <w:rPr>
          <w:b/>
          <w:bCs/>
        </w:rPr>
        <w:t xml:space="preserve">1. Seuil de rentabilité</w:t>
      </w:r>
      <w:r>
        <w:t xml:space="preserve"> (en k€) – 240 000 unités à 20 €, CV 15 €/u</w:t>
      </w:r>
    </w:p>
    <w:p>
      <w:pPr>
        <w:keepNext/>
        <w:spacing w:after="40" w:before="80"/>
        <w:jc w:val="center"/>
      </w:pPr>
      <w:r>
        <w:drawing>
          <wp:inline distT="0" distB="0" distL="0" distR="0">
            <wp:extent cx="1905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1000125"/>
                    </a:xfrm>
                    <a:prstGeom prst="rect">
                      <a:avLst/>
                    </a:prstGeom>
                  </pic:spPr>
                </pic:pic>
              </a:graphicData>
            </a:graphic>
          </wp:inline>
        </w:drawing>
      </w:r>
    </w:p>
    <w:p>
      <w:pPr>
        <w:spacing w:after="160"/>
        <w:jc w:val="center"/>
      </w:pPr>
      <w:r>
        <w:rPr>
          <w:i/>
          <w:iCs/>
          <w:color w:val="595959"/>
          <w:sz w:val="18"/>
          <w:szCs w:val="18"/>
        </w:rPr>
        <w:t xml:space="preserve">Capture Excel – Société X</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SR = 1 000 / 0,25 = </w:t>
      </w:r>
      <w:r>
        <w:rPr>
          <w:b/>
          <w:bCs/>
        </w:rPr>
        <w:t xml:space="preserve">4 000 k€</w:t>
      </w:r>
      <w:r>
        <w:t xml:space="preserve">, soit 4 000 000 / 20 = </w:t>
      </w:r>
      <w:r>
        <w:rPr>
          <w:b/>
          <w:bCs/>
        </w:rPr>
        <w:t xml:space="preserve">200 000 unités</w:t>
      </w:r>
    </w:p>
    <w:p>
      <w:pPr>
        <w:spacing w:after="120"/>
      </w:pPr>
    </w:p>
    <w:p>
      <w:pPr>
        <w:spacing w:after="100"/>
      </w:pPr>
      <w:r>
        <w:rPr>
          <w:b/>
          <w:bCs/>
        </w:rPr>
        <w:t xml:space="preserve">Date du point mort</w:t>
      </w:r>
      <w:r>
        <w:t xml:space="preserve"> – les ventes ne sont pas régulières : on raisonne avec le </w:t>
      </w:r>
      <w:r>
        <w:rPr>
          <w:b/>
          <w:bCs/>
        </w:rPr>
        <w:t xml:space="preserve">CA cumulé</w:t>
      </w:r>
      <w:r>
        <w:t xml:space="preserve"> (entreprise fermée en août).</w:t>
      </w:r>
    </w:p>
    <w:p>
      <w:pPr>
        <w:keepNext/>
        <w:spacing w:after="40" w:before="80"/>
        <w:jc w:val="center"/>
      </w:pPr>
      <w:r>
        <w:drawing>
          <wp:inline distT="0" distB="0" distL="0" distR="0">
            <wp:extent cx="3810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952500"/>
                    </a:xfrm>
                    <a:prstGeom prst="rect">
                      <a:avLst/>
                    </a:prstGeom>
                  </pic:spPr>
                </pic:pic>
              </a:graphicData>
            </a:graphic>
          </wp:inline>
        </w:drawing>
      </w:r>
    </w:p>
    <w:p>
      <w:pPr>
        <w:spacing w:after="160"/>
        <w:jc w:val="center"/>
      </w:pPr>
      <w:r>
        <w:rPr>
          <w:i/>
          <w:iCs/>
          <w:color w:val="595959"/>
          <w:sz w:val="18"/>
          <w:szCs w:val="18"/>
        </w:rPr>
        <w:t xml:space="preserve">Capture Excel – CA cumulé par période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Le cumul dépasse 4 000 pendant la période </w:t>
      </w:r>
      <w:r>
        <w:rPr>
          <w:b/>
          <w:bCs/>
        </w:rPr>
        <w:t xml:space="preserve">novembre–décembre</w:t>
      </w:r>
      <w:r>
        <w:t xml:space="preserve"> (3 360 → 4 800).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Date = (4 000 – 3 360) / (4 800 – 3 360) × 2 mois = 640 / 1 440 × 2 = 0,89 mois ≈ 26,7 jours → </w:t>
      </w:r>
      <w:r>
        <w:rPr>
          <w:b/>
          <w:bCs/>
        </w:rPr>
        <w:t xml:space="preserve">27 novembre</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Ou : ventes quotidiennes = 1 440 / 60 = 24 k€ par jour → 640 / 24 = </w:t>
      </w:r>
      <w:r>
        <w:rPr>
          <w:b/>
          <w:bCs/>
        </w:rPr>
        <w:t xml:space="preserve">26,7 jours</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de Vianney indiquaient « Mars/Avril : 4 800 × 0,75 = 720 » : il faut lire </w:t>
      </w:r>
      <w:r>
        <w:rPr>
          <w:b/>
          <w:bCs/>
        </w:rPr>
        <w:t xml:space="preserve">mars–mai : 4 800 × 0,15 = 720</w:t>
      </w:r>
      <w:r>
        <w:t xml:space="preserv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 calcul journalier donne </w:t>
      </w:r>
      <w:r>
        <w:rPr>
          <w:b/>
          <w:bCs/>
        </w:rPr>
        <w:t xml:space="preserve">26,7 jours</w:t>
      </w:r>
      <w:r>
        <w:t xml:space="preserve"> (et non 16,5 ni 26,5).</w:t>
      </w:r>
    </w:p>
    <w:p>
      <w:pPr>
        <w:spacing w:after="120"/>
      </w:pPr>
    </w:p>
    <w:p>
      <w:pPr>
        <w:spacing w:after="100"/>
      </w:pPr>
      <w:r>
        <w:rPr>
          <w:b/>
          <w:bCs/>
        </w:rPr>
        <w:t xml:space="preserve">2. Levier opérationnel</w:t>
      </w:r>
      <w:r>
        <w:t xml:space="preserve"> : LO = M/CV ÷ R = 1 200 / 200 = </w:t>
      </w:r>
      <w:r>
        <w:rPr>
          <w:b/>
          <w:bCs/>
        </w:rPr>
        <w:t xml:space="preserve">6</w:t>
      </w:r>
      <w:r>
        <w:t xml:space="preserve">. Une hausse du CA de 10 % entraîne une hausse du résultat de </w:t>
      </w:r>
      <w:r>
        <w:rPr>
          <w:b/>
          <w:bCs/>
        </w:rPr>
        <w:t xml:space="preserve">60 %</w:t>
      </w:r>
      <w:r>
        <w:t xml:space="preserve">. Valable si le prix unitaire et le taux de M/CV restent inchangés (la hausse vient uniquement des volumes).</w:t>
      </w:r>
    </w:p>
    <w:p>
      <w:pPr>
        <w:spacing w:after="100"/>
      </w:pPr>
      <w:r>
        <w:rPr>
          <w:b/>
          <w:bCs/>
        </w:rPr>
        <w:t xml:space="preserve">3. Campagne publicitaire de 44 660 € (directeur marketing)</w:t>
      </w:r>
      <w:r>
        <w:t xml:space="preserve"> : elle est rentable si la M/CV supplémentaire dépasse 44 660 €.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unitaire = 20 – 15 = 5 € ; il faut 5Q – 1 044 660 &gt; 200 000 ⇔ Q &gt; 248 932 unités</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Soit </w:t>
      </w:r>
      <w:r>
        <w:rPr>
          <w:b/>
          <w:bCs/>
        </w:rPr>
        <w:t xml:space="preserve">8 932 unités supplémentaires</w:t>
      </w:r>
      <w:r>
        <w:t xml:space="preserve"> : hausse de 8 932 / 240 000 = </w:t>
      </w:r>
      <w:r>
        <w:rPr>
          <w:b/>
          <w:bCs/>
        </w:rPr>
        <w:t xml:space="preserve">3,72 %</w:t>
      </w:r>
    </w:p>
    <w:p>
      <w:pPr>
        <w:spacing w:after="120"/>
      </w:pPr>
    </w:p>
    <w:p>
      <w:pPr>
        <w:spacing w:after="100"/>
      </w:pPr>
      <w:r>
        <w:rPr>
          <w:b/>
          <w:bCs/>
        </w:rPr>
        <w:t xml:space="preserve">4. Mécanisation (directeur technique)</w:t>
      </w:r>
      <w:r>
        <w:t xml:space="preserve"> : CF +120 000 €, CV –1 €.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unitaire = 20 – 14 = 6 € ; il faut 6Q – 1 120 000 &gt; 200 000 ⇔ </w:t>
      </w:r>
      <w:r>
        <w:rPr>
          <w:b/>
          <w:bCs/>
        </w:rPr>
        <w:t xml:space="preserve">Q &gt; 220 000 unités</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Avec les ventes actuelles (240 000) : R = 6 × 240 000 – 1 120 000 = </w:t>
      </w:r>
      <w:r>
        <w:rPr>
          <w:b/>
          <w:bCs/>
        </w:rPr>
        <w:t xml:space="preserve">320 000 € &gt; 200 000 €</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concluaient « 20 000 unités supplémentaires, soit une hausse de 8,33 % ». C'est l'inverse : 220 000 &lt; 240 000. La mécanisation est </w:t>
      </w:r>
      <w:r>
        <w:rPr>
          <w:b/>
          <w:bCs/>
        </w:rPr>
        <w:t xml:space="preserve">favorable tant que les ventes ne baissent pas de plus de 8,33 %</w:t>
      </w:r>
      <w:r>
        <w:t xml:space="preserve"> (20 000 / 240 000).</w:t>
      </w:r>
    </w:p>
    <w:p>
      <w:pPr>
        <w:spacing w:after="120"/>
      </w:pPr>
    </w:p>
    <w:p>
      <w:pPr>
        <w:spacing w:after="100"/>
      </w:pPr>
      <w:r>
        <w:rPr>
          <w:b/>
          <w:bCs/>
        </w:rPr>
        <w:t xml:space="preserve">5. Baisse de prix de 10 % (représentant)</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Nouveau PV = 20 × 0,9 = 18 € → M/CV unitaire = 18 – 15 = 3 €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3Q – 1 000 000 &gt; 200 000 ⇔ Q &gt; </w:t>
      </w:r>
      <w:r>
        <w:rPr>
          <w:b/>
          <w:bCs/>
        </w:rPr>
        <w:t xml:space="preserve">400 000</w:t>
      </w:r>
      <w:r>
        <w:t xml:space="preserve"> → ΔQ/Q = (400 000 – 240 000) / 240 000 = </w:t>
      </w:r>
      <w:r>
        <w:rPr>
          <w:b/>
          <w:bCs/>
        </w:rPr>
        <w:t xml:space="preserve">+66,7 %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ΔP/P = –10 % → élasticité = 66,7 % / (–10 %) = </w:t>
      </w:r>
      <w:r>
        <w:rPr>
          <w:b/>
          <w:bCs/>
        </w:rPr>
        <w:t xml:space="preserve">–6,7</w:t>
      </w:r>
      <w:r>
        <w:t xml:space="preserve">. L'élasticité demande/prix doit être </w:t>
      </w:r>
      <w:r>
        <w:rPr>
          <w:b/>
          <w:bCs/>
        </w:rPr>
        <w:t xml:space="preserve">inférieure à –6,7</w:t>
      </w:r>
      <w:r>
        <w:t xml:space="preserve">.</w:t>
      </w:r>
    </w:p>
    <w:p>
      <w:pPr>
        <w:spacing w:after="120"/>
      </w:pPr>
    </w:p>
    <w:p>
      <w:pPr>
        <w:spacing w:after="100"/>
      </w:pPr>
      <w:r>
        <w:rPr>
          <w:b/>
          <w:bCs/>
        </w:rPr>
        <w:t xml:space="preserve">6. Mécanisation + baisse de prix de 5 %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Nouveau PV = 20 × 0,95 = 19 € ; CV = 14 € ; M/CV unitaire = 5 €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5Q – 1 120 000 &gt; 200 000 ⇔ Q &gt; </w:t>
      </w:r>
      <w:r>
        <w:rPr>
          <w:b/>
          <w:bCs/>
        </w:rPr>
        <w:t xml:space="preserve">264 000</w:t>
      </w:r>
      <w:r>
        <w:t xml:space="preserve"> → hausse de 24 000 unités (</w:t>
      </w:r>
      <w:r>
        <w:rPr>
          <w:b/>
          <w:bCs/>
        </w:rPr>
        <w:t xml:space="preserve">+10 %</w:t>
      </w:r>
      <w:r>
        <w:t xml:space="preserve">)</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Élasticité nécessaire : 10 % / (–5 %) = </w:t>
      </w:r>
      <w:r>
        <w:rPr>
          <w:b/>
          <w:bCs/>
        </w:rPr>
        <w:t xml:space="preserve">–2</w:t>
      </w:r>
    </w:p>
    <w:p>
      <w:pPr>
        <w:spacing w:after="120"/>
      </w:pPr>
    </w:p>
    <w:p>
      <w:pPr>
        <w:spacing w:after="100"/>
      </w:pPr>
      <w:r>
        <w:rPr>
          <w:b/>
          <w:bCs/>
        </w:rPr>
        <w:t xml:space="preserve">7. Programme de production annuel</w:t>
      </w:r>
      <w:r>
        <w:t xml:space="preserve"> (pub au 1er avril, mécanisation au 1er juin, baisse de prix au 1er septembre, SR visé le 30 septembre, ventes régulières, fermeture en août). Soit Q la quantité </w:t>
      </w:r>
      <w:r>
        <w:rPr>
          <w:b/>
          <w:bCs/>
        </w:rPr>
        <w:t xml:space="preserve">mensuelle</w:t>
      </w:r>
      <w:r>
        <w:t xml:space="preserve">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unitaire : janvier–mai = 20 – 15 = 5 ; juin–juillet = 20 – 14 = 6 ; septembre = 19 – 14 = 5</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SR au 30/9 ⇔ 5 × 5Q + 6 × 2Q + 5 × 1Q = CF totales = 1 000 000 + 120 000 + 44 660 = 1 164 660</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42 Q = 1 164 660 ⇔ </w:t>
      </w:r>
      <w:r>
        <w:rPr>
          <w:b/>
          <w:bCs/>
        </w:rPr>
        <w:t xml:space="preserve">Q = 27 730 unités par mois</w:t>
      </w:r>
      <w:r>
        <w:t xml:space="preserve">, soit 27 730 × 11 mois = </w:t>
      </w:r>
      <w:r>
        <w:rPr>
          <w:b/>
          <w:bCs/>
        </w:rPr>
        <w:t xml:space="preserve">305 030 unités par an</w:t>
      </w:r>
    </w:p>
    <w:p>
      <w:pPr>
        <w:spacing w:after="120"/>
      </w:pPr>
    </w:p>
    <w:p>
      <w:pPr>
        <w:spacing w:after="120" w:before="60"/>
      </w:pPr>
      <w:r>
        <w:rPr>
          <w:b/>
          <w:bCs/>
          <w:color w:val="FFFFFF"/>
          <w:sz w:val="20"/>
          <w:szCs w:val="20"/>
          <w:shd w:fill="217346" w:color="auto" w:val="clear"/>
        </w:rPr>
        <w:t xml:space="preserve"> 📊 Voir Excel – Société X </w:t>
      </w:r>
    </w:p>
    <w:p>
      <w:pPr>
        <w:pStyle w:val="Heading2"/>
        <w:keepNext/>
        <w:pBdr>
          <w:bottom w:val="single" w:color="C55A11" w:sz="8" w:space="2"/>
        </w:pBdr>
        <w:spacing w:after="120" w:before="300"/>
      </w:pPr>
      <w:bookmarkStart w:name="s35" w:id="35"/>
      <w:r>
        <w:rPr>
          <w:b/>
          <w:bCs/>
          <w:color w:val="C55A11"/>
          <w:sz w:val="30"/>
          <w:szCs w:val="30"/>
        </w:rPr>
        <w:t xml:space="preserve">3. Le seuil de rentabilité en avenir incertain</w:t>
      </w:r>
      <w:bookmarkEnd w:id="35"/>
    </w:p>
    <w:p>
      <w:pPr>
        <w:pStyle w:val="Heading3"/>
        <w:keepNext/>
        <w:spacing w:after="80" w:before="220"/>
      </w:pPr>
      <w:bookmarkStart w:name="ss36" w:id="36"/>
      <w:r>
        <w:rPr>
          <w:b/>
          <w:bCs/>
          <w:color w:val="1F3864"/>
          <w:sz w:val="25"/>
          <w:szCs w:val="25"/>
        </w:rPr>
        <w:t xml:space="preserve">La loi normale</w:t>
      </w:r>
      <w:bookmarkEnd w:id="36"/>
    </w:p>
    <w:p>
      <w:pPr>
        <w:pStyle w:val="ListParagraph"/>
        <w:numPr>
          <w:ilvl w:val="0"/>
          <w:numId w:val="2"/>
        </w:numPr>
        <w:spacing w:after="60"/>
      </w:pPr>
      <w:r>
        <w:t xml:space="preserve">Une loi normale est appropriée chaque fois qu'une variable résulte de l'</w:t>
      </w:r>
      <w:r>
        <w:rPr>
          <w:b/>
          <w:bCs/>
        </w:rPr>
        <w:t xml:space="preserve">accumulation de nombreux facteurs aléatoires, petits et indépendants</w:t>
      </w:r>
      <w:r>
        <w:t xml:space="preserve">.</w:t>
      </w:r>
    </w:p>
    <w:p>
      <w:pPr>
        <w:pStyle w:val="ListParagraph"/>
        <w:numPr>
          <w:ilvl w:val="0"/>
          <w:numId w:val="2"/>
        </w:numPr>
        <w:spacing w:after="60"/>
      </w:pPr>
      <w:r>
        <w:t xml:space="preserve">Elle est représentée par une </w:t>
      </w:r>
      <w:r>
        <w:rPr>
          <w:b/>
          <w:bCs/>
        </w:rPr>
        <w:t xml:space="preserve">courbe en cloche</w:t>
      </w:r>
      <w:r>
        <w:t xml:space="preserve">, symétrique, centrée sur sa </w:t>
      </w:r>
      <w:r>
        <w:rPr>
          <w:b/>
          <w:bCs/>
        </w:rPr>
        <w:t xml:space="preserve">moyenne</w:t>
      </w:r>
      <w:r>
        <w:t xml:space="preserve"> E(X), avec un </w:t>
      </w:r>
      <w:r>
        <w:rPr>
          <w:b/>
          <w:bCs/>
        </w:rPr>
        <w:t xml:space="preserve">écart-type</w:t>
      </w:r>
      <w:r>
        <w:t xml:space="preserve"> σ.</w:t>
      </w:r>
    </w:p>
    <w:p>
      <w:pPr>
        <w:pStyle w:val="ListParagraph"/>
        <w:numPr>
          <w:ilvl w:val="0"/>
          <w:numId w:val="2"/>
        </w:numPr>
        <w:spacing w:after="60"/>
      </w:pPr>
      <w:r>
        <w:t xml:space="preserve">La probabilité associée correspond à l'</w:t>
      </w:r>
      <w:r>
        <w:rPr>
          <w:b/>
          <w:bCs/>
        </w:rPr>
        <w:t xml:space="preserve">aire sous la courbe</w:t>
      </w:r>
      <w:r>
        <w:t xml:space="preserve"> sur un intervalle donné.</w:t>
      </w:r>
    </w:p>
    <w:p>
      <w:pPr>
        <w:pStyle w:val="ListParagraph"/>
        <w:numPr>
          <w:ilvl w:val="0"/>
          <w:numId w:val="2"/>
        </w:numPr>
        <w:spacing w:after="60"/>
      </w:pPr>
      <w:r>
        <w:t xml:space="preserve">On passe d'une loi N(E(X) ; σ) à la loi </w:t>
      </w:r>
      <w:r>
        <w:rPr>
          <w:b/>
          <w:bCs/>
        </w:rPr>
        <w:t xml:space="preserve">normale centrée réduite N(0 ; 1)</w:t>
      </w:r>
      <w:r>
        <w:t xml:space="preserve"> par un changement de variable.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Changement de variable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T = (X – E(X)) / σ</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P(X &gt; a) = P(T &gt; (a – E(X)) / σ) = 1 – Π(t)        et        Π(–t) = 1 – Π(t)</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Valeurs utiles : Π(1) = 0,8413 ; Π(1,645) = 0,95 ; Π(1,96) = 0,975 ; Π(2) = 0,9772 ; Π(3) = 0,9987</w:t>
      </w:r>
    </w:p>
    <w:p>
      <w:pPr>
        <w:spacing w:after="120"/>
      </w:pPr>
    </w:p>
    <w:p>
      <w:pPr>
        <w:keepNext/>
        <w:spacing w:after="40" w:before="80"/>
        <w:jc w:val="center"/>
      </w:pPr>
      <w:r>
        <w:drawing>
          <wp:inline distT="0" distB="0" distL="0" distR="0">
            <wp:extent cx="4000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133600"/>
                    </a:xfrm>
                    <a:prstGeom prst="rect">
                      <a:avLst/>
                    </a:prstGeom>
                  </pic:spPr>
                </pic:pic>
              </a:graphicData>
            </a:graphic>
          </wp:inline>
        </w:drawing>
      </w:r>
    </w:p>
    <w:p>
      <w:pPr>
        <w:spacing w:after="160"/>
        <w:jc w:val="center"/>
      </w:pPr>
      <w:r>
        <w:rPr>
          <w:i/>
          <w:iCs/>
          <w:color w:val="595959"/>
          <w:sz w:val="18"/>
          <w:szCs w:val="18"/>
        </w:rPr>
        <w:t xml:space="preserve">Répartition de la loi normale : 68 % des valeurs entre –1σ et +1σ, 95 % entre –2σ et +2σ</w:t>
      </w:r>
    </w:p>
    <w:p>
      <w:pPr>
        <w:pStyle w:val="Heading3"/>
        <w:keepNext/>
        <w:pBdr>
          <w:left w:val="single" w:color="C55A11" w:sz="24" w:space="6"/>
        </w:pBdr>
        <w:shd w:fill="FBE4D5" w:color="auto" w:val="clear"/>
        <w:spacing w:after="100" w:before="280"/>
      </w:pPr>
      <w:bookmarkStart w:name="cas37" w:id="37"/>
      <w:r>
        <w:rPr>
          <w:b/>
          <w:bCs/>
          <w:color w:val="C55A11"/>
          <w:sz w:val="25"/>
          <w:szCs w:val="25"/>
        </w:rPr>
        <w:t xml:space="preserve">📌 Société X – question 8 : seuil en avenir incertain</w:t>
      </w:r>
      <w:bookmarkEnd w:id="37"/>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1er cas</w:t>
      </w:r>
      <w:r>
        <w:t xml:space="preserve"> (ventes de 4 000 / 4 800 / 5 500 k€ avec des probabilités 0,2 / 0,6 / 0,2)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E(CA) = 0,2 × 4 000 + 0,6 × 4 800 + 0,2 × 5 500 = </w:t>
      </w:r>
      <w:r>
        <w:rPr>
          <w:b/>
          <w:bCs/>
        </w:rPr>
        <w:t xml:space="preserve">4 780 k€</w:t>
      </w:r>
      <w:r>
        <w:t xml:space="preserve"> ; P(CA ≥ SR = 4 000) = </w:t>
      </w:r>
      <w:r>
        <w:rPr>
          <w:b/>
          <w:bCs/>
        </w:rPr>
        <w:t xml:space="preserve">100 %</w:t>
      </w:r>
      <w:r>
        <w:t xml:space="preserve"> (au pire, R = 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2e cas</w:t>
      </w:r>
      <w:r>
        <w:t xml:space="preserve"> : CA ~ N(4 800 ; 1 500)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P(CA &gt; 4 000) = P(T &gt; (4 000 – 4 800) / 1 500) = P(T &gt; –0,53) = Π(0,53) ≈ </w:t>
      </w:r>
      <w:r>
        <w:rPr>
          <w:b/>
          <w:bCs/>
        </w:rPr>
        <w:t xml:space="preserve">0,70</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L'entreprise a environ </w:t>
      </w:r>
      <w:r>
        <w:rPr>
          <w:b/>
          <w:bCs/>
        </w:rPr>
        <w:t xml:space="preserve">70 % de chances</w:t>
      </w:r>
      <w:r>
        <w:t xml:space="preserve"> d'atteindre son seuil de rentabilité.</w:t>
      </w:r>
    </w:p>
    <w:p>
      <w:pPr>
        <w:spacing w:after="120"/>
      </w:pP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rPr>
          <w:b/>
          <w:bCs/>
          <w:color w:val="7F6000"/>
          <w:sz w:val="23"/>
          <w:szCs w:val="23"/>
        </w:rPr>
        <w:t xml:space="preserve">💡 Complément</w:t>
      </w:r>
    </w:p>
    <w:p>
      <w:pPr>
        <w:keepNext w:val="false"/>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t xml:space="preserve">Le 1er cas n'apparaissait pas dans les notes : il est ajouté en complément.</w:t>
      </w:r>
    </w:p>
    <w:p>
      <w:pPr>
        <w:spacing w:after="120"/>
      </w:pPr>
    </w:p>
    <w:p>
      <w:pPr>
        <w:pStyle w:val="Heading3"/>
        <w:keepNext/>
        <w:pBdr>
          <w:left w:val="single" w:color="C55A11" w:sz="24" w:space="6"/>
        </w:pBdr>
        <w:shd w:fill="FBE4D5" w:color="auto" w:val="clear"/>
        <w:spacing w:after="100" w:before="280"/>
      </w:pPr>
      <w:bookmarkStart w:name="cas38" w:id="38"/>
      <w:r>
        <w:rPr>
          <w:b/>
          <w:bCs/>
          <w:color w:val="C55A11"/>
          <w:sz w:val="25"/>
          <w:szCs w:val="25"/>
        </w:rPr>
        <w:t xml:space="preserve">📌 Cas BAGUETTES D'OR – seuil probabilisé, levier, élasticité</w:t>
      </w:r>
      <w:bookmarkEnd w:id="38"/>
    </w:p>
    <w:p>
      <w:pPr>
        <w:spacing w:after="120" w:before="60"/>
      </w:pPr>
      <w:r>
        <w:rPr>
          <w:b/>
          <w:bCs/>
          <w:color w:val="FFFFFF"/>
          <w:sz w:val="20"/>
          <w:szCs w:val="20"/>
          <w:shd w:fill="7030A0" w:color="auto" w:val="clear"/>
        </w:rPr>
        <w:t xml:space="preserve"> 📄 Voir énoncé – BAGUETTES D'OR (+ annexe 1) </w:t>
      </w:r>
    </w:p>
    <w:p>
      <w:pPr>
        <w:spacing w:after="100"/>
      </w:pPr>
      <w:r>
        <w:rPr>
          <w:b/>
          <w:bCs/>
        </w:rPr>
        <w:t xml:space="preserve">1. Résultat prévisionnel</w:t>
      </w:r>
      <w:r>
        <w:t xml:space="preserve"> (900 commandes en moyenne de 500 €, 10 catalogues envoyés par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1"/>
        <w:gridCol w:w="3968"/>
        <w:gridCol w:w="2269"/>
      </w:tblGrid>
      <w:tr>
        <w:trPr>
          <w:cantSplit/>
          <w:tblHeader/>
        </w:trPr>
        <w:tc>
          <w:tcPr>
            <w:tcW w:type="dxa" w:w="3401"/>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p>
        </w:tc>
        <w:tc>
          <w:tcPr>
            <w:tcW w:type="dxa" w:w="3968"/>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Calcul</w:t>
            </w:r>
          </w:p>
        </w:tc>
        <w:tc>
          <w:tcPr>
            <w:tcW w:type="dxa" w:w="2269"/>
            <w:tcBorders>
              <w:top w:val="single" w:color="BFBFBF" w:sz="4"/>
              <w:left w:val="single" w:color="BFBFBF" w:sz="4"/>
              <w:bottom w:val="single" w:color="BFBFBF" w:sz="4"/>
              <w:right w:val="single" w:color="BFBFBF" w:sz="4"/>
            </w:tcBorders>
            <w:shd w:fill="C55A11"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34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w:t>
            </w:r>
          </w:p>
        </w:tc>
        <w:tc>
          <w:tcPr>
            <w:tcW w:type="dxa" w:w="39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900 × 500</w:t>
            </w:r>
          </w:p>
        </w:tc>
        <w:tc>
          <w:tcPr>
            <w:tcW w:type="dxa" w:w="22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450 000</w:t>
            </w:r>
          </w:p>
        </w:tc>
      </w:tr>
      <w:tr>
        <w:trPr>
          <w:cantSplit/>
          <w:tblHeader w:val="false"/>
        </w:trPr>
        <w:tc>
          <w:tcPr>
            <w:tcW w:type="dxa" w:w="340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M/CV de production</w:t>
            </w:r>
          </w:p>
        </w:tc>
        <w:tc>
          <w:tcPr>
            <w:tcW w:type="dxa" w:w="39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450 000 × 40 %</w:t>
            </w:r>
          </w:p>
        </w:tc>
        <w:tc>
          <w:tcPr>
            <w:tcW w:type="dxa" w:w="226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180 000</w:t>
            </w:r>
          </w:p>
        </w:tc>
      </w:tr>
      <w:tr>
        <w:trPr>
          <w:cantSplit/>
          <w:tblHeader w:val="false"/>
        </w:trPr>
        <w:tc>
          <w:tcPr>
            <w:tcW w:type="dxa" w:w="34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 Frais de transport</w:t>
            </w:r>
          </w:p>
        </w:tc>
        <w:tc>
          <w:tcPr>
            <w:tcW w:type="dxa" w:w="39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50 × 900</w:t>
            </w:r>
          </w:p>
        </w:tc>
        <w:tc>
          <w:tcPr>
            <w:tcW w:type="dxa" w:w="226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45 000</w:t>
            </w:r>
          </w:p>
        </w:tc>
      </w:tr>
      <w:tr>
        <w:trPr>
          <w:cantSplit/>
          <w:tblHeader w:val="false"/>
        </w:trPr>
        <w:tc>
          <w:tcPr>
            <w:tcW w:type="dxa" w:w="340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 Coût des catalogues</w:t>
            </w:r>
          </w:p>
        </w:tc>
        <w:tc>
          <w:tcPr>
            <w:tcW w:type="dxa" w:w="39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+ 0,70) × 9 000 catalogues</w:t>
            </w:r>
          </w:p>
        </w:tc>
        <w:tc>
          <w:tcPr>
            <w:tcW w:type="dxa" w:w="226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15 300</w:t>
            </w:r>
          </w:p>
        </w:tc>
      </w:tr>
      <w:tr>
        <w:trPr>
          <w:cantSplit/>
          <w:tblHeader w:val="false"/>
        </w:trPr>
        <w:tc>
          <w:tcPr>
            <w:tcW w:type="dxa" w:w="3401"/>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 M/CV</w:t>
            </w:r>
          </w:p>
        </w:tc>
        <w:tc>
          <w:tcPr>
            <w:tcW w:type="dxa" w:w="3968"/>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c>
          <w:tcPr>
            <w:tcW w:type="dxa" w:w="226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119 700</w:t>
            </w:r>
          </w:p>
        </w:tc>
      </w:tr>
      <w:tr>
        <w:trPr>
          <w:cantSplit/>
          <w:tblHeader w:val="false"/>
        </w:trPr>
        <w:tc>
          <w:tcPr>
            <w:tcW w:type="dxa" w:w="340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 Coûts fixes</w:t>
            </w:r>
          </w:p>
        </w:tc>
        <w:tc>
          <w:tcPr>
            <w:tcW w:type="dxa" w:w="39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226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110 000</w:t>
            </w:r>
          </w:p>
        </w:tc>
      </w:tr>
      <w:tr>
        <w:trPr>
          <w:cantSplit/>
          <w:tblHeader w:val="false"/>
        </w:trPr>
        <w:tc>
          <w:tcPr>
            <w:tcW w:type="dxa" w:w="3401"/>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left"/>
            </w:pPr>
            <w:r>
              <w:rPr>
                <w:b/>
                <w:bCs/>
                <w:sz w:val="20"/>
                <w:szCs w:val="20"/>
              </w:rPr>
              <w:t xml:space="preserve">= Résultat</w:t>
            </w:r>
          </w:p>
        </w:tc>
        <w:tc>
          <w:tcPr>
            <w:tcW w:type="dxa" w:w="3968"/>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p>
        </w:tc>
        <w:tc>
          <w:tcPr>
            <w:tcW w:type="dxa" w:w="2269"/>
            <w:tcBorders>
              <w:top w:val="single" w:color="BFBFBF" w:sz="4"/>
              <w:left w:val="single" w:color="BFBFBF" w:sz="4"/>
              <w:bottom w:val="single" w:color="BFBFBF" w:sz="4"/>
              <w:right w:val="single" w:color="BFBFBF" w:sz="4"/>
            </w:tcBorders>
            <w:shd w:fill="FBE4D5" w:color="auto" w:val="clear"/>
            <w:tcMar>
              <w:top w:type="dxa" w:w="50"/>
              <w:left w:type="dxa" w:w="90"/>
              <w:bottom w:type="dxa" w:w="50"/>
              <w:right w:type="dxa" w:w="90"/>
            </w:tcMar>
          </w:tcPr>
          <w:p>
            <w:pPr>
              <w:jc w:val="right"/>
            </w:pPr>
            <w:r>
              <w:rPr>
                <w:b/>
                <w:bCs/>
                <w:sz w:val="20"/>
                <w:szCs w:val="20"/>
              </w:rPr>
              <w:t xml:space="preserve">9 700</w:t>
            </w:r>
          </w:p>
        </w:tc>
      </w:tr>
    </w:tbl>
    <w:p>
      <w:pPr>
        <w:spacing w:after="120"/>
      </w:pPr>
    </w:p>
    <w:p>
      <w:pPr>
        <w:spacing w:after="100"/>
      </w:pPr>
      <w:r>
        <w:rPr>
          <w:b/>
          <w:bCs/>
        </w:rPr>
        <w:t xml:space="preserve">2. Seuil de rentabilité</w:t>
      </w:r>
      <w:r>
        <w:t xml:space="preserve"> : M/CV par commande = 119 700 / 900 = 133 € → SR = 110 000 / 133 = 827,07 → </w:t>
      </w:r>
      <w:r>
        <w:rPr>
          <w:b/>
          <w:bCs/>
        </w:rPr>
        <w:t xml:space="preserve">827 commandes</w:t>
      </w:r>
      <w:r>
        <w:t xml:space="preserve">.</w:t>
      </w:r>
    </w:p>
    <w:p>
      <w:pPr>
        <w:spacing w:after="100"/>
      </w:pPr>
      <w:r>
        <w:rPr>
          <w:b/>
          <w:bCs/>
        </w:rPr>
        <w:t xml:space="preserve">3.1 Probabilité d'atteindre le SR</w:t>
      </w:r>
      <w:r>
        <w:t xml:space="preserve"> – la demande suit N(900 ; 28)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P(X &gt; 827) = P(T &gt; (827 – 900) / 28) = P(T &gt; –2,61) = Π(2,61) ≈ </w:t>
      </w:r>
      <w:r>
        <w:rPr>
          <w:b/>
          <w:bCs/>
        </w:rPr>
        <w:t xml:space="preserve">99,5 %</w:t>
      </w:r>
    </w:p>
    <w:p>
      <w:pPr>
        <w:spacing w:after="120"/>
      </w:pPr>
    </w:p>
    <w:p>
      <w:pPr>
        <w:spacing w:after="100"/>
      </w:pPr>
      <w:r>
        <w:rPr>
          <w:b/>
          <w:bCs/>
        </w:rPr>
        <w:t xml:space="preserve">3.2 Levier opérationnel</w:t>
      </w:r>
      <w:r>
        <w:t xml:space="preserve"> = 119 700 / 9 700 = </w:t>
      </w:r>
      <w:r>
        <w:rPr>
          <w:b/>
          <w:bCs/>
        </w:rPr>
        <w:t xml:space="preserve">12,3</w:t>
      </w:r>
      <w:r>
        <w:t xml:space="preserve"> : si le CA varie de 1 %, le résultat varie de 12,3 %. Le risque de perte est pratiquement nul, mais la </w:t>
      </w:r>
      <w:r>
        <w:rPr>
          <w:b/>
          <w:bCs/>
        </w:rPr>
        <w:t xml:space="preserve">volatilité du résultat est très élevée</w:t>
      </w:r>
      <w:r>
        <w:t xml:space="preserve">.</w:t>
      </w:r>
    </w:p>
    <w:p>
      <w:pPr>
        <w:spacing w:after="100"/>
      </w:pPr>
      <w:r>
        <w:rPr>
          <w:b/>
          <w:bCs/>
        </w:rPr>
        <w:t xml:space="preserve">4. Niveau de prix optimal</w:t>
      </w:r>
      <w:r>
        <w:t xml:space="preserve"> – soit p le % de variation du prix ; l'élasticité de –2 fait varier la demande de –2p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 500(1 + p) × 900(1 – 2p) = 450 000 – 450 000 p – 900 000 p²</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CV de production = 900(1 – 2p) × 300 = 270 000 – 540 000 p   (300 € = 60 % de 500 €, inchangé)</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CV de distribution = 900(1 – 2p) × (50 + 10 × 1,70) = 900(1 – 2p) × 67 = 60 300 – 120 600 p</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4.1 M/CV = 119 700 + 210 600 p – 900 000 p²</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4.2</w:t>
      </w:r>
      <w:r>
        <w:t xml:space="preserve"> Dérivée : 210 600 – 1 800 000 p = 0 ⇔ </w:t>
      </w:r>
      <w:r>
        <w:rPr>
          <w:b/>
          <w:bCs/>
        </w:rPr>
        <w:t xml:space="preserve">p = 11,7 %</w:t>
      </w:r>
      <w:r>
        <w:t xml:space="preserve"> → nouveau prix = 500 × 1,117 = 558,50 €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4.3</w:t>
      </w:r>
      <w:r>
        <w:t xml:space="preserve"> M/CV = 119 700 + 210 600 × 0,117 – 900 000 × 0,117² = 119 700 + 24 640 – 12 320 = </w:t>
      </w:r>
      <w:r>
        <w:rPr>
          <w:b/>
          <w:bCs/>
        </w:rPr>
        <w:t xml:space="preserve">132 020 €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Résultat = 132 020 – 110 000 = </w:t>
      </w:r>
      <w:r>
        <w:rPr>
          <w:b/>
          <w:bCs/>
        </w:rPr>
        <w:t xml:space="preserve">22 020 €</w:t>
      </w:r>
      <w:r>
        <w:t xml:space="preserve"> (contre 9 700 € actuellement)</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utilisaient « 210 000 » au lieu de </w:t>
      </w:r>
      <w:r>
        <w:rPr>
          <w:b/>
          <w:bCs/>
        </w:rPr>
        <w:t xml:space="preserve">210 600</w:t>
      </w:r>
      <w:r>
        <w:t xml:space="preserve"> dans la dérivée et le calcul final, d'où 131 950 / 21 950. Avec le bon coefficient : M/CV = </w:t>
      </w:r>
      <w:r>
        <w:rPr>
          <w:b/>
          <w:bCs/>
        </w:rPr>
        <w:t xml:space="preserve">132 020 €</w:t>
      </w:r>
      <w:r>
        <w:t xml:space="preserve"> et résultat = </w:t>
      </w:r>
      <w:r>
        <w:rPr>
          <w:b/>
          <w:bCs/>
        </w:rPr>
        <w:t xml:space="preserve">22 020 €</w:t>
      </w:r>
      <w:r>
        <w:t xml:space="preserve">.</w:t>
      </w:r>
    </w:p>
    <w:p>
      <w:pPr>
        <w:spacing w:after="120"/>
      </w:pP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120" w:right="120"/>
      </w:pPr>
      <w:r>
        <w:rPr>
          <w:b/>
          <w:bCs/>
          <w:color w:val="548235"/>
          <w:sz w:val="23"/>
          <w:szCs w:val="23"/>
        </w:rPr>
        <w:t xml:space="preserve">★ POINTS À RETENIR</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À court terme, on raisonne en </w:t>
      </w:r>
      <w:r>
        <w:rPr>
          <w:b/>
          <w:bCs/>
        </w:rPr>
        <w:t xml:space="preserve">charges variables / charges fixes</w:t>
      </w:r>
      <w:r>
        <w:t xml:space="preserve"> : Résultat = M/CV – CF.</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rPr>
          <w:b/>
          <w:bCs/>
        </w:rPr>
        <w:t xml:space="preserve">SR = CF ÷ taux de M/CV</w:t>
      </w:r>
      <w:r>
        <w:t xml:space="preserve"> (en €) ou </w:t>
      </w:r>
      <w:r>
        <w:rPr>
          <w:b/>
          <w:bCs/>
        </w:rPr>
        <w:t xml:space="preserve">CF ÷ M/CV unitaire</w:t>
      </w:r>
      <w:r>
        <w:t xml:space="preserve"> (en quantités) ; au SR, </w:t>
      </w:r>
      <w:r>
        <w:rPr>
          <w:b/>
          <w:bCs/>
        </w:rPr>
        <w:t xml:space="preserve">M/CV = CF</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Date du SR = SR / CA × 12 mois (ventes régulières) ; sinon, raisonner sur le </w:t>
      </w:r>
      <w:r>
        <w:rPr>
          <w:b/>
          <w:bCs/>
        </w:rPr>
        <w:t xml:space="preserve">CA cumulé</w:t>
      </w:r>
      <w:r>
        <w:t xml:space="preserve"> ou </w:t>
      </w:r>
      <w:r>
        <w:rPr>
          <w:b/>
          <w:bCs/>
        </w:rPr>
        <w:t xml:space="preserve">par sous-périodes</w:t>
      </w:r>
      <w:r>
        <w:t xml:space="preserve"> si les conditions changent en cours d'année.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rPr>
          <w:b/>
          <w:bCs/>
        </w:rPr>
        <w:t xml:space="preserve">MS = CA – SR</w:t>
      </w:r>
      <w:r>
        <w:t xml:space="preserve"> ; </w:t>
      </w:r>
      <w:r>
        <w:rPr>
          <w:b/>
          <w:bCs/>
        </w:rPr>
        <w:t xml:space="preserve">IS = MS / CA</w:t>
      </w:r>
      <w:r>
        <w:t xml:space="preserve"> ; </w:t>
      </w:r>
      <w:r>
        <w:rPr>
          <w:b/>
          <w:bCs/>
        </w:rPr>
        <w:t xml:space="preserve">LO = M/CV / R = 1 / IS</w:t>
      </w:r>
      <w:r>
        <w:t xml:space="preserve">. Plus le levier est élevé, plus l'entreprise est </w:t>
      </w:r>
      <w:r>
        <w:rPr>
          <w:b/>
          <w:bCs/>
        </w:rPr>
        <w:t xml:space="preserve">risquée</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Un investissement s'évalue sur une </w:t>
      </w:r>
      <w:r>
        <w:rPr>
          <w:b/>
          <w:bCs/>
        </w:rPr>
        <w:t xml:space="preserve">année pleine</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Élasticité demande/prix = (ΔD/D) / (ΔP/P) : sert à tester une baisse ou une hausse de prix.</w:t>
      </w:r>
    </w:p>
    <w:p>
      <w:pPr>
        <w:keepNext w:val="false"/>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En avenir incertain : </w:t>
      </w:r>
      <w:r>
        <w:rPr>
          <w:b/>
          <w:bCs/>
        </w:rPr>
        <w:t xml:space="preserve">T = (X – E(X)) / σ</w:t>
      </w:r>
      <w:r>
        <w:t xml:space="preserve">, puis lecture de Π(t) dans la table de la loi normale.</w:t>
      </w:r>
    </w:p>
    <w:p>
      <w:pPr>
        <w:spacing w:after="120"/>
      </w:pPr>
    </w:p>
    <w:p>
      <w:pPr>
        <w:pStyle w:val="Heading1"/>
        <w:pageBreakBefore/>
        <w:pBdr>
          <w:left w:val="single" w:color="7030A0" w:sz="48" w:space="8"/>
        </w:pBdr>
        <w:shd w:fill="7030A0" w:color="auto" w:val="clear"/>
        <w:spacing w:after="240" w:before="0"/>
        <w:ind w:left="0"/>
      </w:pPr>
      <w:bookmarkStart w:name="ch39" w:id="39"/>
      <w:r>
        <w:rPr>
          <w:b/>
          <w:bCs/>
          <w:color w:val="FFFFFF"/>
          <w:sz w:val="36"/>
          <w:szCs w:val="36"/>
        </w:rPr>
        <w:t xml:space="preserve">Chapitre 3 – Le coût marginal</w:t>
      </w:r>
      <w:bookmarkEnd w:id="39"/>
    </w:p>
    <w:p>
      <w:pPr>
        <w:pStyle w:val="Heading2"/>
        <w:keepNext/>
        <w:pBdr>
          <w:bottom w:val="single" w:color="7030A0" w:sz="8" w:space="2"/>
        </w:pBdr>
        <w:spacing w:after="120" w:before="300"/>
      </w:pPr>
      <w:bookmarkStart w:name="s40" w:id="40"/>
      <w:r>
        <w:rPr>
          <w:b/>
          <w:bCs/>
          <w:color w:val="7030A0"/>
          <w:sz w:val="30"/>
          <w:szCs w:val="30"/>
        </w:rPr>
        <w:t xml:space="preserve">1. Définition et calcul</w:t>
      </w:r>
      <w:bookmarkEnd w:id="40"/>
    </w:p>
    <w:p>
      <w:pPr>
        <w:keepNext/>
        <w:keepLines/>
        <w:pBdr>
          <w:top w:val="single" w:color="7030A0" w:sz="6" w:space="4"/>
          <w:left w:val="single" w:color="7030A0" w:sz="24" w:space="6"/>
          <w:bottom w:val="single" w:color="7030A0" w:sz="6" w:space="4"/>
          <w:right w:val="single" w:color="7030A0" w:sz="6" w:space="4"/>
        </w:pBdr>
        <w:shd w:fill="E8DDF3" w:color="auto" w:val="clear"/>
        <w:spacing w:after="0" w:line="276"/>
        <w:ind w:left="120" w:right="120"/>
      </w:pPr>
      <w:r>
        <w:rPr>
          <w:b/>
          <w:bCs/>
          <w:color w:val="7030A0"/>
          <w:sz w:val="23"/>
          <w:szCs w:val="23"/>
        </w:rPr>
        <w:t xml:space="preserve">Définition</w:t>
      </w:r>
    </w:p>
    <w:p>
      <w:pPr>
        <w:keepNext/>
        <w:keepLines/>
        <w:pBdr>
          <w:top w:val="single" w:color="7030A0" w:sz="6" w:space="4"/>
          <w:left w:val="single" w:color="7030A0" w:sz="24" w:space="6"/>
          <w:bottom w:val="single" w:color="7030A0" w:sz="6" w:space="4"/>
          <w:right w:val="single" w:color="7030A0" w:sz="6" w:space="4"/>
        </w:pBdr>
        <w:shd w:fill="E8DDF3" w:color="auto" w:val="clear"/>
        <w:spacing w:after="0" w:line="276"/>
        <w:ind w:left="120" w:right="120"/>
      </w:pPr>
      <w:r>
        <w:t xml:space="preserve">Le </w:t>
      </w:r>
      <w:r>
        <w:rPr>
          <w:b/>
          <w:bCs/>
        </w:rPr>
        <w:t xml:space="preserve">coût marginal (Cm)</w:t>
      </w:r>
      <w:r>
        <w:t xml:space="preserve"> est la différence entre l'ensemble des charges d'exploitation nécessaires à une production donnée et l'ensemble de celles nécessaires à cette même production </w:t>
      </w:r>
      <w:r>
        <w:rPr>
          <w:b/>
          <w:bCs/>
        </w:rPr>
        <w:t xml:space="preserve">minorée d'une unité</w:t>
      </w:r>
      <w:r>
        <w:t xml:space="preserve">.</w:t>
      </w:r>
    </w:p>
    <w:p>
      <w:pPr>
        <w:keepNext w:val="false"/>
        <w:keepLines/>
        <w:pBdr>
          <w:top w:val="single" w:color="7030A0" w:sz="6" w:space="4"/>
          <w:left w:val="single" w:color="7030A0" w:sz="24" w:space="6"/>
          <w:bottom w:val="single" w:color="7030A0" w:sz="6" w:space="4"/>
          <w:right w:val="single" w:color="7030A0" w:sz="6" w:space="4"/>
        </w:pBdr>
        <w:shd w:fill="E8DDF3" w:color="auto" w:val="clear"/>
        <w:spacing w:after="0" w:line="276"/>
        <w:ind w:left="120" w:right="120"/>
      </w:pPr>
      <w:r>
        <w:t xml:space="preserve">C'est donc </w:t>
      </w:r>
      <w:r>
        <w:rPr>
          <w:b/>
          <w:bCs/>
        </w:rPr>
        <w:t xml:space="preserve">le coût de la dernière unité fabriquée</w:t>
      </w:r>
      <w:r>
        <w:t xml:space="preserve"> : « que coûte cette pièce en plus ? »</w:t>
      </w:r>
    </w:p>
    <w:p>
      <w:pPr>
        <w:spacing w:after="120"/>
      </w:pP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Cm(n) = CT(n) – CT(n – 1)</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Pour une commande (ou une série) supplémentaire : </w:t>
      </w:r>
      <w:r>
        <w:rPr>
          <w:b/>
          <w:bCs/>
        </w:rPr>
        <w:t xml:space="preserve">Cm = CT après commande – CT avant commande</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Cm unitaire</w:t>
      </w:r>
      <w:r>
        <w:rPr>
          <w:b w:val="false"/>
          <w:bCs w:val="false"/>
        </w:rPr>
        <w:t xml:space="preserve"> = Cm de la série ÷ nombre d'unités de la série</w:t>
      </w:r>
    </w:p>
    <w:p>
      <w:pPr>
        <w:spacing w:after="120"/>
      </w:pPr>
    </w:p>
    <w:p>
      <w:pPr>
        <w:spacing w:after="100"/>
      </w:pPr>
      <w:r>
        <w:rPr>
          <w:b/>
          <w:bCs/>
        </w:rPr>
        <w:t xml:space="preserve">Exemple</w:t>
      </w:r>
      <w:r>
        <w:t xml:space="preserve"> : une boulangerie produit 1 000 baguettes pour un coût total de 2 000 €. Si la 1 001e coûte 1 € de plus, alors CT(1 001) = 2 001 € et le coût marginal de la 1 001e baguette est de 1 €. Si son prix de vente est supérieur à 1 €, la produire est rentable.</w:t>
      </w: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rPr>
          <w:b/>
          <w:bCs/>
          <w:color w:val="7F6000"/>
          <w:sz w:val="23"/>
          <w:szCs w:val="23"/>
        </w:rPr>
        <w:t xml:space="preserve">💡 À noter</w:t>
      </w: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420" w:right="120" w:hanging="300"/>
      </w:pPr>
      <w:r>
        <w:rPr>
          <w:b/>
          <w:bCs/>
          <w:color w:val="BF9000"/>
        </w:rPr>
        <w:t xml:space="preserve">•  </w:t>
      </w:r>
      <w:r>
        <w:rPr>
          <w:b/>
          <w:bCs/>
        </w:rPr>
        <w:t xml:space="preserve">Dans la limite de la capacité de production</w:t>
      </w:r>
      <w:r>
        <w:t xml:space="preserve">, les CF ne bougent pas : le coût marginal = </w:t>
      </w:r>
      <w:r>
        <w:rPr>
          <w:b/>
          <w:bCs/>
        </w:rPr>
        <w:t xml:space="preserve">coût variable unitaire</w:t>
      </w:r>
      <w:r>
        <w:t xml:space="preserve"> (à court terme).</w:t>
      </w:r>
    </w:p>
    <w:p>
      <w:pPr>
        <w:keepNext w:val="false"/>
        <w:keepLines/>
        <w:pBdr>
          <w:top w:val="single" w:color="BF9000" w:sz="6" w:space="4"/>
          <w:left w:val="single" w:color="BF9000" w:sz="24" w:space="6"/>
          <w:bottom w:val="single" w:color="BF9000" w:sz="6" w:space="4"/>
          <w:right w:val="single" w:color="BF9000" w:sz="6" w:space="4"/>
        </w:pBdr>
        <w:shd w:fill="FFF2CC" w:color="auto" w:val="clear"/>
        <w:spacing w:after="0" w:line="276"/>
        <w:ind w:left="420" w:right="120" w:hanging="300"/>
      </w:pPr>
      <w:r>
        <w:rPr>
          <w:b/>
          <w:bCs/>
          <w:color w:val="BF9000"/>
        </w:rPr>
        <w:t xml:space="preserve">•  </w:t>
      </w:r>
      <w:r>
        <w:rPr>
          <w:b/>
          <w:bCs/>
        </w:rPr>
        <w:t xml:space="preserve">Si la commande dépasse la capacité</w:t>
      </w:r>
      <w:r>
        <w:t xml:space="preserve">, il faut ajouter les </w:t>
      </w:r>
      <w:r>
        <w:rPr>
          <w:b/>
          <w:bCs/>
        </w:rPr>
        <w:t xml:space="preserve">nouvelles charges</w:t>
      </w:r>
      <w:r>
        <w:t xml:space="preserve"> qu'elle provoque (sous-traitance plus chère, investissement → nouveau palier de CF) : le coût marginal augmente.</w:t>
      </w:r>
    </w:p>
    <w:p>
      <w:pPr>
        <w:spacing w:after="120"/>
      </w:pPr>
    </w:p>
    <w:p>
      <w:pPr>
        <w:spacing w:after="100"/>
      </w:pPr>
      <w:r>
        <w:rPr>
          <w:b/>
          <w:bCs/>
        </w:rPr>
        <w:t xml:space="preserve">Deux méthodes de calcul</w:t>
      </w:r>
      <w:r>
        <w:t xml:space="preserve"> du coût et du résultat marginal :</w:t>
      </w:r>
    </w:p>
    <w:p>
      <w:pPr>
        <w:pStyle w:val="ListParagraph"/>
        <w:numPr>
          <w:ilvl w:val="0"/>
          <w:numId w:val="2"/>
        </w:numPr>
        <w:spacing w:after="60"/>
      </w:pPr>
      <w:r>
        <w:t xml:space="preserve">bâtir un </w:t>
      </w:r>
      <w:r>
        <w:rPr>
          <w:b/>
          <w:bCs/>
        </w:rPr>
        <w:t xml:space="preserve">compte de résultat différentiel</w:t>
      </w:r>
      <w:r>
        <w:t xml:space="preserve"> pour la situation actuelle, puis un second </w:t>
      </w:r>
      <w:r>
        <w:rPr>
          <w:b/>
          <w:bCs/>
        </w:rPr>
        <w:t xml:space="preserve">avec l'impact de la commande supplémentaire</w:t>
      </w:r>
      <w:r>
        <w:t xml:space="preserve">, et faire la </w:t>
      </w:r>
      <w:r>
        <w:rPr>
          <w:b/>
          <w:bCs/>
        </w:rPr>
        <w:t xml:space="preserve">différence</w:t>
      </w:r>
      <w:r>
        <w:t xml:space="preserve"> entre les deux ;</w:t>
      </w:r>
    </w:p>
    <w:p>
      <w:pPr>
        <w:pStyle w:val="ListParagraph"/>
        <w:numPr>
          <w:ilvl w:val="0"/>
          <w:numId w:val="2"/>
        </w:numPr>
        <w:spacing w:after="60"/>
      </w:pPr>
      <w:r>
        <w:t xml:space="preserve">ne prendre que les </w:t>
      </w:r>
      <w:r>
        <w:rPr>
          <w:b/>
          <w:bCs/>
        </w:rPr>
        <w:t xml:space="preserve">charges et produits supplémentaires</w:t>
      </w:r>
      <w:r>
        <w:t xml:space="preserve"> induits par la commande marginale.</w:t>
      </w:r>
    </w:p>
    <w:p>
      <w:pPr>
        <w:pStyle w:val="Heading2"/>
        <w:keepNext/>
        <w:pBdr>
          <w:bottom w:val="single" w:color="7030A0" w:sz="8" w:space="2"/>
        </w:pBdr>
        <w:spacing w:after="120" w:before="300"/>
      </w:pPr>
      <w:bookmarkStart w:name="s41" w:id="41"/>
      <w:r>
        <w:rPr>
          <w:b/>
          <w:bCs/>
          <w:color w:val="7030A0"/>
          <w:sz w:val="30"/>
          <w:szCs w:val="30"/>
        </w:rPr>
        <w:t xml:space="preserve">2. Utilisation du coût marginal</w:t>
      </w:r>
      <w:bookmarkEnd w:id="41"/>
    </w:p>
    <w:p>
      <w:pPr>
        <w:spacing w:after="100"/>
      </w:pPr>
      <w:r>
        <w:t xml:space="preserve">Le coût marginal guide de nombreuses décisions de </w:t>
      </w:r>
      <w:r>
        <w:rPr>
          <w:b/>
          <w:bCs/>
        </w:rPr>
        <w:t xml:space="preserve">tarification</w:t>
      </w:r>
      <w:r>
        <w:t xml:space="preserve">, notamment dans les secteurs où les coûts fixes sont élevés. Pendant les périodes de faible demande, le Cm est bas et permet de fixer un </w:t>
      </w:r>
      <w:r>
        <w:rPr>
          <w:b/>
          <w:bCs/>
        </w:rPr>
        <w:t xml:space="preserve">prix réduit</w:t>
      </w:r>
      <w:r>
        <w:t xml:space="preserve"> qui couvre au moins les charges variables additionnelles. Dans l'économie numérique, le coût marginal de l'unité supplémentaire tend vers 0.</w:t>
      </w:r>
    </w:p>
    <w:p>
      <w:pPr>
        <w:spacing w:after="100"/>
      </w:pPr>
      <w:r>
        <w:t xml:space="preserve">On l'utilise dans deux grands cas :</w:t>
      </w:r>
    </w:p>
    <w:p>
      <w:pPr>
        <w:pStyle w:val="ListParagraph"/>
        <w:numPr>
          <w:ilvl w:val="0"/>
          <w:numId w:val="2"/>
        </w:numPr>
        <w:spacing w:after="60"/>
      </w:pPr>
      <w:r>
        <w:t xml:space="preserve">la </w:t>
      </w:r>
      <w:r>
        <w:rPr>
          <w:b/>
          <w:bCs/>
        </w:rPr>
        <w:t xml:space="preserve">commercialisation d'une série à un prix inférieur au prix habituel</w:t>
      </w:r>
      <w:r>
        <w:t xml:space="preserve">, mais </w:t>
      </w:r>
      <w:r>
        <w:rPr>
          <w:b/>
          <w:bCs/>
        </w:rPr>
        <w:t xml:space="preserve">seulement si le seuil de rentabilité est déjà atteint</w:t>
      </w:r>
      <w:r>
        <w:t xml:space="preserve"> (les CF sont déjà couvertes) ;</w:t>
      </w:r>
    </w:p>
    <w:p>
      <w:pPr>
        <w:pStyle w:val="ListParagraph"/>
        <w:numPr>
          <w:ilvl w:val="0"/>
          <w:numId w:val="2"/>
        </w:numPr>
        <w:spacing w:after="60"/>
      </w:pPr>
      <w:r>
        <w:t xml:space="preserve">l'</w:t>
      </w:r>
      <w:r>
        <w:rPr>
          <w:b/>
          <w:bCs/>
        </w:rPr>
        <w:t xml:space="preserve">opportunité de recourir à la sous-traitance</w:t>
      </w:r>
      <w:r>
        <w:t xml:space="preserve">.</w:t>
      </w:r>
    </w:p>
    <w:p>
      <w:pPr>
        <w:spacing w:after="100"/>
      </w:pPr>
      <w:r>
        <w:t xml:space="preserve">Exemples de </w:t>
      </w:r>
      <w:r>
        <w:rPr>
          <w:b/>
          <w:bCs/>
        </w:rPr>
        <w:t xml:space="preserve">tarifs différenciés</w:t>
      </w:r>
      <w:r>
        <w:t xml:space="preserve"> basés sur les coûts marginaux : consommation d'énergie (heures creuses), billets d'avion.</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Règles de décision</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Une commande est acceptable si </w:t>
      </w:r>
      <w:r>
        <w:rPr>
          <w:b/>
          <w:bCs/>
        </w:rPr>
        <w:t xml:space="preserve">Prix de vente &gt; Coût marginal</w:t>
      </w:r>
      <w:r>
        <w:rPr>
          <w:b w:val="false"/>
          <w:bCs w:val="false"/>
        </w:rPr>
        <w:t xml:space="preserve"> (résultat marginal &gt; 0)</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Pour obtenir un taux de marge </w:t>
      </w:r>
      <w:r>
        <w:rPr>
          <w:b/>
          <w:bCs/>
        </w:rPr>
        <w:t xml:space="preserve">t</w:t>
      </w:r>
      <w:r>
        <w:rPr>
          <w:b w:val="false"/>
          <w:bCs w:val="false"/>
        </w:rPr>
        <w:t xml:space="preserve"> sur le prix : PV – Cm = t × PV  ⇔  </w:t>
      </w:r>
      <w:r>
        <w:rPr>
          <w:b/>
          <w:bCs/>
        </w:rPr>
        <w:t xml:space="preserve">PV = Cm ÷ (1 – t)</w:t>
      </w:r>
    </w:p>
    <w:p>
      <w:pPr>
        <w:spacing w:after="120"/>
      </w:pPr>
    </w:p>
    <w:p>
      <w:pPr>
        <w:pStyle w:val="Heading3"/>
        <w:keepNext/>
        <w:pBdr>
          <w:left w:val="single" w:color="7030A0" w:sz="24" w:space="6"/>
        </w:pBdr>
        <w:shd w:fill="E8DDF3" w:color="auto" w:val="clear"/>
        <w:spacing w:after="100" w:before="280"/>
      </w:pPr>
      <w:bookmarkStart w:name="cas42" w:id="42"/>
      <w:r>
        <w:rPr>
          <w:b/>
          <w:bCs/>
          <w:color w:val="7030A0"/>
          <w:sz w:val="25"/>
          <w:szCs w:val="25"/>
        </w:rPr>
        <w:t xml:space="preserve">📌 Cas MARIN – commande supplémentaire et sous-traitance</w:t>
      </w:r>
      <w:bookmarkEnd w:id="42"/>
    </w:p>
    <w:p>
      <w:pPr>
        <w:spacing w:after="120" w:before="60"/>
      </w:pPr>
      <w:r>
        <w:rPr>
          <w:b/>
          <w:bCs/>
          <w:color w:val="FFFFFF"/>
          <w:sz w:val="20"/>
          <w:szCs w:val="20"/>
          <w:shd w:fill="7030A0" w:color="auto" w:val="clear"/>
        </w:rPr>
        <w:t xml:space="preserve"> 📄 Voir énoncé – MARIN </w:t>
      </w:r>
    </w:p>
    <w:p>
      <w:pPr>
        <w:spacing w:after="100"/>
      </w:pPr>
      <w:r>
        <w:t xml:space="preserve">Production réelle de 5 000 articles = 75 % de la capacité (capacité totale ≈ 6 667 articles). Coûts proportionnels 5 000 000 € (1 000 €/article) ; coûts fixes 2 500 000 €.</w:t>
      </w:r>
    </w:p>
    <w:p>
      <w:pPr>
        <w:spacing w:after="100"/>
      </w:pPr>
      <w:r>
        <w:rPr>
          <w:b/>
          <w:bCs/>
        </w:rPr>
        <w:t xml:space="preserve">1.a Prix acceptable pour 500 articles supplémentaires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total pour 5 000 articles = 5 000 + 2 500 = 7 500 k€ → coût complet unitaire = 7 500 000 / 5 000 = 1 500 €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total pour 5 500 articles = 5 000 × 1,1 + 2 500 = 8 000 k€   (5 500 &lt; capacité → CF inchangées)</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marginal des 500 articles = 8 000 – 7 500 = </w:t>
      </w:r>
      <w:r>
        <w:rPr>
          <w:b/>
          <w:bCs/>
        </w:rPr>
        <w:t xml:space="preserve">500 k€</w:t>
      </w:r>
      <w:r>
        <w:t xml:space="preserve"> → Cm unitaire = 500 000 / 500 = </w:t>
      </w:r>
      <w:r>
        <w:rPr>
          <w:b/>
          <w:bCs/>
        </w:rPr>
        <w:t xml:space="preserve">1 000 €</w:t>
      </w:r>
    </w:p>
    <w:p>
      <w:pPr>
        <w:spacing w:after="120"/>
      </w:pPr>
    </w:p>
    <w:p>
      <w:pPr>
        <w:spacing w:after="100"/>
      </w:pPr>
      <w:r>
        <w:t xml:space="preserve">L'offre est donc acceptable </w:t>
      </w:r>
      <w:r>
        <w:rPr>
          <w:b/>
          <w:bCs/>
        </w:rPr>
        <w:t xml:space="preserve">au-dessus de 1 000 €</w:t>
      </w:r>
      <w:r>
        <w:t xml:space="preserve"> : le prix de 900 € est refusé, ceux de 1 200 € et 1 500 € sont acceptables. On remarque qu'on peut vendre </w:t>
      </w:r>
      <w:r>
        <w:rPr>
          <w:b/>
          <w:bCs/>
        </w:rPr>
        <w:t xml:space="preserve">en dessous du coût complet</w:t>
      </w:r>
      <w:r>
        <w:t xml:space="preserve"> (1 500 €) tout en gagnant de l'argent.</w:t>
      </w:r>
    </w:p>
    <w:p>
      <w:pPr>
        <w:spacing w:after="100"/>
      </w:pPr>
      <w:r>
        <w:rPr>
          <w:b/>
          <w:bCs/>
        </w:rPr>
        <w:t xml:space="preserve">1.b Incidence sur le résultat</w:t>
      </w:r>
      <w:r>
        <w:t xml:space="preserve"> (prix retenu : 1 200 €)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Résultat marginal unitaire = 1 200 – 1 000 = 200 € → total = 200 × 500 = </w:t>
      </w:r>
      <w:r>
        <w:rPr>
          <w:b/>
          <w:bCs/>
        </w:rPr>
        <w:t xml:space="preserve">+100 000 €</w:t>
      </w:r>
    </w:p>
    <w:p>
      <w:pPr>
        <w:spacing w:after="120"/>
      </w:pPr>
    </w:p>
    <w:p>
      <w:pPr>
        <w:spacing w:after="100"/>
      </w:pPr>
      <w:r>
        <w:rPr>
          <w:b/>
          <w:bCs/>
        </w:rPr>
        <w:t xml:space="preserve">2.c Prix minimum du contrat de sous-traitance (3 000 articles)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Charges supplémentaires = CF supplémentaires + CV des 3 000 articles majorées de 10 % (qualité)</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 938 730 + 1,1 × 1 000 × 3 000 = 938 730 + 3 300 000 = </w:t>
      </w:r>
      <w:r>
        <w:rPr>
          <w:b/>
          <w:bCs/>
        </w:rPr>
        <w:t xml:space="preserve">4 238 730 €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PV minimum = 4 238 730 / 3 000 = </w:t>
      </w:r>
      <w:r>
        <w:rPr>
          <w:b/>
          <w:bCs/>
        </w:rPr>
        <w:t xml:space="preserve">1 412,91 €</w:t>
      </w:r>
    </w:p>
    <w:p>
      <w:pPr>
        <w:spacing w:after="120"/>
      </w:pPr>
    </w:p>
    <w:p>
      <w:pPr>
        <w:spacing w:after="100"/>
      </w:pPr>
      <w:r>
        <w:t xml:space="preserve">On considère que l'amélioration de qualité ne concerne </w:t>
      </w:r>
      <w:r>
        <w:rPr>
          <w:b/>
          <w:bCs/>
        </w:rPr>
        <w:t xml:space="preserve">que</w:t>
      </w:r>
      <w:r>
        <w:t xml:space="preserve"> le nouveau contrat.</w:t>
      </w:r>
    </w:p>
    <w:p>
      <w:pPr>
        <w:spacing w:after="100"/>
      </w:pPr>
      <w:r>
        <w:rPr>
          <w:b/>
          <w:bCs/>
        </w:rPr>
        <w:t xml:space="preserve">2.d Prix du contrat avec un résultat de 10 % du prix</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PV – 1 412,91 = 0,10 PV ⇔ 0,90 PV = 1 412,91 ⇔ </w:t>
      </w:r>
      <w:r>
        <w:rPr>
          <w:b/>
          <w:bCs/>
        </w:rPr>
        <w:t xml:space="preserve">PV = 1 569,90 €</w:t>
      </w:r>
    </w:p>
    <w:p>
      <w:pPr>
        <w:spacing w:after="120"/>
      </w:pPr>
    </w:p>
    <w:p>
      <w:pPr>
        <w:pStyle w:val="Heading3"/>
        <w:keepNext/>
        <w:pBdr>
          <w:left w:val="single" w:color="7030A0" w:sz="24" w:space="6"/>
        </w:pBdr>
        <w:shd w:fill="E8DDF3" w:color="auto" w:val="clear"/>
        <w:spacing w:after="100" w:before="280"/>
      </w:pPr>
      <w:bookmarkStart w:name="cas43" w:id="43"/>
      <w:r>
        <w:rPr>
          <w:b/>
          <w:bCs/>
          <w:color w:val="7030A0"/>
          <w:sz w:val="25"/>
          <w:szCs w:val="25"/>
        </w:rPr>
        <w:t xml:space="preserve">📌 Cas ADRÉNALINE – coût marginal</w:t>
      </w:r>
      <w:bookmarkEnd w:id="43"/>
    </w:p>
    <w:p>
      <w:pPr>
        <w:spacing w:after="120" w:before="60"/>
      </w:pPr>
      <w:r>
        <w:rPr>
          <w:b/>
          <w:bCs/>
          <w:color w:val="FFFFFF"/>
          <w:sz w:val="20"/>
          <w:szCs w:val="20"/>
          <w:shd w:fill="7030A0" w:color="auto" w:val="clear"/>
        </w:rPr>
        <w:t xml:space="preserve"> 📄 Voir énoncé – ADRÉNALINE (parties 1 et 2) </w:t>
      </w:r>
    </w:p>
    <w:p>
      <w:pPr>
        <w:spacing w:after="100"/>
      </w:pPr>
      <w:r>
        <w:rPr>
          <w:b/>
          <w:bCs/>
        </w:rPr>
        <w:t xml:space="preserve">Partie 1 – 1. Bénéfice sur la première vente (5 Grands 8 « Hélico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4819"/>
        <w:gridCol w:w="2142"/>
      </w:tblGrid>
      <w:tr>
        <w:trPr>
          <w:cantSplit/>
          <w:tblHeader/>
        </w:trPr>
        <w:tc>
          <w:tcPr>
            <w:tcW w:type="dxa" w:w="2677"/>
            <w:tcBorders>
              <w:top w:val="single" w:color="BFBFBF" w:sz="4"/>
              <w:left w:val="single" w:color="BFBFBF" w:sz="4"/>
              <w:bottom w:val="single" w:color="BFBFBF" w:sz="4"/>
              <w:right w:val="single" w:color="BFBFBF" w:sz="4"/>
            </w:tcBorders>
            <w:shd w:fill="7030A0" w:color="auto" w:val="clear"/>
            <w:tcMar>
              <w:top w:type="dxa" w:w="50"/>
              <w:left w:type="dxa" w:w="90"/>
              <w:bottom w:type="dxa" w:w="50"/>
              <w:right w:type="dxa" w:w="90"/>
            </w:tcMar>
          </w:tcPr>
          <w:p>
            <w:pPr>
              <w:jc w:val="center"/>
            </w:pPr>
          </w:p>
        </w:tc>
        <w:tc>
          <w:tcPr>
            <w:tcW w:type="dxa" w:w="4819"/>
            <w:tcBorders>
              <w:top w:val="single" w:color="BFBFBF" w:sz="4"/>
              <w:left w:val="single" w:color="BFBFBF" w:sz="4"/>
              <w:bottom w:val="single" w:color="BFBFBF" w:sz="4"/>
              <w:right w:val="single" w:color="BFBFBF" w:sz="4"/>
            </w:tcBorders>
            <w:shd w:fill="7030A0" w:color="auto" w:val="clear"/>
            <w:tcMar>
              <w:top w:type="dxa" w:w="50"/>
              <w:left w:type="dxa" w:w="90"/>
              <w:bottom w:type="dxa" w:w="50"/>
              <w:right w:type="dxa" w:w="90"/>
            </w:tcMar>
          </w:tcPr>
          <w:p>
            <w:pPr>
              <w:jc w:val="center"/>
            </w:pPr>
            <w:r>
              <w:rPr>
                <w:b/>
                <w:bCs/>
                <w:color w:val="FFFFFF"/>
                <w:sz w:val="20"/>
                <w:szCs w:val="20"/>
              </w:rPr>
              <w:t xml:space="preserve">Calcul</w:t>
            </w:r>
          </w:p>
        </w:tc>
        <w:tc>
          <w:tcPr>
            <w:tcW w:type="dxa" w:w="2142"/>
            <w:tcBorders>
              <w:top w:val="single" w:color="BFBFBF" w:sz="4"/>
              <w:left w:val="single" w:color="BFBFBF" w:sz="4"/>
              <w:bottom w:val="single" w:color="BFBFBF" w:sz="4"/>
              <w:right w:val="single" w:color="BFBFBF" w:sz="4"/>
            </w:tcBorders>
            <w:shd w:fill="7030A0"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26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 × 9 856 400</w:t>
            </w:r>
          </w:p>
        </w:tc>
        <w:tc>
          <w:tcPr>
            <w:tcW w:type="dxa" w:w="21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49 282 000</w:t>
            </w:r>
          </w:p>
        </w:tc>
      </w:tr>
      <w:tr>
        <w:trPr>
          <w:cantSplit/>
          <w:tblHeader w:val="false"/>
        </w:trPr>
        <w:tc>
          <w:tcPr>
            <w:tcW w:type="dxa" w:w="26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Coûts variables</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 × 4 672 500</w:t>
            </w:r>
          </w:p>
        </w:tc>
        <w:tc>
          <w:tcPr>
            <w:tcW w:type="dxa" w:w="21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23 362 500</w:t>
            </w:r>
          </w:p>
        </w:tc>
      </w:tr>
      <w:tr>
        <w:trPr>
          <w:cantSplit/>
          <w:tblHeader w:val="false"/>
        </w:trPr>
        <w:tc>
          <w:tcPr>
            <w:tcW w:type="dxa" w:w="26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Coûts fixes</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21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16 063 100</w:t>
            </w:r>
          </w:p>
        </w:tc>
      </w:tr>
      <w:tr>
        <w:trPr>
          <w:cantSplit/>
          <w:tblHeader w:val="false"/>
        </w:trPr>
        <w:tc>
          <w:tcPr>
            <w:tcW w:type="dxa" w:w="2677"/>
            <w:tcBorders>
              <w:top w:val="single" w:color="BFBFBF" w:sz="4"/>
              <w:left w:val="single" w:color="BFBFBF" w:sz="4"/>
              <w:bottom w:val="single" w:color="BFBFBF" w:sz="4"/>
              <w:right w:val="single" w:color="BFBFBF" w:sz="4"/>
            </w:tcBorders>
            <w:shd w:fill="E8DDF3" w:color="auto" w:val="clear"/>
            <w:tcMar>
              <w:top w:type="dxa" w:w="50"/>
              <w:left w:type="dxa" w:w="90"/>
              <w:bottom w:type="dxa" w:w="50"/>
              <w:right w:type="dxa" w:w="90"/>
            </w:tcMar>
          </w:tcPr>
          <w:p>
            <w:pPr>
              <w:jc w:val="left"/>
            </w:pPr>
            <w:r>
              <w:rPr>
                <w:b/>
                <w:bCs/>
                <w:sz w:val="20"/>
                <w:szCs w:val="20"/>
              </w:rPr>
              <w:t xml:space="preserve">Résultat</w:t>
            </w:r>
          </w:p>
        </w:tc>
        <w:tc>
          <w:tcPr>
            <w:tcW w:type="dxa" w:w="4819"/>
            <w:tcBorders>
              <w:top w:val="single" w:color="BFBFBF" w:sz="4"/>
              <w:left w:val="single" w:color="BFBFBF" w:sz="4"/>
              <w:bottom w:val="single" w:color="BFBFBF" w:sz="4"/>
              <w:right w:val="single" w:color="BFBFBF" w:sz="4"/>
            </w:tcBorders>
            <w:shd w:fill="E8DDF3" w:color="auto" w:val="clear"/>
            <w:tcMar>
              <w:top w:type="dxa" w:w="50"/>
              <w:left w:type="dxa" w:w="90"/>
              <w:bottom w:type="dxa" w:w="50"/>
              <w:right w:type="dxa" w:w="90"/>
            </w:tcMar>
          </w:tcPr>
          <w:p>
            <w:pPr>
              <w:jc w:val="right"/>
            </w:pPr>
            <w:r>
              <w:rPr>
                <w:b/>
                <w:bCs/>
                <w:sz w:val="20"/>
                <w:szCs w:val="20"/>
              </w:rPr>
              <w:t xml:space="preserve">49 282 000 – 23 362 500 – 16 063 100</w:t>
            </w:r>
          </w:p>
        </w:tc>
        <w:tc>
          <w:tcPr>
            <w:tcW w:type="dxa" w:w="2142"/>
            <w:tcBorders>
              <w:top w:val="single" w:color="BFBFBF" w:sz="4"/>
              <w:left w:val="single" w:color="BFBFBF" w:sz="4"/>
              <w:bottom w:val="single" w:color="BFBFBF" w:sz="4"/>
              <w:right w:val="single" w:color="BFBFBF" w:sz="4"/>
            </w:tcBorders>
            <w:shd w:fill="E8DDF3" w:color="auto" w:val="clear"/>
            <w:tcMar>
              <w:top w:type="dxa" w:w="50"/>
              <w:left w:type="dxa" w:w="90"/>
              <w:bottom w:type="dxa" w:w="50"/>
              <w:right w:type="dxa" w:w="90"/>
            </w:tcMar>
          </w:tcPr>
          <w:p>
            <w:pPr>
              <w:jc w:val="right"/>
            </w:pPr>
            <w:r>
              <w:rPr>
                <w:b/>
                <w:bCs/>
                <w:sz w:val="20"/>
                <w:szCs w:val="20"/>
              </w:rPr>
              <w:t xml:space="preserve">9 856 400</w:t>
            </w:r>
          </w:p>
        </w:tc>
      </w:tr>
      <w:tr>
        <w:trPr>
          <w:cantSplit/>
          <w:tblHeader w:val="false"/>
        </w:trPr>
        <w:tc>
          <w:tcPr>
            <w:tcW w:type="dxa" w:w="26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Marge bénéficiaire</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9 856 400 / 49 282 000</w:t>
            </w:r>
          </w:p>
        </w:tc>
        <w:tc>
          <w:tcPr>
            <w:tcW w:type="dxa" w:w="21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b/>
                <w:bCs/>
                <w:sz w:val="20"/>
                <w:szCs w:val="20"/>
              </w:rPr>
              <w:t xml:space="preserve">20 %</w:t>
            </w:r>
          </w:p>
        </w:tc>
      </w:tr>
    </w:tbl>
    <w:p>
      <w:pPr>
        <w:spacing w:after="120"/>
      </w:pPr>
    </w:p>
    <w:p>
      <w:pPr>
        <w:spacing w:after="100"/>
      </w:pPr>
      <w:r>
        <w:rPr>
          <w:b/>
          <w:bCs/>
        </w:rPr>
        <w:t xml:space="preserve">2. Coût de référence</w:t>
      </w:r>
      <w:r>
        <w:t xml:space="preserve"> : c'est le </w:t>
      </w:r>
      <w:r>
        <w:rPr>
          <w:b/>
          <w:bCs/>
        </w:rPr>
        <w:t xml:space="preserve">coût marginal</w:t>
      </w:r>
      <w:r>
        <w:t xml:space="preserve">. À court terme (capacité suffisante), il est égal au </w:t>
      </w:r>
      <w:r>
        <w:rPr>
          <w:b/>
          <w:bCs/>
        </w:rPr>
        <w:t xml:space="preserve">coût variable unitaire</w:t>
      </w:r>
      <w:r>
        <w:t xml:space="preserve">, ici majoré de 12 % (intérimaires et approvisionnement).</w:t>
      </w:r>
    </w:p>
    <w:p>
      <w:pPr>
        <w:spacing w:after="100"/>
      </w:pPr>
      <w:r>
        <w:rPr>
          <w:b/>
          <w:bCs/>
        </w:rPr>
        <w:t xml:space="preserve">3. Prix des 2 modèles supplémentaires (marge de 20 %)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supplémentaire des 2 Hélicos = 2 × 4 672 500 × 1,12 = </w:t>
      </w:r>
      <w:r>
        <w:rPr>
          <w:b/>
          <w:bCs/>
        </w:rPr>
        <w:t xml:space="preserve">10 466 400 €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 10 466 400 = 0,20 CA ⇔ CA = 10 466 400 / 0,80 = </w:t>
      </w:r>
      <w:r>
        <w:rPr>
          <w:b/>
          <w:bCs/>
        </w:rPr>
        <w:t xml:space="preserve">13 083 000 €</w:t>
      </w:r>
      <w:r>
        <w:t xml:space="preserve">, soit </w:t>
      </w:r>
      <w:r>
        <w:rPr>
          <w:b/>
          <w:bCs/>
        </w:rPr>
        <w:t xml:space="preserve">6 541 500 € par Hélico</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Résultat supplémentaire = 13 083 000 – 10 466 400 = </w:t>
      </w:r>
      <w:r>
        <w:rPr>
          <w:b/>
          <w:bCs/>
        </w:rPr>
        <w:t xml:space="preserve">2 616 600 €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Nouveau bénéfice de la société = 9 856 400 + 2 616 600 = </w:t>
      </w:r>
      <w:r>
        <w:rPr>
          <w:b/>
          <w:bCs/>
        </w:rPr>
        <w:t xml:space="preserve">12 473 000 €</w:t>
      </w:r>
    </w:p>
    <w:p>
      <w:pPr>
        <w:spacing w:after="120"/>
      </w:pPr>
    </w:p>
    <w:p>
      <w:pPr>
        <w:spacing w:after="100"/>
      </w:pPr>
      <w:r>
        <w:rPr>
          <w:b/>
          <w:bCs/>
        </w:rPr>
        <w:t xml:space="preserve">Partie 2 – 12 unités supplémentaires, marge de 10 %</w:t>
      </w:r>
      <w:r>
        <w:t xml:space="preserve"> (capacité limitée à 10 modèles : 7 déjà utilisés → 3 en interne, 9 en sous-traitance)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1. Prix de vente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3 premières unités</w:t>
      </w:r>
      <w:r>
        <w:t xml:space="preserve"> (interne) : coût = 4 672 500 × 1,12 = 5 233 200 €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PV = 5 233 200 / 0,90 = </w:t>
      </w:r>
      <w:r>
        <w:rPr>
          <w:b/>
          <w:bCs/>
        </w:rPr>
        <w:t xml:space="preserve">5 814 667 €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9 unités sous-traitées</w:t>
      </w:r>
      <w:r>
        <w:t xml:space="preserve"> : CV = 9 × 4 672 500 × 1,30 = 54 668 250 ; CF supplémentaires = 6 428 430</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total = 61 096 680 € → CA = 61 096 680 / 0,90 = 67 885 200 €, soit </w:t>
      </w:r>
      <w:r>
        <w:rPr>
          <w:b/>
          <w:bCs/>
        </w:rPr>
        <w:t xml:space="preserve">7 542 800 € par unité</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Prix de vente moyen</w:t>
      </w:r>
      <w:r>
        <w:t xml:space="preserve"> = (67 885 200 + 3 × 5 814 667) / 12 = 85 329 200 / 12 = </w:t>
      </w:r>
      <w:r>
        <w:rPr>
          <w:b/>
          <w:bCs/>
        </w:rPr>
        <w:t xml:space="preserve">7 110 767 €</w:t>
      </w:r>
    </w:p>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2. Résultat de la commande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3 premières unités : (5 814 667 – 5 233 200) × 3 = </w:t>
      </w:r>
      <w:r>
        <w:rPr>
          <w:b/>
          <w:bCs/>
        </w:rPr>
        <w:t xml:space="preserve">1 744 400 €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9 autres : 67 885 200 – 61 096 680 = </w:t>
      </w:r>
      <w:r>
        <w:rPr>
          <w:b/>
          <w:bCs/>
        </w:rPr>
        <w:t xml:space="preserve">6 788 520 €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Total = </w:t>
      </w:r>
      <w:r>
        <w:rPr>
          <w:b/>
          <w:bCs/>
        </w:rPr>
        <w:t xml:space="preserve">8 532 920 €</w:t>
      </w:r>
    </w:p>
    <w:p>
      <w:pPr>
        <w:spacing w:after="120"/>
      </w:pPr>
    </w:p>
    <w:p>
      <w:pPr>
        <w:pStyle w:val="Heading3"/>
        <w:keepNext/>
        <w:pBdr>
          <w:left w:val="single" w:color="7030A0" w:sz="24" w:space="6"/>
        </w:pBdr>
        <w:shd w:fill="E8DDF3" w:color="auto" w:val="clear"/>
        <w:spacing w:after="100" w:before="280"/>
      </w:pPr>
      <w:bookmarkStart w:name="cas44" w:id="44"/>
      <w:r>
        <w:rPr>
          <w:b/>
          <w:bCs/>
          <w:color w:val="7030A0"/>
          <w:sz w:val="25"/>
          <w:szCs w:val="25"/>
        </w:rPr>
        <w:t xml:space="preserve">📌 Cas HOUBLON – politique de prix différentiels</w:t>
      </w:r>
      <w:bookmarkEnd w:id="44"/>
    </w:p>
    <w:p>
      <w:pPr>
        <w:spacing w:after="120" w:before="60"/>
      </w:pPr>
      <w:r>
        <w:rPr>
          <w:b/>
          <w:bCs/>
          <w:color w:val="FFFFFF"/>
          <w:sz w:val="20"/>
          <w:szCs w:val="20"/>
          <w:shd w:fill="7030A0" w:color="auto" w:val="clear"/>
        </w:rPr>
        <w:t xml:space="preserve"> 📄 Voir énoncé – HOUBLON </w:t>
      </w:r>
    </w:p>
    <w:p>
      <w:pPr>
        <w:spacing w:after="100"/>
      </w:pPr>
      <w:r>
        <w:rPr>
          <w:b/>
          <w:bCs/>
        </w:rPr>
        <w:t xml:space="preserve">1. Bénéfice courant de la bière Grand Houblon</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 400 000 hl × 110 = 44 000 000 € ; CV = 400 000 × 84,50 = 33 800 000 € ; CF = 1 400 000 €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Bénéfice courant = 44 000 000 – 33 800 000 – 1 400 000 = </w:t>
      </w:r>
      <w:r>
        <w:rPr>
          <w:b/>
          <w:bCs/>
        </w:rPr>
        <w:t xml:space="preserve">8 800 000 €</w:t>
      </w:r>
    </w:p>
    <w:p>
      <w:pPr>
        <w:spacing w:after="120"/>
      </w:pPr>
    </w:p>
    <w:p>
      <w:pPr>
        <w:spacing w:after="100"/>
      </w:pPr>
      <w:r>
        <w:rPr>
          <w:b/>
          <w:bCs/>
        </w:rPr>
        <w:t xml:space="preserve">2. Coût de référence</w:t>
      </w:r>
      <w:r>
        <w:t xml:space="preserve"> : le </w:t>
      </w:r>
      <w:r>
        <w:rPr>
          <w:b/>
          <w:bCs/>
        </w:rPr>
        <w:t xml:space="preserve">coût marginal</w:t>
      </w:r>
      <w:r>
        <w:t xml:space="preserve"> généré par la commande, c'est-à-dire le coût supplémentaire qu'elle provoque. Pour accepter la commande, le prix doit être supérieur à ce coût marginal (et même assurer le </w:t>
      </w:r>
      <w:r>
        <w:rPr>
          <w:b/>
          <w:bCs/>
        </w:rPr>
        <w:t xml:space="preserve">même taux de rentabilité</w:t>
      </w:r>
      <w:r>
        <w:t xml:space="preserve"> que la production courante, selon le souhait du PDG).</w:t>
      </w:r>
    </w:p>
    <w:p>
      <w:pPr>
        <w:spacing w:after="100"/>
      </w:pPr>
      <w:r>
        <w:rPr>
          <w:b/>
          <w:bCs/>
        </w:rPr>
        <w:t xml:space="preserve">3. Prix pour la commande de 30 000 hl et nouveau bénéfice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Cm par hectolitre : CV = 84,50 × 1,12 = 94,64 € ; CF supplémentaires = 0 → </w:t>
      </w:r>
      <w:r>
        <w:rPr>
          <w:b/>
          <w:bCs/>
        </w:rPr>
        <w:t xml:space="preserve">Cm = 94,64 €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Taux de rentabilité souhaité = 8 800 000 / 44 000 000 = </w:t>
      </w:r>
      <w:r>
        <w:rPr>
          <w:b/>
          <w:bCs/>
        </w:rPr>
        <w:t xml:space="preserve">20 %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PV – 94,64 = 0,20 PV ⇔ 0,80 PV = 94,64 ⇔ </w:t>
      </w:r>
      <w:r>
        <w:rPr>
          <w:b/>
          <w:bCs/>
        </w:rPr>
        <w:t xml:space="preserve">PV = 118,30 €/hl</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Nouveau bénéfice = 8 800 000 + (118,30 – 94,64) × 30 000 = 8 800 000 + 709 800 = </w:t>
      </w:r>
      <w:r>
        <w:rPr>
          <w:b/>
          <w:bCs/>
        </w:rPr>
        <w:t xml:space="preserve">9 509 800 €</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écrivaient « 8 800 000 / 4 400 000 = 20 % » : il faut lire </w:t>
      </w:r>
      <w:r>
        <w:rPr>
          <w:b/>
          <w:bCs/>
        </w:rPr>
        <w:t xml:space="preserve">44 000 000</w:t>
      </w:r>
      <w:r>
        <w:t xml:space="preserve">. Le résultat (20 %) est juste.</w:t>
      </w:r>
    </w:p>
    <w:p>
      <w:pPr>
        <w:spacing w:after="120"/>
      </w:pPr>
    </w:p>
    <w:p>
      <w:pPr>
        <w:spacing w:after="100"/>
      </w:pPr>
      <w:r>
        <w:rPr>
          <w:b/>
          <w:bCs/>
        </w:rPr>
        <w:t xml:space="preserve">4. Pourquoi ne pas accepter 10 000 hl de plus au même prix ?</w:t>
      </w:r>
      <w:r>
        <w:t xml:space="preserve"> La capacité ne permet d'absorber que 35 000 hl supplémentaires : la commande dépasse la capacité. L'entreprise devra </w:t>
      </w:r>
      <w:r>
        <w:rPr>
          <w:b/>
          <w:bCs/>
        </w:rPr>
        <w:t xml:space="preserve">sous-traiter</w:t>
      </w:r>
      <w:r>
        <w:t xml:space="preserve"> (hausse des charges variables) ou </w:t>
      </w:r>
      <w:r>
        <w:rPr>
          <w:b/>
          <w:bCs/>
        </w:rPr>
        <w:t xml:space="preserve">investir</w:t>
      </w:r>
      <w:r>
        <w:t xml:space="preserve"> (hausse des charges fixes) → nouveau coût marginal, donc nouveau prix.</w:t>
      </w:r>
    </w:p>
    <w:p>
      <w:pPr>
        <w:spacing w:after="100"/>
      </w:pPr>
      <w:r>
        <w:rPr>
          <w:b/>
          <w:bCs/>
        </w:rPr>
        <w:t xml:space="preserve">5. Coût de revient des 10 000 hl selon les deux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497"/>
        <w:gridCol w:w="3214"/>
      </w:tblGrid>
      <w:tr>
        <w:trPr>
          <w:cantSplit/>
          <w:tblHeader/>
        </w:trPr>
        <w:tc>
          <w:tcPr>
            <w:tcW w:type="dxa" w:w="1927"/>
            <w:tcBorders>
              <w:top w:val="single" w:color="BFBFBF" w:sz="4"/>
              <w:left w:val="single" w:color="BFBFBF" w:sz="4"/>
              <w:bottom w:val="single" w:color="BFBFBF" w:sz="4"/>
              <w:right w:val="single" w:color="BFBFBF" w:sz="4"/>
            </w:tcBorders>
            <w:shd w:fill="7030A0" w:color="auto" w:val="clear"/>
            <w:tcMar>
              <w:top w:type="dxa" w:w="50"/>
              <w:left w:type="dxa" w:w="90"/>
              <w:bottom w:type="dxa" w:w="50"/>
              <w:right w:type="dxa" w:w="90"/>
            </w:tcMar>
          </w:tcPr>
          <w:p>
            <w:pPr>
              <w:jc w:val="center"/>
            </w:pPr>
          </w:p>
        </w:tc>
        <w:tc>
          <w:tcPr>
            <w:tcW w:type="dxa" w:w="4497"/>
            <w:tcBorders>
              <w:top w:val="single" w:color="BFBFBF" w:sz="4"/>
              <w:left w:val="single" w:color="BFBFBF" w:sz="4"/>
              <w:bottom w:val="single" w:color="BFBFBF" w:sz="4"/>
              <w:right w:val="single" w:color="BFBFBF" w:sz="4"/>
            </w:tcBorders>
            <w:shd w:fill="7030A0" w:color="auto" w:val="clear"/>
            <w:tcMar>
              <w:top w:type="dxa" w:w="50"/>
              <w:left w:type="dxa" w:w="90"/>
              <w:bottom w:type="dxa" w:w="50"/>
              <w:right w:type="dxa" w:w="90"/>
            </w:tcMar>
          </w:tcPr>
          <w:p>
            <w:pPr>
              <w:jc w:val="center"/>
            </w:pPr>
            <w:r>
              <w:rPr>
                <w:b/>
                <w:bCs/>
                <w:color w:val="FFFFFF"/>
                <w:sz w:val="20"/>
                <w:szCs w:val="20"/>
              </w:rPr>
              <w:t xml:space="preserve">1re option : sous-traitance</w:t>
            </w:r>
          </w:p>
        </w:tc>
        <w:tc>
          <w:tcPr>
            <w:tcW w:type="dxa" w:w="3214"/>
            <w:tcBorders>
              <w:top w:val="single" w:color="BFBFBF" w:sz="4"/>
              <w:left w:val="single" w:color="BFBFBF" w:sz="4"/>
              <w:bottom w:val="single" w:color="BFBFBF" w:sz="4"/>
              <w:right w:val="single" w:color="BFBFBF" w:sz="4"/>
            </w:tcBorders>
            <w:shd w:fill="7030A0" w:color="auto" w:val="clear"/>
            <w:tcMar>
              <w:top w:type="dxa" w:w="50"/>
              <w:left w:type="dxa" w:w="90"/>
              <w:bottom w:type="dxa" w:w="50"/>
              <w:right w:type="dxa" w:w="90"/>
            </w:tcMar>
          </w:tcPr>
          <w:p>
            <w:pPr>
              <w:jc w:val="center"/>
            </w:pPr>
            <w:r>
              <w:rPr>
                <w:b/>
                <w:bCs/>
                <w:color w:val="FFFFFF"/>
                <w:sz w:val="20"/>
                <w:szCs w:val="20"/>
              </w:rPr>
              <w:t xml:space="preserve">2e option : investissement</w:t>
            </w:r>
          </w:p>
        </w:tc>
      </w:tr>
      <w:tr>
        <w:trPr>
          <w:cantSplit/>
          <w:tblHeader w:val="false"/>
        </w:trPr>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Coûts variables</w:t>
            </w:r>
          </w:p>
        </w:tc>
        <w:tc>
          <w:tcPr>
            <w:tcW w:type="dxa" w:w="44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5 000 × 84,50 × 1,12 + 5 000 × 84,50 × 1,30 = 473 200 + 549 250 = 1 022 450</w:t>
            </w:r>
          </w:p>
        </w:tc>
        <w:tc>
          <w:tcPr>
            <w:tcW w:type="dxa" w:w="32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10 000 × 84,50 × 1,12 = 946 400</w:t>
            </w:r>
          </w:p>
        </w:tc>
      </w:tr>
      <w:tr>
        <w:trPr>
          <w:cantSplit/>
          <w:tblHeader w:val="false"/>
        </w:trPr>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Coûts fixes</w:t>
            </w:r>
          </w:p>
        </w:tc>
        <w:tc>
          <w:tcPr>
            <w:tcW w:type="dxa" w:w="449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w:t>
            </w:r>
          </w:p>
        </w:tc>
        <w:tc>
          <w:tcPr>
            <w:tcW w:type="dxa" w:w="32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250 000</w:t>
            </w:r>
          </w:p>
        </w:tc>
      </w:tr>
      <w:tr>
        <w:trPr>
          <w:cantSplit/>
          <w:tblHeader w:val="false"/>
        </w:trPr>
        <w:tc>
          <w:tcPr>
            <w:tcW w:type="dxa" w:w="1927"/>
            <w:tcBorders>
              <w:top w:val="single" w:color="BFBFBF" w:sz="4"/>
              <w:left w:val="single" w:color="BFBFBF" w:sz="4"/>
              <w:bottom w:val="single" w:color="BFBFBF" w:sz="4"/>
              <w:right w:val="single" w:color="BFBFBF" w:sz="4"/>
            </w:tcBorders>
            <w:shd w:fill="E8DDF3" w:color="auto" w:val="clear"/>
            <w:tcMar>
              <w:top w:type="dxa" w:w="50"/>
              <w:left w:type="dxa" w:w="90"/>
              <w:bottom w:type="dxa" w:w="50"/>
              <w:right w:type="dxa" w:w="90"/>
            </w:tcMar>
          </w:tcPr>
          <w:p>
            <w:pPr>
              <w:jc w:val="left"/>
            </w:pPr>
            <w:r>
              <w:rPr>
                <w:b/>
                <w:bCs/>
                <w:sz w:val="20"/>
                <w:szCs w:val="20"/>
              </w:rPr>
              <w:t xml:space="preserve">Coût de revient</w:t>
            </w:r>
          </w:p>
        </w:tc>
        <w:tc>
          <w:tcPr>
            <w:tcW w:type="dxa" w:w="4497"/>
            <w:tcBorders>
              <w:top w:val="single" w:color="BFBFBF" w:sz="4"/>
              <w:left w:val="single" w:color="BFBFBF" w:sz="4"/>
              <w:bottom w:val="single" w:color="BFBFBF" w:sz="4"/>
              <w:right w:val="single" w:color="BFBFBF" w:sz="4"/>
            </w:tcBorders>
            <w:shd w:fill="E8DDF3" w:color="auto" w:val="clear"/>
            <w:tcMar>
              <w:top w:type="dxa" w:w="50"/>
              <w:left w:type="dxa" w:w="90"/>
              <w:bottom w:type="dxa" w:w="50"/>
              <w:right w:type="dxa" w:w="90"/>
            </w:tcMar>
          </w:tcPr>
          <w:p>
            <w:pPr>
              <w:jc w:val="center"/>
            </w:pPr>
            <w:r>
              <w:rPr>
                <w:b/>
                <w:bCs/>
                <w:sz w:val="20"/>
                <w:szCs w:val="20"/>
              </w:rPr>
              <w:t xml:space="preserve">1 022 450</w:t>
            </w:r>
          </w:p>
        </w:tc>
        <w:tc>
          <w:tcPr>
            <w:tcW w:type="dxa" w:w="3214"/>
            <w:tcBorders>
              <w:top w:val="single" w:color="BFBFBF" w:sz="4"/>
              <w:left w:val="single" w:color="BFBFBF" w:sz="4"/>
              <w:bottom w:val="single" w:color="BFBFBF" w:sz="4"/>
              <w:right w:val="single" w:color="BFBFBF" w:sz="4"/>
            </w:tcBorders>
            <w:shd w:fill="E8DDF3" w:color="auto" w:val="clear"/>
            <w:tcMar>
              <w:top w:type="dxa" w:w="50"/>
              <w:left w:type="dxa" w:w="90"/>
              <w:bottom w:type="dxa" w:w="50"/>
              <w:right w:type="dxa" w:w="90"/>
            </w:tcMar>
          </w:tcPr>
          <w:p>
            <w:pPr>
              <w:jc w:val="center"/>
            </w:pPr>
            <w:r>
              <w:rPr>
                <w:b/>
                <w:bCs/>
                <w:sz w:val="20"/>
                <w:szCs w:val="20"/>
              </w:rPr>
              <w:t xml:space="preserve">1 196 400</w:t>
            </w:r>
          </w:p>
        </w:tc>
      </w:tr>
    </w:tbl>
    <w:p>
      <w:pPr>
        <w:spacing w:after="120"/>
      </w:pPr>
    </w:p>
    <w:p>
      <w:pPr>
        <w:spacing w:after="100"/>
      </w:pPr>
      <w:r>
        <w:t xml:space="preserve">→ La </w:t>
      </w:r>
      <w:r>
        <w:rPr>
          <w:b/>
          <w:bCs/>
        </w:rPr>
        <w:t xml:space="preserve">sous-traitance</w:t>
      </w:r>
      <w:r>
        <w:t xml:space="preserve"> est la meilleure option (coût le plus faible).</w:t>
      </w:r>
    </w:p>
    <w:p>
      <w:pPr>
        <w:spacing w:after="100"/>
      </w:pPr>
      <w:r>
        <w:rPr>
          <w:b/>
          <w:bCs/>
        </w:rPr>
        <w:t xml:space="preserve">6. Prix proposé</w:t>
      </w:r>
      <w:r>
        <w:t xml:space="preserve"> : (1 022 450 / 10 000) / 0,80 = 102,245 / 0,80 = </w:t>
      </w:r>
      <w:r>
        <w:rPr>
          <w:b/>
          <w:bCs/>
        </w:rPr>
        <w:t xml:space="preserve">127,81 €/hl</w:t>
      </w:r>
      <w:r>
        <w:t xml:space="preserve">. Il est supérieur au prix de la question 3 car le coût variable unitaire a augmenté (de 94,64 à 102,25 €).</w:t>
      </w:r>
    </w:p>
    <w:p>
      <w:pPr>
        <w:spacing w:after="100"/>
      </w:pPr>
      <w:r>
        <w:rPr>
          <w:b/>
          <w:bCs/>
        </w:rPr>
        <w:t xml:space="preserve">7. Réaction probable de l'organisateur</w:t>
      </w:r>
      <w:r>
        <w:t xml:space="preserve"> : il risque d'être surpris et mécontent, le prix étant plus élevé que pour la première commande. Commercialement, il semble difficile d'augmenter le prix de la deuxième commande.</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Option 1 : les notes écrivaient « 5 000 × 8 450 × 1,30 » : il faut lire </w:t>
      </w:r>
      <w:r>
        <w:rPr>
          <w:b/>
          <w:bCs/>
        </w:rPr>
        <w:t xml:space="preserve">84,50</w:t>
      </w:r>
      <w:r>
        <w:t xml:space="preserve">.</w:t>
      </w:r>
    </w:p>
    <w:p>
      <w:pPr>
        <w:spacing w:after="120"/>
      </w:pPr>
    </w:p>
    <w:p>
      <w:pPr>
        <w:pStyle w:val="Heading3"/>
        <w:keepNext/>
        <w:pBdr>
          <w:left w:val="single" w:color="7030A0" w:sz="24" w:space="6"/>
        </w:pBdr>
        <w:shd w:fill="E8DDF3" w:color="auto" w:val="clear"/>
        <w:spacing w:after="100" w:before="280"/>
      </w:pPr>
      <w:bookmarkStart w:name="cas45" w:id="45"/>
      <w:r>
        <w:rPr>
          <w:b/>
          <w:bCs/>
          <w:color w:val="7030A0"/>
          <w:sz w:val="25"/>
          <w:szCs w:val="25"/>
        </w:rPr>
        <w:t xml:space="preserve">📌 Cas SONG – calcul des coûts et seuil de rentabilité</w:t>
      </w:r>
      <w:bookmarkEnd w:id="45"/>
    </w:p>
    <w:p>
      <w:pPr>
        <w:spacing w:after="120" w:before="60"/>
      </w:pPr>
      <w:r>
        <w:rPr>
          <w:b/>
          <w:bCs/>
          <w:color w:val="FFFFFF"/>
          <w:sz w:val="20"/>
          <w:szCs w:val="20"/>
          <w:shd w:fill="7030A0" w:color="auto" w:val="clear"/>
        </w:rPr>
        <w:t xml:space="preserve"> 📄 Voir énoncé – SONG (annexes 1 et 2) </w:t>
      </w:r>
    </w:p>
    <w:p>
      <w:pPr>
        <w:spacing w:after="100"/>
      </w:pPr>
      <w:r>
        <w:t xml:space="preserve">Cas commencé en cours (calcul du coût des matières de la bibliothèque) et </w:t>
      </w:r>
      <w:r>
        <w:rPr>
          <w:b/>
          <w:bCs/>
        </w:rPr>
        <w:t xml:space="preserve">à terminer</w:t>
      </w:r>
      <w:r>
        <w:t xml:space="preserve"> : voir la photo de la correction partielle.</w:t>
      </w:r>
    </w:p>
    <w:p>
      <w:pPr>
        <w:spacing w:after="120" w:before="60"/>
      </w:pPr>
      <w:r>
        <w:rPr>
          <w:b/>
          <w:bCs/>
          <w:color w:val="FFFFFF"/>
          <w:sz w:val="20"/>
          <w:szCs w:val="20"/>
          <w:shd w:fill="217346" w:color="auto" w:val="clear"/>
        </w:rPr>
        <w:t xml:space="preserve"> 📊 Voir Excel – SONG </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120" w:right="120"/>
      </w:pPr>
      <w:r>
        <w:rPr>
          <w:b/>
          <w:bCs/>
          <w:color w:val="548235"/>
          <w:sz w:val="23"/>
          <w:szCs w:val="23"/>
        </w:rPr>
        <w:t xml:space="preserve">★ POINTS À RETENIR</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rPr>
          <w:b/>
          <w:bCs/>
        </w:rPr>
        <w:t xml:space="preserve">Cm(n) = CT(n) – CT(n – 1)</w:t>
      </w:r>
      <w:r>
        <w:t xml:space="preserve"> : c'est le coût de la dernière unité (ou de la dernière série).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Dans la limite de la capacité : </w:t>
      </w:r>
      <w:r>
        <w:rPr>
          <w:b/>
          <w:bCs/>
        </w:rPr>
        <w:t xml:space="preserve">Cm = coût variable</w:t>
      </w:r>
      <w:r>
        <w:t xml:space="preserve"> ; au-delà, on ajoute les nouvelles charges (sous-traitance, investissement).</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Une commande est acceptable si </w:t>
      </w:r>
      <w:r>
        <w:rPr>
          <w:b/>
          <w:bCs/>
        </w:rPr>
        <w:t xml:space="preserve">PV &gt; Cm</w:t>
      </w:r>
      <w:r>
        <w:t xml:space="preserve">, même si PV &lt; coût complet, à condition que le </w:t>
      </w:r>
      <w:r>
        <w:rPr>
          <w:b/>
          <w:bCs/>
        </w:rPr>
        <w:t xml:space="preserve">SR soit déjà atteint</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Prix avec un taux de marge t sur le prix : </w:t>
      </w:r>
      <w:r>
        <w:rPr>
          <w:b/>
          <w:bCs/>
        </w:rPr>
        <w:t xml:space="preserve">PV = Cm / (1 – t)</w:t>
      </w:r>
      <w:r>
        <w:t xml:space="preserve">.</w:t>
      </w:r>
    </w:p>
    <w:p>
      <w:pPr>
        <w:keepNext w:val="false"/>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Applications : séries à prix réduit, choix de la sous-traitance, tarifs différenciés.</w:t>
      </w:r>
    </w:p>
    <w:p>
      <w:pPr>
        <w:spacing w:after="120"/>
      </w:pPr>
    </w:p>
    <w:p>
      <w:pPr>
        <w:pStyle w:val="Heading1"/>
        <w:pageBreakBefore/>
        <w:pBdr>
          <w:left w:val="single" w:color="00897B" w:sz="48" w:space="8"/>
        </w:pBdr>
        <w:shd w:fill="00897B" w:color="auto" w:val="clear"/>
        <w:spacing w:after="240" w:before="0"/>
        <w:ind w:left="0"/>
      </w:pPr>
      <w:bookmarkStart w:name="ch46" w:id="46"/>
      <w:r>
        <w:rPr>
          <w:b/>
          <w:bCs/>
          <w:color w:val="FFFFFF"/>
          <w:sz w:val="36"/>
          <w:szCs w:val="36"/>
        </w:rPr>
        <w:t xml:space="preserve">Chapitre 4 – Les coûts partiels</w:t>
      </w:r>
      <w:bookmarkEnd w:id="46"/>
    </w:p>
    <w:p>
      <w:pPr>
        <w:pStyle w:val="Heading2"/>
        <w:keepNext/>
        <w:pBdr>
          <w:bottom w:val="single" w:color="00897B" w:sz="8" w:space="2"/>
        </w:pBdr>
        <w:spacing w:after="120" w:before="300"/>
      </w:pPr>
      <w:bookmarkStart w:name="s47" w:id="47"/>
      <w:r>
        <w:rPr>
          <w:b/>
          <w:bCs/>
          <w:color w:val="00897B"/>
          <w:sz w:val="30"/>
          <w:szCs w:val="30"/>
        </w:rPr>
        <w:t xml:space="preserve">1. Pourquoi des coûts partiels ?</w:t>
      </w:r>
      <w:bookmarkEnd w:id="47"/>
    </w:p>
    <w:p>
      <w:pPr>
        <w:spacing w:after="100"/>
      </w:pPr>
      <w:r>
        <w:t xml:space="preserve">La distinction charges directes / charges indirectes est à la base de la méthode des coûts complets. Elle oblige à des </w:t>
      </w:r>
      <w:r>
        <w:rPr>
          <w:b/>
          <w:bCs/>
        </w:rPr>
        <w:t xml:space="preserve">choix de répartition forcément contestables</w:t>
      </w:r>
      <w:r>
        <w:t xml:space="preserve"> : certaines charges sont difficilement affectables.</w:t>
      </w:r>
    </w:p>
    <w:p>
      <w:pPr>
        <w:spacing w:after="100"/>
      </w:pPr>
      <w:r>
        <w:t xml:space="preserve">Certains gestionnaires renoncent donc à toute répartition et privilégient une </w:t>
      </w:r>
      <w:r>
        <w:rPr>
          <w:b/>
          <w:bCs/>
        </w:rPr>
        <w:t xml:space="preserve">approche par coûts partiels</w:t>
      </w:r>
      <w:r>
        <w:t xml:space="preserve"> : la performance de chaque produit est analysée par la </w:t>
      </w:r>
      <w:r>
        <w:rPr>
          <w:b/>
          <w:bCs/>
        </w:rPr>
        <w:t xml:space="preserve">marge</w:t>
      </w:r>
      <w:r>
        <w:t xml:space="preserve"> qu'il dégage, marge qui contribue à la </w:t>
      </w:r>
      <w:r>
        <w:rPr>
          <w:b/>
          <w:bCs/>
        </w:rPr>
        <w:t xml:space="preserve">couverture des charges non réparties</w:t>
      </w:r>
      <w:r>
        <w:t xml:space="preserve">. On n'intègre aux coûts que la </w:t>
      </w:r>
      <w:r>
        <w:rPr>
          <w:b/>
          <w:bCs/>
        </w:rPr>
        <w:t xml:space="preserve">partie jugée pertinente</w:t>
      </w:r>
      <w:r>
        <w:t xml:space="preserve"> des charges de l'entreprise.</w:t>
      </w:r>
    </w:p>
    <w:p>
      <w:pPr>
        <w:spacing w:after="100"/>
      </w:pPr>
      <w:r>
        <w:t xml:space="preserve">L'ensemble des charges incorporables peut être représenté ainsi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4"/>
        <w:gridCol w:w="3615"/>
      </w:tblGrid>
      <w:tr>
        <w:trPr>
          <w:cantSplit/>
          <w:tblHeader/>
        </w:trPr>
        <w:tc>
          <w:tcPr>
            <w:tcW w:type="dxa" w:w="2409"/>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p>
        </w:tc>
        <w:tc>
          <w:tcPr>
            <w:tcW w:type="dxa" w:w="3614"/>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Charges directes</w:t>
            </w:r>
          </w:p>
        </w:tc>
        <w:tc>
          <w:tcPr>
            <w:tcW w:type="dxa" w:w="3615"/>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Charges indirectes</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bCs/>
                <w:sz w:val="20"/>
                <w:szCs w:val="20"/>
              </w:rPr>
              <w:t xml:space="preserve">Charges variables</w:t>
            </w:r>
          </w:p>
        </w:tc>
        <w:tc>
          <w:tcPr>
            <w:tcW w:type="dxa" w:w="36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sz w:val="20"/>
                <w:szCs w:val="20"/>
              </w:rPr>
              <w:t xml:space="preserve">A</w:t>
            </w:r>
            <w:r>
              <w:rPr>
                <w:sz w:val="20"/>
                <w:szCs w:val="20"/>
              </w:rPr>
              <w:t xml:space="preserve"> – variables directes</w:t>
            </w:r>
          </w:p>
        </w:tc>
        <w:tc>
          <w:tcPr>
            <w:tcW w:type="dxa" w:w="361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sz w:val="20"/>
                <w:szCs w:val="20"/>
              </w:rPr>
              <w:t xml:space="preserve">B</w:t>
            </w:r>
            <w:r>
              <w:rPr>
                <w:sz w:val="20"/>
                <w:szCs w:val="20"/>
              </w:rPr>
              <w:t xml:space="preserve"> – variables indirectes</w:t>
            </w:r>
          </w:p>
        </w:tc>
      </w:tr>
      <w:tr>
        <w:trPr>
          <w:cantSplit/>
          <w:tblHeader w:val="false"/>
        </w:trPr>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b/>
                <w:bCs/>
                <w:sz w:val="20"/>
                <w:szCs w:val="20"/>
              </w:rPr>
              <w:t xml:space="preserve">Charges fixes</w:t>
            </w:r>
          </w:p>
        </w:tc>
        <w:tc>
          <w:tcPr>
            <w:tcW w:type="dxa" w:w="36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b/>
                <w:bCs/>
                <w:sz w:val="20"/>
                <w:szCs w:val="20"/>
              </w:rPr>
              <w:t xml:space="preserve">C</w:t>
            </w:r>
            <w:r>
              <w:rPr>
                <w:sz w:val="20"/>
                <w:szCs w:val="20"/>
              </w:rPr>
              <w:t xml:space="preserve"> – fixes directes</w:t>
            </w:r>
          </w:p>
        </w:tc>
        <w:tc>
          <w:tcPr>
            <w:tcW w:type="dxa" w:w="361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b/>
                <w:bCs/>
                <w:sz w:val="20"/>
                <w:szCs w:val="20"/>
              </w:rPr>
              <w:t xml:space="preserve">D</w:t>
            </w:r>
            <w:r>
              <w:rPr>
                <w:sz w:val="20"/>
                <w:szCs w:val="20"/>
              </w:rPr>
              <w:t xml:space="preserve"> – fixes indirectes</w:t>
            </w:r>
          </w:p>
        </w:tc>
      </w:tr>
    </w:tbl>
    <w:p>
      <w:pPr>
        <w:spacing w:after="120"/>
      </w:pPr>
    </w:p>
    <w:p>
      <w:pPr>
        <w:pStyle w:val="Heading2"/>
        <w:keepNext/>
        <w:pBdr>
          <w:bottom w:val="single" w:color="00897B" w:sz="8" w:space="2"/>
        </w:pBdr>
        <w:spacing w:after="120" w:before="300"/>
      </w:pPr>
      <w:bookmarkStart w:name="s48" w:id="48"/>
      <w:r>
        <w:rPr>
          <w:b/>
          <w:bCs/>
          <w:color w:val="00897B"/>
          <w:sz w:val="30"/>
          <w:szCs w:val="30"/>
        </w:rPr>
        <w:t xml:space="preserve">2. Les trois méthodes</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1435"/>
        <w:gridCol w:w="5948"/>
      </w:tblGrid>
      <w:tr>
        <w:trPr>
          <w:cantSplit/>
          <w:tblHeader/>
        </w:trPr>
        <w:tc>
          <w:tcPr>
            <w:tcW w:type="dxa" w:w="2255"/>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Méthode</w:t>
            </w:r>
          </w:p>
        </w:tc>
        <w:tc>
          <w:tcPr>
            <w:tcW w:type="dxa" w:w="1435"/>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Charges retenues</w:t>
            </w:r>
          </w:p>
        </w:tc>
        <w:tc>
          <w:tcPr>
            <w:tcW w:type="dxa" w:w="5948"/>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Principe</w:t>
            </w:r>
          </w:p>
        </w:tc>
      </w:tr>
      <w:tr>
        <w:trPr>
          <w:cantSplit/>
          <w:tblHeader w:val="false"/>
        </w:trPr>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bCs/>
                <w:sz w:val="20"/>
                <w:szCs w:val="20"/>
              </w:rPr>
              <w:t xml:space="preserve">Coûts variables</w:t>
            </w:r>
            <w:r>
              <w:rPr>
                <w:sz w:val="20"/>
                <w:szCs w:val="20"/>
              </w:rPr>
              <w:t xml:space="preserve"> (direct costing)</w:t>
            </w:r>
          </w:p>
        </w:tc>
        <w:tc>
          <w:tcPr>
            <w:tcW w:type="dxa" w:w="14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sz w:val="20"/>
                <w:szCs w:val="20"/>
              </w:rPr>
              <w:t xml:space="preserve">A + B</w:t>
            </w:r>
          </w:p>
        </w:tc>
        <w:tc>
          <w:tcPr>
            <w:tcW w:type="dxa" w:w="59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Ne retient que les charges </w:t>
            </w:r>
            <w:r>
              <w:rPr>
                <w:b/>
                <w:bCs/>
                <w:sz w:val="20"/>
                <w:szCs w:val="20"/>
              </w:rPr>
              <w:t xml:space="preserve">variables</w:t>
            </w:r>
            <w:r>
              <w:rPr>
                <w:sz w:val="20"/>
                <w:szCs w:val="20"/>
              </w:rPr>
              <w:t xml:space="preserve">, directes ou indirectes. Chaque produit est jugé sur sa </w:t>
            </w:r>
            <w:r>
              <w:rPr>
                <w:b/>
                <w:bCs/>
                <w:sz w:val="20"/>
                <w:szCs w:val="20"/>
              </w:rPr>
              <w:t xml:space="preserve">contribution à la couverture des charges de structure</w:t>
            </w:r>
            <w:r>
              <w:rPr>
                <w:sz w:val="20"/>
                <w:szCs w:val="20"/>
              </w:rPr>
              <w:t xml:space="preserve"> (M/CV). Un produit n'est supprimé </w:t>
            </w:r>
            <w:r>
              <w:rPr>
                <w:b/>
                <w:bCs/>
                <w:sz w:val="20"/>
                <w:szCs w:val="20"/>
              </w:rPr>
              <w:t xml:space="preserve">que si sa M/CV est négative</w:t>
            </w:r>
            <w:r>
              <w:rPr>
                <w:sz w:val="20"/>
                <w:szCs w:val="20"/>
              </w:rPr>
              <w:t xml:space="preserve"> ; sinon, il couvre une quote-part des charges fixes.</w:t>
            </w:r>
          </w:p>
        </w:tc>
      </w:tr>
      <w:tr>
        <w:trPr>
          <w:cantSplit/>
          <w:tblHeader w:val="false"/>
        </w:trPr>
        <w:tc>
          <w:tcPr>
            <w:tcW w:type="dxa" w:w="22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b/>
                <w:bCs/>
                <w:sz w:val="20"/>
                <w:szCs w:val="20"/>
              </w:rPr>
              <w:t xml:space="preserve">Coûts directs</w:t>
            </w:r>
          </w:p>
        </w:tc>
        <w:tc>
          <w:tcPr>
            <w:tcW w:type="dxa" w:w="14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b/>
                <w:bCs/>
                <w:sz w:val="20"/>
                <w:szCs w:val="20"/>
              </w:rPr>
              <w:t xml:space="preserve">A + C</w:t>
            </w:r>
          </w:p>
        </w:tc>
        <w:tc>
          <w:tcPr>
            <w:tcW w:type="dxa" w:w="59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N'intègre que les charges </w:t>
            </w:r>
            <w:r>
              <w:rPr>
                <w:b/>
                <w:bCs/>
                <w:sz w:val="20"/>
                <w:szCs w:val="20"/>
              </w:rPr>
              <w:t xml:space="preserve">affectables sans ambiguïté</w:t>
            </w:r>
            <w:r>
              <w:rPr>
                <w:sz w:val="20"/>
                <w:szCs w:val="20"/>
              </w:rPr>
              <w:t xml:space="preserve"> aux produits (fixes ou variables). Méthode peu utilisée.</w:t>
            </w:r>
          </w:p>
        </w:tc>
      </w:tr>
      <w:tr>
        <w:trPr>
          <w:cantSplit/>
          <w:tblHeader w:val="false"/>
        </w:trPr>
        <w:tc>
          <w:tcPr>
            <w:tcW w:type="dxa" w:w="22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bCs/>
                <w:sz w:val="20"/>
                <w:szCs w:val="20"/>
              </w:rPr>
              <w:t xml:space="preserve">Coûts spécifiques</w:t>
            </w:r>
          </w:p>
        </w:tc>
        <w:tc>
          <w:tcPr>
            <w:tcW w:type="dxa" w:w="14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sz w:val="20"/>
                <w:szCs w:val="20"/>
              </w:rPr>
              <w:t xml:space="preserve">A + B + C</w:t>
            </w:r>
          </w:p>
        </w:tc>
        <w:tc>
          <w:tcPr>
            <w:tcW w:type="dxa" w:w="59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Prolonge les coûts variables : on calcule une </w:t>
            </w:r>
            <w:r>
              <w:rPr>
                <w:b/>
                <w:bCs/>
                <w:sz w:val="20"/>
                <w:szCs w:val="20"/>
              </w:rPr>
              <w:t xml:space="preserve">M/CV</w:t>
            </w:r>
            <w:r>
              <w:rPr>
                <w:sz w:val="20"/>
                <w:szCs w:val="20"/>
              </w:rPr>
              <w:t xml:space="preserve">, puis on impute à chaque produit </w:t>
            </w:r>
            <w:r>
              <w:rPr>
                <w:b/>
                <w:bCs/>
                <w:sz w:val="20"/>
                <w:szCs w:val="20"/>
              </w:rPr>
              <w:t xml:space="preserve">ses charges fixes directes</w:t>
            </w:r>
            <w:r>
              <w:rPr>
                <w:sz w:val="20"/>
                <w:szCs w:val="20"/>
              </w:rPr>
              <w:t xml:space="preserve">. On obtient une </w:t>
            </w:r>
            <w:r>
              <w:rPr>
                <w:b/>
                <w:bCs/>
                <w:sz w:val="20"/>
                <w:szCs w:val="20"/>
              </w:rPr>
              <w:t xml:space="preserve">marge sur coût spécifique</w:t>
            </w:r>
            <w:r>
              <w:rPr>
                <w:sz w:val="20"/>
                <w:szCs w:val="20"/>
              </w:rPr>
              <w:t xml:space="preserve">, qui doit couvrir les charges fixes indirectes (charges communes de l'entreprise).</w:t>
            </w:r>
          </w:p>
        </w:tc>
      </w:tr>
    </w:tbl>
    <w:p>
      <w:pPr>
        <w:spacing w:after="120"/>
      </w:pP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M/CV</w:t>
      </w:r>
      <w:r>
        <w:rPr>
          <w:b w:val="false"/>
          <w:bCs w:val="false"/>
        </w:rPr>
        <w:t xml:space="preserve"> = CA – Coûts variables (A + B)</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Coût spécifique</w:t>
      </w:r>
      <w:r>
        <w:rPr>
          <w:b w:val="false"/>
          <w:bCs w:val="false"/>
        </w:rPr>
        <w:t xml:space="preserve"> = Coûts variables du produit + Charges fixes directes du produit</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Marge sur coût spécifique</w:t>
      </w:r>
      <w:r>
        <w:rPr>
          <w:b w:val="false"/>
          <w:bCs w:val="false"/>
        </w:rPr>
        <w:t xml:space="preserve"> = M/CV – Charges fixes directes</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Résultat</w:t>
      </w:r>
      <w:r>
        <w:rPr>
          <w:b w:val="false"/>
          <w:bCs w:val="false"/>
        </w:rPr>
        <w:t xml:space="preserve"> = Σ Marges sur coûts spécifiques – Charges fixes indirectes (communes)</w:t>
      </w:r>
    </w:p>
    <w:p>
      <w:pPr>
        <w:spacing w:after="120"/>
      </w:pPr>
    </w:p>
    <w:p>
      <w:pPr>
        <w:spacing w:after="100"/>
      </w:pPr>
      <w:r>
        <w:rPr>
          <w:b/>
          <w:bCs/>
        </w:rPr>
        <w:t xml:space="preserve">Exemple</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41"/>
        <w:gridCol w:w="2141"/>
        <w:gridCol w:w="2144"/>
      </w:tblGrid>
      <w:tr>
        <w:trPr>
          <w:cantSplit/>
          <w:tblHeader/>
        </w:trPr>
        <w:tc>
          <w:tcPr>
            <w:tcW w:type="dxa" w:w="3212"/>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p>
        </w:tc>
        <w:tc>
          <w:tcPr>
            <w:tcW w:type="dxa" w:w="2141"/>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Produit A</w:t>
            </w:r>
          </w:p>
        </w:tc>
        <w:tc>
          <w:tcPr>
            <w:tcW w:type="dxa" w:w="2141"/>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Produit B</w:t>
            </w:r>
          </w:p>
        </w:tc>
        <w:tc>
          <w:tcPr>
            <w:tcW w:type="dxa" w:w="2144"/>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Total</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w:t>
            </w:r>
          </w:p>
        </w:tc>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1 000</w:t>
            </w:r>
          </w:p>
        </w:tc>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2 000</w:t>
            </w:r>
          </w:p>
        </w:tc>
        <w:tc>
          <w:tcPr>
            <w:tcW w:type="dxa" w:w="21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3 000</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Coûts variables</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500</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800</w:t>
            </w:r>
          </w:p>
        </w:tc>
        <w:tc>
          <w:tcPr>
            <w:tcW w:type="dxa" w:w="21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1 300</w:t>
            </w:r>
          </w:p>
        </w:tc>
      </w:tr>
      <w:tr>
        <w:trPr>
          <w:cantSplit/>
          <w:tblHeader w:val="false"/>
        </w:trPr>
        <w:tc>
          <w:tcPr>
            <w:tcW w:type="dxa" w:w="3212"/>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M/CV</w:t>
            </w:r>
          </w:p>
        </w:tc>
        <w:tc>
          <w:tcPr>
            <w:tcW w:type="dxa" w:w="2141"/>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500</w:t>
            </w:r>
          </w:p>
        </w:tc>
        <w:tc>
          <w:tcPr>
            <w:tcW w:type="dxa" w:w="2141"/>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1 200</w:t>
            </w:r>
          </w:p>
        </w:tc>
        <w:tc>
          <w:tcPr>
            <w:tcW w:type="dxa" w:w="214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1 700</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CF directes</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600</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500</w:t>
            </w:r>
          </w:p>
        </w:tc>
        <w:tc>
          <w:tcPr>
            <w:tcW w:type="dxa" w:w="21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1 100</w:t>
            </w:r>
          </w:p>
        </w:tc>
      </w:tr>
      <w:tr>
        <w:trPr>
          <w:cantSplit/>
          <w:tblHeader w:val="false"/>
        </w:trPr>
        <w:tc>
          <w:tcPr>
            <w:tcW w:type="dxa" w:w="3212"/>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Marge sur coût spécifique</w:t>
            </w:r>
          </w:p>
        </w:tc>
        <w:tc>
          <w:tcPr>
            <w:tcW w:type="dxa" w:w="2141"/>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(100)</w:t>
            </w:r>
          </w:p>
        </w:tc>
        <w:tc>
          <w:tcPr>
            <w:tcW w:type="dxa" w:w="2141"/>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700</w:t>
            </w:r>
          </w:p>
        </w:tc>
        <w:tc>
          <w:tcPr>
            <w:tcW w:type="dxa" w:w="214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600</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CF indirectes (communes)</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21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300</w:t>
            </w:r>
          </w:p>
        </w:tc>
      </w:tr>
      <w:tr>
        <w:trPr>
          <w:cantSplit/>
          <w:tblHeader w:val="false"/>
        </w:trPr>
        <w:tc>
          <w:tcPr>
            <w:tcW w:type="dxa" w:w="3212"/>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Résultat</w:t>
            </w:r>
          </w:p>
        </w:tc>
        <w:tc>
          <w:tcPr>
            <w:tcW w:type="dxa" w:w="2141"/>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p>
        </w:tc>
        <w:tc>
          <w:tcPr>
            <w:tcW w:type="dxa" w:w="2141"/>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p>
        </w:tc>
        <w:tc>
          <w:tcPr>
            <w:tcW w:type="dxa" w:w="214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300</w:t>
            </w:r>
          </w:p>
        </w:tc>
      </w:tr>
    </w:tbl>
    <w:p>
      <w:pPr>
        <w:spacing w:after="120"/>
      </w:pPr>
    </w:p>
    <w:p>
      <w:pPr>
        <w:spacing w:after="100"/>
      </w:pPr>
      <w:r>
        <w:t xml:space="preserve">Un coût spécifique </w:t>
      </w:r>
      <w:r>
        <w:rPr>
          <w:b/>
          <w:bCs/>
        </w:rPr>
        <w:t xml:space="preserve">disparaît si son objet disparaît</w:t>
      </w:r>
      <w:r>
        <w:t xml:space="preserve">. Lorsque la marge sur coût spécifique d'un produit est </w:t>
      </w:r>
      <w:r>
        <w:rPr>
          <w:b/>
          <w:bCs/>
        </w:rPr>
        <w:t xml:space="preserve">négative</w:t>
      </w:r>
      <w:r>
        <w:t xml:space="preserve">, on doit se demander s'il faut le garder : son arrêt améliore le résultat du montant de cette marge négative. Ici, supprimer A ferait passer le résultat de 300 à </w:t>
      </w:r>
      <w:r>
        <w:rPr>
          <w:b/>
          <w:bCs/>
        </w:rPr>
        <w:t xml:space="preserve">400</w:t>
      </w:r>
      <w:r>
        <w:t xml:space="preserve"> (en supposant que les ventes de B ne sont pas affectées).</w:t>
      </w:r>
    </w:p>
    <w:p>
      <w:pPr>
        <w:pStyle w:val="Heading3"/>
        <w:keepNext/>
        <w:spacing w:after="80" w:before="220"/>
      </w:pPr>
      <w:bookmarkStart w:name="ss49" w:id="49"/>
      <w:r>
        <w:rPr>
          <w:b/>
          <w:bCs/>
          <w:color w:val="1F3864"/>
          <w:sz w:val="25"/>
          <w:szCs w:val="25"/>
        </w:rPr>
        <w:t xml:space="preserve">Choix de la méthode</w:t>
      </w:r>
      <w:bookmarkEnd w:id="49"/>
    </w:p>
    <w:p>
      <w:pPr>
        <w:spacing w:after="100"/>
      </w:pPr>
      <w:r>
        <w:t xml:space="preserve">La finalité des calculs en coûts partiels est de </w:t>
      </w:r>
      <w:r>
        <w:rPr>
          <w:b/>
          <w:bCs/>
        </w:rPr>
        <w:t xml:space="preserve">prendre des décisions</w:t>
      </w:r>
      <w:r>
        <w:t xml:space="preserve"> de suppression ou de développement de produits. La </w:t>
      </w:r>
      <w:r>
        <w:rPr>
          <w:b/>
          <w:bCs/>
        </w:rPr>
        <w:t xml:space="preserve">structure des charges</w:t>
      </w:r>
      <w:r>
        <w:t xml:space="preserve"> détermine la méthode : charges majoritairement </w:t>
      </w:r>
      <w:r>
        <w:rPr>
          <w:b/>
          <w:bCs/>
        </w:rPr>
        <w:t xml:space="preserve">variables</w:t>
      </w:r>
      <w:r>
        <w:t xml:space="preserve"> → coûts variables ; majoritairement </w:t>
      </w:r>
      <w:r>
        <w:rPr>
          <w:b/>
          <w:bCs/>
        </w:rPr>
        <w:t xml:space="preserve">directes</w:t>
      </w:r>
      <w:r>
        <w:t xml:space="preserve"> → coûts directs ; majoritairement </w:t>
      </w:r>
      <w:r>
        <w:rPr>
          <w:b/>
          <w:bCs/>
        </w:rPr>
        <w:t xml:space="preserve">spécifiques</w:t>
      </w:r>
      <w:r>
        <w:t xml:space="preserve"> → coûts spécifiques.</w:t>
      </w:r>
    </w:p>
    <w:p>
      <w:pPr>
        <w:pStyle w:val="Heading3"/>
        <w:keepNext/>
        <w:pBdr>
          <w:left w:val="single" w:color="00897B" w:sz="24" w:space="6"/>
        </w:pBdr>
        <w:shd w:fill="D9F2EF" w:color="auto" w:val="clear"/>
        <w:spacing w:after="100" w:before="280"/>
      </w:pPr>
      <w:bookmarkStart w:name="cas50" w:id="50"/>
      <w:r>
        <w:rPr>
          <w:b/>
          <w:bCs/>
          <w:color w:val="00897B"/>
          <w:sz w:val="25"/>
          <w:szCs w:val="25"/>
        </w:rPr>
        <w:t xml:space="preserve">📌 Cas PRIXBAS – coûts spécifiques</w:t>
      </w:r>
      <w:bookmarkEnd w:id="50"/>
    </w:p>
    <w:p>
      <w:pPr>
        <w:spacing w:after="120" w:before="60"/>
      </w:pPr>
      <w:r>
        <w:rPr>
          <w:b/>
          <w:bCs/>
          <w:color w:val="FFFFFF"/>
          <w:sz w:val="20"/>
          <w:szCs w:val="20"/>
          <w:shd w:fill="7030A0" w:color="auto" w:val="clear"/>
        </w:rPr>
        <w:t xml:space="preserve"> 📄 Voir énoncé – PRIXBAS </w:t>
      </w:r>
    </w:p>
    <w:p>
      <w:pPr>
        <w:spacing w:after="100"/>
      </w:pPr>
      <w:r>
        <w:rPr>
          <w:b/>
          <w:bCs/>
        </w:rPr>
        <w:t xml:space="preserve">1. Résultat du rayon jouets et marges sur coûts spécifiques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3"/>
        <w:gridCol w:w="2065"/>
        <w:gridCol w:w="2065"/>
        <w:gridCol w:w="2163"/>
        <w:gridCol w:w="1182"/>
      </w:tblGrid>
      <w:tr>
        <w:trPr>
          <w:cantSplit/>
          <w:tblHeader/>
        </w:trPr>
        <w:tc>
          <w:tcPr>
            <w:tcW w:type="dxa" w:w="2163"/>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p>
        </w:tc>
        <w:tc>
          <w:tcPr>
            <w:tcW w:type="dxa" w:w="2065"/>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Jeu de société</w:t>
            </w:r>
          </w:p>
        </w:tc>
        <w:tc>
          <w:tcPr>
            <w:tcW w:type="dxa" w:w="2065"/>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Baby-foot</w:t>
            </w:r>
          </w:p>
        </w:tc>
        <w:tc>
          <w:tcPr>
            <w:tcW w:type="dxa" w:w="2163"/>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Voiture télécommandée</w:t>
            </w:r>
          </w:p>
        </w:tc>
        <w:tc>
          <w:tcPr>
            <w:tcW w:type="dxa" w:w="1182"/>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Total</w:t>
            </w:r>
          </w:p>
        </w:tc>
      </w:tr>
      <w:tr>
        <w:trPr>
          <w:cantSplit/>
          <w:tblHeader w:val="false"/>
        </w:trPr>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PV moyen (1)</w:t>
            </w:r>
          </w:p>
        </w:tc>
        <w:tc>
          <w:tcPr>
            <w:tcW w:type="dxa" w:w="20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20 × 1,4 = 28</w:t>
            </w:r>
          </w:p>
        </w:tc>
        <w:tc>
          <w:tcPr>
            <w:tcW w:type="dxa" w:w="20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315 × 1,2 = 378</w:t>
            </w:r>
          </w:p>
        </w:tc>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50 × 1,4 = 70</w:t>
            </w:r>
          </w:p>
        </w:tc>
        <w:tc>
          <w:tcPr>
            <w:tcW w:type="dxa" w:w="11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21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CA (2)</w:t>
            </w:r>
          </w:p>
        </w:tc>
        <w:tc>
          <w:tcPr>
            <w:tcW w:type="dxa" w:w="20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4 850 × 28 = 135 800</w:t>
            </w:r>
          </w:p>
        </w:tc>
        <w:tc>
          <w:tcPr>
            <w:tcW w:type="dxa" w:w="20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220 × 378 = 83 160</w:t>
            </w:r>
          </w:p>
        </w:tc>
        <w:tc>
          <w:tcPr>
            <w:tcW w:type="dxa" w:w="21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1 580 × 70 = 110 600</w:t>
            </w:r>
          </w:p>
        </w:tc>
        <w:tc>
          <w:tcPr>
            <w:tcW w:type="dxa" w:w="11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329 560</w:t>
            </w:r>
          </w:p>
        </w:tc>
      </w:tr>
      <w:tr>
        <w:trPr>
          <w:cantSplit/>
          <w:tblHeader w:val="false"/>
        </w:trPr>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CV (3)</w:t>
            </w:r>
          </w:p>
        </w:tc>
        <w:tc>
          <w:tcPr>
            <w:tcW w:type="dxa" w:w="20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(20 + 5) × 4 850 = 121 250</w:t>
            </w:r>
          </w:p>
        </w:tc>
        <w:tc>
          <w:tcPr>
            <w:tcW w:type="dxa" w:w="20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(315 + 54) × 220 = 81 180</w:t>
            </w:r>
          </w:p>
        </w:tc>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(50 + 8) × 1 580 = 91 640</w:t>
            </w:r>
          </w:p>
        </w:tc>
        <w:tc>
          <w:tcPr>
            <w:tcW w:type="dxa" w:w="11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294 070</w:t>
            </w:r>
          </w:p>
        </w:tc>
      </w:tr>
      <w:tr>
        <w:trPr>
          <w:cantSplit/>
          <w:tblHeader w:val="false"/>
        </w:trPr>
        <w:tc>
          <w:tcPr>
            <w:tcW w:type="dxa" w:w="21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CF directes</w:t>
            </w:r>
          </w:p>
        </w:tc>
        <w:tc>
          <w:tcPr>
            <w:tcW w:type="dxa" w:w="20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1 890</w:t>
            </w:r>
          </w:p>
        </w:tc>
        <w:tc>
          <w:tcPr>
            <w:tcW w:type="dxa" w:w="20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4 950</w:t>
            </w:r>
          </w:p>
        </w:tc>
        <w:tc>
          <w:tcPr>
            <w:tcW w:type="dxa" w:w="21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2 620</w:t>
            </w:r>
          </w:p>
        </w:tc>
        <w:tc>
          <w:tcPr>
            <w:tcW w:type="dxa" w:w="11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9 460</w:t>
            </w:r>
          </w:p>
        </w:tc>
      </w:tr>
      <w:tr>
        <w:trPr>
          <w:cantSplit/>
          <w:tblHeader w:val="false"/>
        </w:trPr>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Total charges directes</w:t>
            </w:r>
          </w:p>
        </w:tc>
        <w:tc>
          <w:tcPr>
            <w:tcW w:type="dxa" w:w="20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123 140</w:t>
            </w:r>
          </w:p>
        </w:tc>
        <w:tc>
          <w:tcPr>
            <w:tcW w:type="dxa" w:w="20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86 130</w:t>
            </w:r>
          </w:p>
        </w:tc>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94 260</w:t>
            </w:r>
          </w:p>
        </w:tc>
        <w:tc>
          <w:tcPr>
            <w:tcW w:type="dxa" w:w="11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303 530</w:t>
            </w:r>
          </w:p>
        </w:tc>
      </w:tr>
      <w:tr>
        <w:trPr>
          <w:cantSplit/>
          <w:tblHeader w:val="false"/>
        </w:trPr>
        <w:tc>
          <w:tcPr>
            <w:tcW w:type="dxa" w:w="21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Marge sur coût spécifique</w:t>
            </w:r>
          </w:p>
        </w:tc>
        <w:tc>
          <w:tcPr>
            <w:tcW w:type="dxa" w:w="2065"/>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12 660</w:t>
            </w:r>
          </w:p>
        </w:tc>
        <w:tc>
          <w:tcPr>
            <w:tcW w:type="dxa" w:w="2065"/>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(2 970)</w:t>
            </w:r>
          </w:p>
        </w:tc>
        <w:tc>
          <w:tcPr>
            <w:tcW w:type="dxa" w:w="21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16 340</w:t>
            </w:r>
          </w:p>
        </w:tc>
        <w:tc>
          <w:tcPr>
            <w:tcW w:type="dxa" w:w="1182"/>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26 030</w:t>
            </w:r>
          </w:p>
        </w:tc>
      </w:tr>
      <w:tr>
        <w:trPr>
          <w:cantSplit/>
          <w:tblHeader w:val="false"/>
        </w:trPr>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fixes indirectes</w:t>
            </w:r>
          </w:p>
        </w:tc>
        <w:tc>
          <w:tcPr>
            <w:tcW w:type="dxa" w:w="20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p>
        </w:tc>
        <w:tc>
          <w:tcPr>
            <w:tcW w:type="dxa" w:w="20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p>
        </w:tc>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p>
        </w:tc>
        <w:tc>
          <w:tcPr>
            <w:tcW w:type="dxa" w:w="11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15 295</w:t>
            </w:r>
          </w:p>
        </w:tc>
      </w:tr>
      <w:tr>
        <w:trPr>
          <w:cantSplit/>
          <w:tblHeader w:val="false"/>
        </w:trPr>
        <w:tc>
          <w:tcPr>
            <w:tcW w:type="dxa" w:w="21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Résultat</w:t>
            </w:r>
          </w:p>
        </w:tc>
        <w:tc>
          <w:tcPr>
            <w:tcW w:type="dxa" w:w="2065"/>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p>
        </w:tc>
        <w:tc>
          <w:tcPr>
            <w:tcW w:type="dxa" w:w="2065"/>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p>
        </w:tc>
        <w:tc>
          <w:tcPr>
            <w:tcW w:type="dxa" w:w="21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p>
        </w:tc>
        <w:tc>
          <w:tcPr>
            <w:tcW w:type="dxa" w:w="1182"/>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10 735</w:t>
            </w:r>
          </w:p>
        </w:tc>
      </w:tr>
    </w:tbl>
    <w:p>
      <w:pPr>
        <w:spacing w:after="120"/>
      </w:pPr>
    </w:p>
    <w:p>
      <w:pPr>
        <w:spacing w:after="100"/>
      </w:pPr>
      <w:r>
        <w:t xml:space="preserve">(1) Prix d'achat × (1 + taux de marge) ; (2) Quantités × PV ; (3) Quantités × (coût d'achat + autres CV unitaires).</w:t>
      </w:r>
    </w:p>
    <w:p>
      <w:pPr>
        <w:spacing w:after="100"/>
      </w:pPr>
      <w:r>
        <w:rPr>
          <w:b/>
          <w:bCs/>
        </w:rPr>
        <w:t xml:space="preserve">2. Suppression du baby-foot</w:t>
      </w:r>
      <w:r>
        <w:t xml:space="preserve"> : le bénéfice global passerait à 10 735 + 2 970 = </w:t>
      </w:r>
      <w:r>
        <w:rPr>
          <w:b/>
          <w:bCs/>
        </w:rPr>
        <w:t xml:space="preserve">13 705 €</w:t>
      </w:r>
      <w:r>
        <w:t xml:space="preserve">. Mais la suppression peut avoir des conséquences sur les ventes des autres articles (produits d'appel, complémentarité).</w:t>
      </w:r>
    </w:p>
    <w:p>
      <w:pPr>
        <w:spacing w:after="100"/>
      </w:pPr>
      <w:r>
        <w:rPr>
          <w:b/>
          <w:bCs/>
        </w:rPr>
        <w:t xml:space="preserve">3. Justification de la méthode</w:t>
      </w:r>
      <w:r>
        <w:t xml:space="preserve"> : les charges spécifiques représentent 303 530 / (303 530 + 15 295) = </w:t>
      </w:r>
      <w:r>
        <w:rPr>
          <w:b/>
          <w:bCs/>
        </w:rPr>
        <w:t xml:space="preserve">95 %</w:t>
      </w:r>
      <w:r>
        <w:t xml:space="preserve"> de l'ensemble des charges → la méthode des coûts spécifiques est justifiée.</w:t>
      </w:r>
    </w:p>
    <w:p>
      <w:pPr>
        <w:spacing w:after="100"/>
      </w:pPr>
      <w:r>
        <w:rPr>
          <w:b/>
          <w:bCs/>
        </w:rPr>
        <w:t xml:space="preserve">4. Méthode des coûts complets du magasin</w:t>
      </w:r>
      <w:r>
        <w:t xml:space="preserve"> (UO = quantité vendue)</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Quantités vendues = 4 850 + 220 + 1 580 = 6 650 → coût de l'UO = 15 295 / 6 650 = </w:t>
      </w:r>
      <w:r>
        <w:rPr>
          <w:b/>
          <w:bCs/>
        </w:rPr>
        <w:t xml:space="preserve">2,30 €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216"/>
        <w:gridCol w:w="2216"/>
        <w:gridCol w:w="2216"/>
        <w:gridCol w:w="1063"/>
      </w:tblGrid>
      <w:tr>
        <w:trPr>
          <w:cantSplit/>
          <w:tblHeader/>
        </w:trPr>
        <w:tc>
          <w:tcPr>
            <w:tcW w:type="dxa" w:w="1927"/>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p>
        </w:tc>
        <w:tc>
          <w:tcPr>
            <w:tcW w:type="dxa" w:w="2216"/>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Jeu de société</w:t>
            </w:r>
          </w:p>
        </w:tc>
        <w:tc>
          <w:tcPr>
            <w:tcW w:type="dxa" w:w="2216"/>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Baby-foot</w:t>
            </w:r>
          </w:p>
        </w:tc>
        <w:tc>
          <w:tcPr>
            <w:tcW w:type="dxa" w:w="2216"/>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Voiture</w:t>
            </w:r>
          </w:p>
        </w:tc>
        <w:tc>
          <w:tcPr>
            <w:tcW w:type="dxa" w:w="1063"/>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Total</w:t>
            </w:r>
          </w:p>
        </w:tc>
      </w:tr>
      <w:tr>
        <w:trPr>
          <w:cantSplit/>
          <w:tblHeader w:val="false"/>
        </w:trPr>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indirectes</w:t>
            </w:r>
          </w:p>
        </w:tc>
        <w:tc>
          <w:tcPr>
            <w:tcW w:type="dxa" w:w="22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4 850 × 2,30 = 11 155</w:t>
            </w:r>
          </w:p>
        </w:tc>
        <w:tc>
          <w:tcPr>
            <w:tcW w:type="dxa" w:w="22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220 × 2,30 = 506</w:t>
            </w:r>
          </w:p>
        </w:tc>
        <w:tc>
          <w:tcPr>
            <w:tcW w:type="dxa" w:w="22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1 580 × 2,30 = 3 634</w:t>
            </w:r>
          </w:p>
        </w:tc>
        <w:tc>
          <w:tcPr>
            <w:tcW w:type="dxa" w:w="10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15 295</w:t>
            </w:r>
          </w:p>
        </w:tc>
      </w:tr>
      <w:tr>
        <w:trPr>
          <w:cantSplit/>
          <w:tblHeader w:val="false"/>
        </w:trPr>
        <w:tc>
          <w:tcPr>
            <w:tcW w:type="dxa" w:w="1927"/>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Résultat analytique</w:t>
            </w:r>
          </w:p>
        </w:tc>
        <w:tc>
          <w:tcPr>
            <w:tcW w:type="dxa" w:w="2216"/>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12 660 – 11 155 = </w:t>
            </w:r>
            <w:r>
              <w:rPr>
                <w:b/>
                <w:bCs/>
                <w:sz w:val="20"/>
                <w:szCs w:val="20"/>
              </w:rPr>
              <w:t xml:space="preserve">1 505</w:t>
            </w:r>
          </w:p>
        </w:tc>
        <w:tc>
          <w:tcPr>
            <w:tcW w:type="dxa" w:w="2216"/>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 2 970 – 506 = </w:t>
            </w:r>
            <w:r>
              <w:rPr>
                <w:b/>
                <w:bCs/>
                <w:sz w:val="20"/>
                <w:szCs w:val="20"/>
              </w:rPr>
              <w:t xml:space="preserve">(3 476)</w:t>
            </w:r>
          </w:p>
        </w:tc>
        <w:tc>
          <w:tcPr>
            <w:tcW w:type="dxa" w:w="2216"/>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16 340 – 3 634 = </w:t>
            </w:r>
            <w:r>
              <w:rPr>
                <w:b/>
                <w:bCs/>
                <w:sz w:val="20"/>
                <w:szCs w:val="20"/>
              </w:rPr>
              <w:t xml:space="preserve">12 706</w:t>
            </w:r>
          </w:p>
        </w:tc>
        <w:tc>
          <w:tcPr>
            <w:tcW w:type="dxa" w:w="10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10 735</w:t>
            </w:r>
          </w:p>
        </w:tc>
      </w:tr>
    </w:tbl>
    <w:p>
      <w:pPr>
        <w:spacing w:after="120"/>
      </w:pPr>
    </w:p>
    <w:p>
      <w:pPr>
        <w:spacing w:after="100"/>
      </w:pPr>
      <w:r>
        <w:rPr>
          <w:b/>
          <w:bCs/>
        </w:rPr>
        <w:t xml:space="preserve">Commentaire</w:t>
      </w:r>
      <w:r>
        <w:t xml:space="preserve"> : le baby-foot est déficitaire, mais la clé de répartition est </w:t>
      </w:r>
      <w:r>
        <w:rPr>
          <w:b/>
          <w:bCs/>
        </w:rPr>
        <w:t xml:space="preserve">simpliste et arbitraire</w:t>
      </w:r>
      <w:r>
        <w:t xml:space="preserve"> : le conseil à la vente et le volume de stockage diffèrent beaucoup selon les produits (un baby-foot prend bien plus de place qu'un jeu de société).</w:t>
      </w:r>
    </w:p>
    <w:p>
      <w:pPr>
        <w:pStyle w:val="Heading3"/>
        <w:keepNext/>
        <w:pBdr>
          <w:left w:val="single" w:color="00897B" w:sz="24" w:space="6"/>
        </w:pBdr>
        <w:shd w:fill="D9F2EF" w:color="auto" w:val="clear"/>
        <w:spacing w:after="100" w:before="280"/>
      </w:pPr>
      <w:bookmarkStart w:name="cas51" w:id="51"/>
      <w:r>
        <w:rPr>
          <w:b/>
          <w:bCs/>
          <w:color w:val="00897B"/>
          <w:sz w:val="25"/>
          <w:szCs w:val="25"/>
        </w:rPr>
        <w:t xml:space="preserve">📌 Cas SANTAL – coût complet et marge sur coût variable</w:t>
      </w:r>
      <w:bookmarkEnd w:id="51"/>
    </w:p>
    <w:p>
      <w:pPr>
        <w:spacing w:after="120" w:before="60"/>
      </w:pPr>
      <w:r>
        <w:rPr>
          <w:b/>
          <w:bCs/>
          <w:color w:val="FFFFFF"/>
          <w:sz w:val="20"/>
          <w:szCs w:val="20"/>
          <w:shd w:fill="7030A0" w:color="auto" w:val="clear"/>
        </w:rPr>
        <w:t xml:space="preserve"> 📄 Voir énoncé – SANTAL </w:t>
      </w:r>
    </w:p>
    <w:p>
      <w:pPr>
        <w:spacing w:after="100"/>
      </w:pPr>
      <w:r>
        <w:rPr>
          <w:b/>
          <w:bCs/>
        </w:rPr>
        <w:t xml:space="preserve">1. Coût de revient et résultat analytique</w:t>
      </w:r>
      <w:r>
        <w:t xml:space="preserve"> – frais d'atelier (548 000 €, dont 320 000 € fixes) répartis au prorata de la MOD (84 000 / 120 000 = 70 % pour X ; 30 % pour 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2784"/>
        <w:gridCol w:w="2784"/>
        <w:gridCol w:w="1500"/>
      </w:tblGrid>
      <w:tr>
        <w:trPr>
          <w:cantSplit/>
          <w:tblHeader/>
        </w:trPr>
        <w:tc>
          <w:tcPr>
            <w:tcW w:type="dxa" w:w="2570"/>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p>
        </w:tc>
        <w:tc>
          <w:tcPr>
            <w:tcW w:type="dxa" w:w="2784"/>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Article X</w:t>
            </w:r>
          </w:p>
        </w:tc>
        <w:tc>
          <w:tcPr>
            <w:tcW w:type="dxa" w:w="2784"/>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Article Y</w:t>
            </w:r>
          </w:p>
        </w:tc>
        <w:tc>
          <w:tcPr>
            <w:tcW w:type="dxa" w:w="1500"/>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Total</w:t>
            </w:r>
          </w:p>
        </w:tc>
      </w:tr>
      <w:tr>
        <w:trPr>
          <w:cantSplit/>
          <w:tblHeader w:val="false"/>
        </w:trPr>
        <w:tc>
          <w:tcPr>
            <w:tcW w:type="dxa" w:w="25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Matières premières</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199 200</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78 000</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277 200</w:t>
            </w:r>
          </w:p>
        </w:tc>
      </w:tr>
      <w:tr>
        <w:trPr>
          <w:cantSplit/>
          <w:tblHeader w:val="false"/>
        </w:trPr>
        <w:tc>
          <w:tcPr>
            <w:tcW w:type="dxa" w:w="25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MOD</w:t>
            </w:r>
          </w:p>
        </w:tc>
        <w:tc>
          <w:tcPr>
            <w:tcW w:type="dxa" w:w="27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84 000</w:t>
            </w:r>
          </w:p>
        </w:tc>
        <w:tc>
          <w:tcPr>
            <w:tcW w:type="dxa" w:w="27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36 000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120 000</w:t>
            </w:r>
          </w:p>
        </w:tc>
      </w:tr>
      <w:tr>
        <w:trPr>
          <w:cantSplit/>
          <w:tblHeader w:val="false"/>
        </w:trPr>
        <w:tc>
          <w:tcPr>
            <w:tcW w:type="dxa" w:w="25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Atelier (1)</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548 000 × 70 % = 383 600</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548 000 × 30 % = 164 400</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548 000</w:t>
            </w:r>
          </w:p>
        </w:tc>
      </w:tr>
      <w:tr>
        <w:trPr>
          <w:cantSplit/>
          <w:tblHeader w:val="false"/>
        </w:trPr>
        <w:tc>
          <w:tcPr>
            <w:tcW w:type="dxa" w:w="2570"/>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Coût de production</w:t>
            </w:r>
          </w:p>
        </w:tc>
        <w:tc>
          <w:tcPr>
            <w:tcW w:type="dxa" w:w="278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666 800</w:t>
            </w:r>
          </w:p>
        </w:tc>
        <w:tc>
          <w:tcPr>
            <w:tcW w:type="dxa" w:w="278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278 400</w:t>
            </w:r>
          </w:p>
        </w:tc>
        <w:tc>
          <w:tcPr>
            <w:tcW w:type="dxa" w:w="1500"/>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945 200</w:t>
            </w:r>
          </w:p>
        </w:tc>
      </w:tr>
      <w:tr>
        <w:trPr>
          <w:cantSplit/>
          <w:tblHeader w:val="false"/>
        </w:trPr>
        <w:tc>
          <w:tcPr>
            <w:tcW w:type="dxa" w:w="25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Distribution (2)</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840 000 × 4,5 % = 37 800</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360 000 × 2,25 % = 8 100</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45 900</w:t>
            </w:r>
          </w:p>
        </w:tc>
      </w:tr>
      <w:tr>
        <w:trPr>
          <w:cantSplit/>
          <w:tblHeader w:val="false"/>
        </w:trPr>
        <w:tc>
          <w:tcPr>
            <w:tcW w:type="dxa" w:w="2570"/>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Coût de revient total</w:t>
            </w:r>
          </w:p>
        </w:tc>
        <w:tc>
          <w:tcPr>
            <w:tcW w:type="dxa" w:w="278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704 600</w:t>
            </w:r>
          </w:p>
        </w:tc>
        <w:tc>
          <w:tcPr>
            <w:tcW w:type="dxa" w:w="278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286 500</w:t>
            </w:r>
          </w:p>
        </w:tc>
        <w:tc>
          <w:tcPr>
            <w:tcW w:type="dxa" w:w="1500"/>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991 100</w:t>
            </w:r>
          </w:p>
        </w:tc>
      </w:tr>
      <w:tr>
        <w:trPr>
          <w:cantSplit/>
          <w:tblHeader w:val="false"/>
        </w:trPr>
        <w:tc>
          <w:tcPr>
            <w:tcW w:type="dxa" w:w="25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Coût de revient unitaire</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704 600 / 24 000 = 29,36</w:t>
            </w:r>
          </w:p>
        </w:tc>
        <w:tc>
          <w:tcPr>
            <w:tcW w:type="dxa" w:w="27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286 500 / 6 000 = 47,75</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25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CA</w:t>
            </w:r>
          </w:p>
        </w:tc>
        <w:tc>
          <w:tcPr>
            <w:tcW w:type="dxa" w:w="27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24 000 × 35 = 840 000</w:t>
            </w:r>
          </w:p>
        </w:tc>
        <w:tc>
          <w:tcPr>
            <w:tcW w:type="dxa" w:w="27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6 000 × 60 = 360 000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1 200 000</w:t>
            </w:r>
          </w:p>
        </w:tc>
      </w:tr>
      <w:tr>
        <w:trPr>
          <w:cantSplit/>
          <w:tblHeader w:val="false"/>
        </w:trPr>
        <w:tc>
          <w:tcPr>
            <w:tcW w:type="dxa" w:w="2570"/>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Résultat analytique</w:t>
            </w:r>
          </w:p>
        </w:tc>
        <w:tc>
          <w:tcPr>
            <w:tcW w:type="dxa" w:w="278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135 400</w:t>
            </w:r>
          </w:p>
        </w:tc>
        <w:tc>
          <w:tcPr>
            <w:tcW w:type="dxa" w:w="2784"/>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center"/>
            </w:pPr>
            <w:r>
              <w:rPr>
                <w:b/>
                <w:bCs/>
                <w:sz w:val="20"/>
                <w:szCs w:val="20"/>
              </w:rPr>
              <w:t xml:space="preserve">73 500</w:t>
            </w:r>
          </w:p>
        </w:tc>
        <w:tc>
          <w:tcPr>
            <w:tcW w:type="dxa" w:w="1500"/>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208 900</w:t>
            </w:r>
          </w:p>
        </w:tc>
      </w:tr>
    </w:tbl>
    <w:p>
      <w:pPr>
        <w:spacing w:after="120"/>
      </w:pPr>
    </w:p>
    <w:p>
      <w:pPr>
        <w:spacing w:after="100"/>
      </w:pPr>
      <w:r>
        <w:rPr>
          <w:b/>
          <w:bCs/>
        </w:rPr>
        <w:t xml:space="preserve">2. Marge sur coûts variables</w:t>
      </w:r>
      <w:r>
        <w:t xml:space="preserve"> – les CF (320 000) sont réparties comme la MOD : X = 320 000 × 70 % = 224 000 ; Y = 96 000.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0"/>
        <w:gridCol w:w="2163"/>
        <w:gridCol w:w="688"/>
        <w:gridCol w:w="2163"/>
        <w:gridCol w:w="688"/>
        <w:gridCol w:w="1278"/>
        <w:gridCol w:w="888"/>
      </w:tblGrid>
      <w:tr>
        <w:trPr>
          <w:cantSplit/>
          <w:tblHeader/>
        </w:trPr>
        <w:tc>
          <w:tcPr>
            <w:tcW w:type="dxa" w:w="1770"/>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p>
        </w:tc>
        <w:tc>
          <w:tcPr>
            <w:tcW w:type="dxa" w:w="2163"/>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Article X</w:t>
            </w:r>
          </w:p>
        </w:tc>
        <w:tc>
          <w:tcPr>
            <w:tcW w:type="dxa" w:w="688"/>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w:t>
            </w:r>
          </w:p>
        </w:tc>
        <w:tc>
          <w:tcPr>
            <w:tcW w:type="dxa" w:w="2163"/>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Article Y</w:t>
            </w:r>
          </w:p>
        </w:tc>
        <w:tc>
          <w:tcPr>
            <w:tcW w:type="dxa" w:w="688"/>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w:t>
            </w:r>
          </w:p>
        </w:tc>
        <w:tc>
          <w:tcPr>
            <w:tcW w:type="dxa" w:w="1278"/>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Total</w:t>
            </w:r>
          </w:p>
        </w:tc>
        <w:tc>
          <w:tcPr>
            <w:tcW w:type="dxa" w:w="888"/>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w:t>
            </w:r>
          </w:p>
        </w:tc>
      </w:tr>
      <w:tr>
        <w:trPr>
          <w:cantSplit/>
          <w:tblHeader w:val="false"/>
        </w:trPr>
        <w:tc>
          <w:tcPr>
            <w:tcW w:type="dxa" w:w="17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w:t>
            </w:r>
          </w:p>
        </w:tc>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840 000</w:t>
            </w:r>
          </w:p>
        </w:tc>
        <w:tc>
          <w:tcPr>
            <w:tcW w:type="dxa" w:w="6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w:t>
            </w:r>
          </w:p>
        </w:tc>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360 000</w:t>
            </w:r>
          </w:p>
        </w:tc>
        <w:tc>
          <w:tcPr>
            <w:tcW w:type="dxa" w:w="6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w:t>
            </w:r>
          </w:p>
        </w:tc>
        <w:tc>
          <w:tcPr>
            <w:tcW w:type="dxa" w:w="12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1 200 000</w:t>
            </w:r>
          </w:p>
        </w:tc>
        <w:tc>
          <w:tcPr>
            <w:tcW w:type="dxa" w:w="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100</w:t>
            </w:r>
          </w:p>
        </w:tc>
      </w:tr>
      <w:tr>
        <w:trPr>
          <w:cantSplit/>
          <w:tblHeader w:val="false"/>
        </w:trPr>
        <w:tc>
          <w:tcPr>
            <w:tcW w:type="dxa" w:w="17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CV</w:t>
            </w:r>
          </w:p>
        </w:tc>
        <w:tc>
          <w:tcPr>
            <w:tcW w:type="dxa" w:w="21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480 600 (1)</w:t>
            </w:r>
          </w:p>
        </w:tc>
        <w:tc>
          <w:tcPr>
            <w:tcW w:type="dxa" w:w="6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57,2</w:t>
            </w:r>
          </w:p>
        </w:tc>
        <w:tc>
          <w:tcPr>
            <w:tcW w:type="dxa" w:w="21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190 500 (2)</w:t>
            </w:r>
          </w:p>
        </w:tc>
        <w:tc>
          <w:tcPr>
            <w:tcW w:type="dxa" w:w="6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52,9</w:t>
            </w:r>
          </w:p>
        </w:tc>
        <w:tc>
          <w:tcPr>
            <w:tcW w:type="dxa" w:w="12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671 100</w:t>
            </w:r>
          </w:p>
        </w:tc>
        <w:tc>
          <w:tcPr>
            <w:tcW w:type="dxa" w:w="8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55,9</w:t>
            </w:r>
          </w:p>
        </w:tc>
      </w:tr>
      <w:tr>
        <w:trPr>
          <w:cantSplit/>
          <w:tblHeader w:val="false"/>
        </w:trPr>
        <w:tc>
          <w:tcPr>
            <w:tcW w:type="dxa" w:w="1770"/>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M/CV totale</w:t>
            </w:r>
          </w:p>
        </w:tc>
        <w:tc>
          <w:tcPr>
            <w:tcW w:type="dxa" w:w="21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359 400</w:t>
            </w:r>
          </w:p>
        </w:tc>
        <w:tc>
          <w:tcPr>
            <w:tcW w:type="dxa" w:w="688"/>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42,8</w:t>
            </w:r>
          </w:p>
        </w:tc>
        <w:tc>
          <w:tcPr>
            <w:tcW w:type="dxa" w:w="21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169 500</w:t>
            </w:r>
          </w:p>
        </w:tc>
        <w:tc>
          <w:tcPr>
            <w:tcW w:type="dxa" w:w="688"/>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47,1</w:t>
            </w:r>
          </w:p>
        </w:tc>
        <w:tc>
          <w:tcPr>
            <w:tcW w:type="dxa" w:w="1278"/>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528 900</w:t>
            </w:r>
          </w:p>
        </w:tc>
        <w:tc>
          <w:tcPr>
            <w:tcW w:type="dxa" w:w="888"/>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44,075</w:t>
            </w:r>
          </w:p>
        </w:tc>
      </w:tr>
      <w:tr>
        <w:trPr>
          <w:cantSplit/>
          <w:tblHeader w:val="false"/>
        </w:trPr>
        <w:tc>
          <w:tcPr>
            <w:tcW w:type="dxa" w:w="17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M/CV unitaire</w:t>
            </w:r>
          </w:p>
        </w:tc>
        <w:tc>
          <w:tcPr>
            <w:tcW w:type="dxa" w:w="21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359 400 / 24 000 = 14,975</w:t>
            </w:r>
          </w:p>
        </w:tc>
        <w:tc>
          <w:tcPr>
            <w:tcW w:type="dxa" w:w="6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21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169 500 / 6 000 = 28,25</w:t>
            </w:r>
          </w:p>
        </w:tc>
        <w:tc>
          <w:tcPr>
            <w:tcW w:type="dxa" w:w="6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2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88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r>
      <w:tr>
        <w:trPr>
          <w:cantSplit/>
          <w:tblHeader w:val="false"/>
        </w:trPr>
        <w:tc>
          <w:tcPr>
            <w:tcW w:type="dxa" w:w="17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fixes</w:t>
            </w:r>
          </w:p>
        </w:tc>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6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21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6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2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320 000</w:t>
            </w:r>
          </w:p>
        </w:tc>
        <w:tc>
          <w:tcPr>
            <w:tcW w:type="dxa" w:w="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r>
      <w:tr>
        <w:trPr>
          <w:cantSplit/>
          <w:tblHeader w:val="false"/>
        </w:trPr>
        <w:tc>
          <w:tcPr>
            <w:tcW w:type="dxa" w:w="1770"/>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left"/>
            </w:pPr>
            <w:r>
              <w:rPr>
                <w:b/>
                <w:bCs/>
                <w:sz w:val="20"/>
                <w:szCs w:val="20"/>
              </w:rPr>
              <w:t xml:space="preserve">Résultat</w:t>
            </w:r>
          </w:p>
        </w:tc>
        <w:tc>
          <w:tcPr>
            <w:tcW w:type="dxa" w:w="21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p>
        </w:tc>
        <w:tc>
          <w:tcPr>
            <w:tcW w:type="dxa" w:w="688"/>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p>
        </w:tc>
        <w:tc>
          <w:tcPr>
            <w:tcW w:type="dxa" w:w="2163"/>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p>
        </w:tc>
        <w:tc>
          <w:tcPr>
            <w:tcW w:type="dxa" w:w="688"/>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p>
        </w:tc>
        <w:tc>
          <w:tcPr>
            <w:tcW w:type="dxa" w:w="1278"/>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r>
              <w:rPr>
                <w:b/>
                <w:bCs/>
                <w:sz w:val="20"/>
                <w:szCs w:val="20"/>
              </w:rPr>
              <w:t xml:space="preserve">208 900</w:t>
            </w:r>
          </w:p>
        </w:tc>
        <w:tc>
          <w:tcPr>
            <w:tcW w:type="dxa" w:w="888"/>
            <w:tcBorders>
              <w:top w:val="single" w:color="BFBFBF" w:sz="4"/>
              <w:left w:val="single" w:color="BFBFBF" w:sz="4"/>
              <w:bottom w:val="single" w:color="BFBFBF" w:sz="4"/>
              <w:right w:val="single" w:color="BFBFBF" w:sz="4"/>
            </w:tcBorders>
            <w:shd w:fill="D9F2EF" w:color="auto" w:val="clear"/>
            <w:tcMar>
              <w:top w:type="dxa" w:w="50"/>
              <w:left w:type="dxa" w:w="90"/>
              <w:bottom w:type="dxa" w:w="50"/>
              <w:right w:type="dxa" w:w="90"/>
            </w:tcMar>
          </w:tcPr>
          <w:p>
            <w:pPr>
              <w:jc w:val="right"/>
            </w:pPr>
          </w:p>
        </w:tc>
      </w:tr>
    </w:tbl>
    <w:p>
      <w:pPr>
        <w:spacing w:after="120"/>
      </w:pPr>
    </w:p>
    <w:p>
      <w:pPr>
        <w:spacing w:after="100"/>
      </w:pPr>
      <w:r>
        <w:t xml:space="preserve">(1) CV de X = 666 800 + 37 800 – 224 000 = 480 600 ; (2) CV de Y = 278 400 + 8 100 – 96 000 = 190 500.</w:t>
      </w: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Dans les notes : « 320 000 × 8 400 / 120 000 » → </w:t>
      </w:r>
      <w:r>
        <w:rPr>
          <w:b/>
          <w:bCs/>
        </w:rPr>
        <w:t xml:space="preserve">84 000</w:t>
      </w:r>
      <w:r>
        <w:t xml:space="preserve"> ; « 666 800 + 37 800 – 244 000 » → </w:t>
      </w:r>
      <w:r>
        <w:rPr>
          <w:b/>
          <w:bCs/>
        </w:rPr>
        <w:t xml:space="preserve">224 000</w:t>
      </w:r>
      <w:r>
        <w:t xml:space="preserve"> ; total coût de revient « 991 199 » → </w:t>
      </w:r>
      <w:r>
        <w:rPr>
          <w:b/>
          <w:bCs/>
        </w:rPr>
        <w:t xml:space="preserve">991 100</w:t>
      </w:r>
      <w:r>
        <w:t xml:space="preserve">. Les pourcentages 42,78 / 47,08 sont des </w:t>
      </w:r>
      <w:r>
        <w:rPr>
          <w:b/>
          <w:bCs/>
        </w:rPr>
        <w:t xml:space="preserve">taux de M/CV</w:t>
      </w:r>
      <w:r>
        <w:t xml:space="preserve"> (et non des taux de CV).</w:t>
      </w:r>
    </w:p>
    <w:p>
      <w:pPr>
        <w:spacing w:after="120"/>
      </w:pPr>
    </w:p>
    <w:p>
      <w:pPr>
        <w:spacing w:after="100"/>
      </w:pPr>
      <w:r>
        <w:rPr>
          <w:b/>
          <w:bCs/>
        </w:rPr>
        <w:t xml:space="preserve">3. Seuil de rentabilité du mois</w:t>
      </w:r>
      <w:r>
        <w:t xml:space="preserve"> : 0,44075 × CA = 320 000 ⇔ SR = 320 000 / 0,44075 = </w:t>
      </w:r>
      <w:r>
        <w:rPr>
          <w:b/>
          <w:bCs/>
        </w:rPr>
        <w:t xml:space="preserve">726 035 €</w:t>
      </w:r>
      <w:r>
        <w:t xml:space="preserve">.</w:t>
      </w:r>
    </w:p>
    <w:p>
      <w:pPr>
        <w:spacing w:after="100"/>
      </w:pPr>
      <w:r>
        <w:rPr>
          <w:b/>
          <w:bCs/>
        </w:rPr>
        <w:t xml:space="preserve">4. SR en articles (toujours 4 X pour 1 Y)</w:t>
      </w:r>
      <w:r>
        <w:t xml:space="preserve">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Une « combinaison productive » (4 X + 1 Y) représente un CA de 4 × 35 + 1 × 60 = </w:t>
      </w:r>
      <w:r>
        <w:rPr>
          <w:b/>
          <w:bCs/>
        </w:rPr>
        <w:t xml:space="preserve">200 €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Nombre de combinaisons = 726 035 / 200 = 3 630,2 → </w:t>
      </w:r>
      <w:r>
        <w:rPr>
          <w:b/>
          <w:bCs/>
        </w:rPr>
        <w:t xml:space="preserve">3 631 combinaisons</w:t>
      </w:r>
      <w:r>
        <w:t xml:space="preserve">, soit </w:t>
      </w:r>
      <w:r>
        <w:rPr>
          <w:b/>
          <w:bCs/>
        </w:rPr>
        <w:t xml:space="preserve">14 524 X et 3 631 Y</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(Vérification : M/CV d'une combinaison = 4 × 14,975 + 28,25 = 88,15 € → 320 000 / 88,15 = 3 630,2)</w:t>
      </w:r>
    </w:p>
    <w:p>
      <w:pPr>
        <w:spacing w:after="120"/>
      </w:pPr>
    </w:p>
    <w:p>
      <w:pPr>
        <w:spacing w:after="100"/>
      </w:pPr>
      <w:r>
        <w:rPr>
          <w:b/>
          <w:bCs/>
        </w:rPr>
        <w:t xml:space="preserve">5.a Nouveau prix de X</w:t>
      </w:r>
      <w:r>
        <w:t xml:space="preserve"> pour avoir le même taux de résultat que Y (73 500 / 360 000 = </w:t>
      </w:r>
      <w:r>
        <w:rPr>
          <w:b/>
          <w:bCs/>
        </w:rPr>
        <w:t xml:space="preserve">20,42 %</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p>
        </w:tc>
        <w:tc>
          <w:tcPr>
            <w:tcW w:type="dxa" w:w="4819"/>
            <w:tcBorders>
              <w:top w:val="single" w:color="BFBFBF" w:sz="4"/>
              <w:left w:val="single" w:color="BFBFBF" w:sz="4"/>
              <w:bottom w:val="single" w:color="BFBFBF" w:sz="4"/>
              <w:right w:val="single" w:color="BFBFBF" w:sz="4"/>
            </w:tcBorders>
            <w:shd w:fill="00897B" w:color="auto" w:val="clear"/>
            <w:tcMar>
              <w:top w:type="dxa" w:w="50"/>
              <w:left w:type="dxa" w:w="90"/>
              <w:bottom w:type="dxa" w:w="50"/>
              <w:right w:type="dxa" w:w="90"/>
            </w:tcMar>
          </w:tcPr>
          <w:p>
            <w:pPr>
              <w:jc w:val="center"/>
            </w:pPr>
            <w:r>
              <w:rPr>
                <w:b/>
                <w:bCs/>
                <w:color w:val="FFFFFF"/>
                <w:sz w:val="20"/>
                <w:szCs w:val="20"/>
              </w:rPr>
              <w:t xml:space="preserve">Montant</w:t>
            </w:r>
          </w:p>
        </w:tc>
      </w:tr>
      <w:tr>
        <w:trPr>
          <w:cantSplit/>
          <w:tblHeader w:val="false"/>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24 000 P</w:t>
            </w:r>
          </w:p>
        </w:tc>
      </w:tr>
      <w:tr>
        <w:trPr>
          <w:cantSplit/>
          <w:tblHeader w:val="false"/>
        </w:trPr>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Coût de production</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666 800</w:t>
            </w:r>
          </w:p>
        </w:tc>
      </w:tr>
      <w:tr>
        <w:trPr>
          <w:cantSplit/>
          <w:tblHeader w:val="false"/>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de distribution</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4,5 % × 24 000 P</w:t>
            </w:r>
          </w:p>
        </w:tc>
      </w:tr>
      <w:tr>
        <w:trPr>
          <w:cantSplit/>
          <w:tblHeader w:val="false"/>
        </w:trPr>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Résultat visé</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20,42 % × 24 000 P</w:t>
            </w:r>
          </w:p>
        </w:tc>
      </w:tr>
    </w:tbl>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24 000 P – 666 800 – 0,045 × 24 000 P = 0,2042 × 24 000 P</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24 000 P – 1 080 P – 4 900 P = 666 800 ⇔ 18 020 P = 666 800 ⇔ </w:t>
      </w:r>
      <w:r>
        <w:rPr>
          <w:b/>
          <w:bCs/>
        </w:rPr>
        <w:t xml:space="preserve">P = 37 €</w:t>
      </w:r>
    </w:p>
    <w:p>
      <w:pPr>
        <w:spacing w:after="120"/>
      </w:pPr>
    </w:p>
    <w:p>
      <w:pPr>
        <w:spacing w:after="100"/>
      </w:pPr>
      <w:r>
        <w:rPr>
          <w:b/>
          <w:bCs/>
        </w:rPr>
        <w:t xml:space="preserve">5.b Production pour un résultat mensuel de 385 000 €</w:t>
      </w:r>
      <w:r>
        <w:t xml:space="preserve"> (CF +12 500 €/mois)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M/CV nécessaire = 320 000 + 12 500 + 385 000 = </w:t>
      </w:r>
      <w:r>
        <w:rPr>
          <w:b/>
          <w:bCs/>
        </w:rPr>
        <w:t xml:space="preserve">717 500 €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nécessaire = 717 500 / 0,44075 = </w:t>
      </w:r>
      <w:r>
        <w:rPr>
          <w:b/>
          <w:bCs/>
        </w:rPr>
        <w:t xml:space="preserve">1 627 906 €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Combinaisons = 1 627 906 / 200 = </w:t>
      </w:r>
      <w:r>
        <w:rPr>
          <w:b/>
          <w:bCs/>
        </w:rPr>
        <w:t xml:space="preserve">8 140</w:t>
      </w:r>
      <w:r>
        <w:t xml:space="preserve">, soit </w:t>
      </w:r>
      <w:r>
        <w:rPr>
          <w:b/>
          <w:bCs/>
        </w:rPr>
        <w:t xml:space="preserve">32 560 X et 8 140 Y</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Hausse des quantités : 8 140 / 6 000 = </w:t>
      </w:r>
      <w:r>
        <w:rPr>
          <w:b/>
          <w:bCs/>
        </w:rPr>
        <w:t xml:space="preserve">+36 %</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écrivaient d'abord « CA – (320 000 + 15 000) » : l'augmentation des CF est de </w:t>
      </w:r>
      <w:r>
        <w:rPr>
          <w:b/>
          <w:bCs/>
        </w:rPr>
        <w:t xml:space="preserve">12 500 €</w:t>
      </w:r>
      <w:r>
        <w:t xml:space="preserve">, comme dans la suite du calcul. Dans le tableau du 5.a, « 2 400 P » → </w:t>
      </w:r>
      <w:r>
        <w:rPr>
          <w:b/>
          <w:bCs/>
        </w:rPr>
        <w:t xml:space="preserve">24 000 P</w:t>
      </w:r>
      <w:r>
        <w:t xml:space="preserve">.</w:t>
      </w:r>
    </w:p>
    <w:p>
      <w:pPr>
        <w:spacing w:after="120"/>
      </w:pPr>
    </w:p>
    <w:p>
      <w:pPr>
        <w:spacing w:after="120" w:before="60"/>
      </w:pPr>
      <w:r>
        <w:rPr>
          <w:b/>
          <w:bCs/>
          <w:color w:val="FFFFFF"/>
          <w:sz w:val="20"/>
          <w:szCs w:val="20"/>
          <w:shd w:fill="217346" w:color="auto" w:val="clear"/>
        </w:rPr>
        <w:t xml:space="preserve"> 📊 Voir Excel – SANTAL </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120" w:right="120"/>
      </w:pPr>
      <w:r>
        <w:rPr>
          <w:b/>
          <w:bCs/>
          <w:color w:val="548235"/>
          <w:sz w:val="23"/>
          <w:szCs w:val="23"/>
        </w:rPr>
        <w:t xml:space="preserve">★ POINTS À RETENIR</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Les coûts partiels évitent la </w:t>
      </w:r>
      <w:r>
        <w:rPr>
          <w:b/>
          <w:bCs/>
        </w:rPr>
        <w:t xml:space="preserve">répartition arbitraire</w:t>
      </w:r>
      <w:r>
        <w:t xml:space="preserve"> des charges indirectes : on juge chaque produit sur sa </w:t>
      </w:r>
      <w:r>
        <w:rPr>
          <w:b/>
          <w:bCs/>
        </w:rPr>
        <w:t xml:space="preserve">marge</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Coûts variables = A + B (→ </w:t>
      </w:r>
      <w:r>
        <w:rPr>
          <w:b/>
          <w:bCs/>
        </w:rPr>
        <w:t xml:space="preserve">M/CV</w:t>
      </w:r>
      <w:r>
        <w:t xml:space="preserve">) ; coûts directs = A + C ; coûts spécifiques = A + B + C (→ </w:t>
      </w:r>
      <w:r>
        <w:rPr>
          <w:b/>
          <w:bCs/>
        </w:rPr>
        <w:t xml:space="preserve">marge sur coût spécifique</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Un produit dont la </w:t>
      </w:r>
      <w:r>
        <w:rPr>
          <w:b/>
          <w:bCs/>
        </w:rPr>
        <w:t xml:space="preserve">M/CV est positive</w:t>
      </w:r>
      <w:r>
        <w:t xml:space="preserve"> contribue à couvrir les CF. Un produit à </w:t>
      </w:r>
      <w:r>
        <w:rPr>
          <w:b/>
          <w:bCs/>
        </w:rPr>
        <w:t xml:space="preserve">marge sur coût spécifique négative</w:t>
      </w:r>
      <w:r>
        <w:t xml:space="preserve"> peut être supprimé : le résultat augmente de cette marge (attention aux effets sur les autres ventes).</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La méthode dépend de la </w:t>
      </w:r>
      <w:r>
        <w:rPr>
          <w:b/>
          <w:bCs/>
        </w:rPr>
        <w:t xml:space="preserve">structure des charges</w:t>
      </w:r>
      <w:r>
        <w:t xml:space="preserve"> de l'entreprise.</w:t>
      </w:r>
    </w:p>
    <w:p>
      <w:pPr>
        <w:keepNext w:val="false"/>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Avec plusieurs produits vendus en proportion fixe, on raisonne sur une </w:t>
      </w:r>
      <w:r>
        <w:rPr>
          <w:b/>
          <w:bCs/>
        </w:rPr>
        <w:t xml:space="preserve">combinaison productive</w:t>
      </w:r>
      <w:r>
        <w:t xml:space="preserve">.</w:t>
      </w:r>
    </w:p>
    <w:p>
      <w:pPr>
        <w:spacing w:after="120"/>
      </w:pPr>
    </w:p>
    <w:p>
      <w:pPr>
        <w:pStyle w:val="Heading1"/>
        <w:pageBreakBefore/>
        <w:pBdr>
          <w:left w:val="single" w:color="B8860B" w:sz="48" w:space="8"/>
        </w:pBdr>
        <w:shd w:fill="B8860B" w:color="auto" w:val="clear"/>
        <w:spacing w:after="240" w:before="0"/>
        <w:ind w:left="0"/>
      </w:pPr>
      <w:bookmarkStart w:name="ch52" w:id="52"/>
      <w:r>
        <w:rPr>
          <w:b/>
          <w:bCs/>
          <w:color w:val="FFFFFF"/>
          <w:sz w:val="36"/>
          <w:szCs w:val="36"/>
        </w:rPr>
        <w:t xml:space="preserve">Chapitre 5 – L'imputation rationnelle des charges fixes</w:t>
      </w:r>
      <w:bookmarkEnd w:id="52"/>
    </w:p>
    <w:p>
      <w:pPr>
        <w:pStyle w:val="Heading2"/>
        <w:keepNext/>
        <w:pBdr>
          <w:bottom w:val="single" w:color="B8860B" w:sz="8" w:space="2"/>
        </w:pBdr>
        <w:spacing w:after="120" w:before="300"/>
      </w:pPr>
      <w:bookmarkStart w:name="s53" w:id="53"/>
      <w:r>
        <w:rPr>
          <w:b/>
          <w:bCs/>
          <w:color w:val="B8860B"/>
          <w:sz w:val="30"/>
          <w:szCs w:val="30"/>
        </w:rPr>
        <w:t xml:space="preserve">1. Fondements de la méthode</w:t>
      </w:r>
      <w:bookmarkEnd w:id="53"/>
    </w:p>
    <w:p>
      <w:pPr>
        <w:spacing w:after="100"/>
      </w:pPr>
      <w:r>
        <w:t xml:space="preserve">À court terme (moins de 2 ans), les moyens de production existent et les seuls coûts sur lesquels le gestionnaire peut agir sont les coûts variables. Il est alors intéressant de mettre en évidence, dans le résultat, </w:t>
      </w:r>
      <w:r>
        <w:rPr>
          <w:b/>
          <w:bCs/>
        </w:rPr>
        <w:t xml:space="preserve">la part qui revient à une mauvaise anticipation des capacités de production</w:t>
      </w:r>
      <w:r>
        <w:t xml:space="preserve"> : c'est l'objet de l'</w:t>
      </w:r>
      <w:r>
        <w:rPr>
          <w:b/>
          <w:bCs/>
        </w:rPr>
        <w:t xml:space="preserve">imputation rationnelle (IR)</w:t>
      </w:r>
      <w:r>
        <w:t xml:space="preserve"> des charges fixes.</w:t>
      </w:r>
    </w:p>
    <w:p>
      <w:pPr>
        <w:spacing w:after="100"/>
      </w:pPr>
      <w:r>
        <w:t xml:space="preserve">Les charges fixes </w:t>
      </w:r>
      <w:r>
        <w:rPr>
          <w:b/>
          <w:bCs/>
        </w:rPr>
        <w:t xml:space="preserve">unitaires</w:t>
      </w:r>
      <w:r>
        <w:t xml:space="preserve"> sont </w:t>
      </w:r>
      <w:r>
        <w:rPr>
          <w:b/>
          <w:bCs/>
        </w:rPr>
        <w:t xml:space="preserve">décroissantes</w:t>
      </w:r>
      <w:r>
        <w:t xml:space="preserve"> avec l'activité : plus on produit, plus les CF sont « diluées ». Le coût de revient unitaire varie donc avec le niveau d'activité, même si l'entreprise n'est ni plus ni moins efficace. L'imputation rationnelle permet de </w:t>
      </w:r>
      <w:r>
        <w:rPr>
          <w:b/>
          <w:bCs/>
        </w:rPr>
        <w:t xml:space="preserve">neutraliser l'influence de l'absorption des charges fixes</w:t>
      </w:r>
      <w:r>
        <w:t xml:space="preserve"> sur le coût de revient.</w:t>
      </w:r>
    </w:p>
    <w:p>
      <w:pPr>
        <w:pStyle w:val="Heading2"/>
        <w:keepNext/>
        <w:pBdr>
          <w:bottom w:val="single" w:color="B8860B" w:sz="8" w:space="2"/>
        </w:pBdr>
        <w:spacing w:after="120" w:before="300"/>
      </w:pPr>
      <w:bookmarkStart w:name="s54" w:id="54"/>
      <w:r>
        <w:rPr>
          <w:b/>
          <w:bCs/>
          <w:color w:val="B8860B"/>
          <w:sz w:val="30"/>
          <w:szCs w:val="30"/>
        </w:rPr>
        <w:t xml:space="preserve">2. Mise en œuvre</w:t>
      </w:r>
      <w:bookmarkEnd w:id="54"/>
    </w:p>
    <w:p>
      <w:pPr>
        <w:pStyle w:val="ListParagraph"/>
        <w:numPr>
          <w:ilvl w:val="0"/>
          <w:numId w:val="2"/>
        </w:numPr>
        <w:spacing w:after="60"/>
      </w:pPr>
      <w:r>
        <w:t xml:space="preserve">On définit une </w:t>
      </w:r>
      <w:r>
        <w:rPr>
          <w:b/>
          <w:bCs/>
        </w:rPr>
        <w:t xml:space="preserve">activité normale</w:t>
      </w:r>
      <w:r>
        <w:t xml:space="preserve"> qui sert de référence.</w:t>
      </w:r>
    </w:p>
    <w:p>
      <w:pPr>
        <w:pStyle w:val="ListParagraph"/>
        <w:numPr>
          <w:ilvl w:val="0"/>
          <w:numId w:val="2"/>
        </w:numPr>
        <w:spacing w:after="60"/>
      </w:pPr>
      <w:r>
        <w:t xml:space="preserve">On calcule un </w:t>
      </w:r>
      <w:r>
        <w:rPr>
          <w:b/>
          <w:bCs/>
        </w:rPr>
        <w:t xml:space="preserve">coefficient d'imputation rationnelle</w:t>
      </w:r>
      <w:r>
        <w:t xml:space="preserve">.</w:t>
      </w:r>
    </w:p>
    <w:p>
      <w:pPr>
        <w:pStyle w:val="ListParagraph"/>
        <w:numPr>
          <w:ilvl w:val="0"/>
          <w:numId w:val="2"/>
        </w:numPr>
        <w:spacing w:after="60"/>
      </w:pPr>
      <w:r>
        <w:t xml:space="preserve">Les </w:t>
      </w:r>
      <w:r>
        <w:rPr>
          <w:b/>
          <w:bCs/>
        </w:rPr>
        <w:t xml:space="preserve">charges fixes</w:t>
      </w:r>
      <w:r>
        <w:t xml:space="preserve"> sont imputées aux coûts en fonction de ce coefficient ; les </w:t>
      </w:r>
      <w:r>
        <w:rPr>
          <w:b/>
          <w:bCs/>
        </w:rPr>
        <w:t xml:space="preserve">charges variables ne sont pas retraitées</w:t>
      </w:r>
      <w:r>
        <w:t xml:space="preserv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Coefficient d'IR</w:t>
      </w:r>
      <w:r>
        <w:rPr>
          <w:b w:val="false"/>
          <w:bCs w:val="false"/>
        </w:rPr>
        <w:t xml:space="preserve"> = Activité réelle ÷ Activité normale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CF imputées</w:t>
      </w:r>
      <w:r>
        <w:rPr>
          <w:b w:val="false"/>
          <w:bCs w:val="false"/>
        </w:rPr>
        <w:t xml:space="preserve"> = CF réelles × Coefficient d'IR</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Écart d'imputation</w:t>
      </w:r>
      <w:r>
        <w:rPr>
          <w:b w:val="false"/>
          <w:bCs w:val="false"/>
        </w:rPr>
        <w:t xml:space="preserve"> = CF réelles – CF imputées</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420" w:right="120" w:hanging="300"/>
      </w:pPr>
      <w:r>
        <w:rPr>
          <w:b/>
          <w:bCs/>
          <w:color w:val="2E75B6"/>
        </w:rPr>
        <w:t xml:space="preserve">•  </w:t>
      </w:r>
      <w:r>
        <w:rPr>
          <w:b w:val="false"/>
          <w:bCs w:val="false"/>
        </w:rPr>
        <w:t xml:space="preserve">Écart &gt; 0 (coef. &lt; 1) : </w:t>
      </w:r>
      <w:r>
        <w:rPr>
          <w:b/>
          <w:bCs/>
        </w:rPr>
        <w:t xml:space="preserve">coût de chômage</w:t>
      </w:r>
      <w:r>
        <w:rPr>
          <w:b w:val="false"/>
          <w:bCs w:val="false"/>
        </w:rPr>
        <w:t xml:space="preserve"> (de sous-activité) → charge non imputée aux produits</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420" w:right="120" w:hanging="300"/>
      </w:pPr>
      <w:r>
        <w:rPr>
          <w:b/>
          <w:bCs/>
          <w:color w:val="2E75B6"/>
        </w:rPr>
        <w:t xml:space="preserve">•  </w:t>
      </w:r>
      <w:r>
        <w:rPr>
          <w:b w:val="false"/>
          <w:bCs w:val="false"/>
        </w:rPr>
        <w:t xml:space="preserve">Écart &lt; 0 (coef. &gt; 1) : </w:t>
      </w:r>
      <w:r>
        <w:rPr>
          <w:b/>
          <w:bCs/>
        </w:rPr>
        <w:t xml:space="preserve">boni de suractivité</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Résultat réel</w:t>
      </w:r>
      <w:r>
        <w:rPr>
          <w:b w:val="false"/>
          <w:bCs w:val="false"/>
        </w:rPr>
        <w:t xml:space="preserve"> = Résultat rationnel – Coût de chômage + Boni de suractivité</w:t>
      </w:r>
    </w:p>
    <w:p>
      <w:pPr>
        <w:spacing w:after="120"/>
      </w:pPr>
    </w:p>
    <w:p>
      <w:pPr>
        <w:spacing w:after="100"/>
      </w:pPr>
      <w:r>
        <w:t xml:space="preserve">Cette pratique permet d'</w:t>
      </w:r>
      <w:r>
        <w:rPr>
          <w:b/>
          <w:bCs/>
        </w:rPr>
        <w:t xml:space="preserve">assimiler le comportement des charges fixes à celui des charges variables</w:t>
      </w:r>
      <w:r>
        <w:t xml:space="preserve"> : l'influence du niveau d'activité est neutralisée. La méthode </w:t>
      </w:r>
      <w:r>
        <w:rPr>
          <w:b/>
          <w:bCs/>
        </w:rPr>
        <w:t xml:space="preserve">ne modifie pas le montant réel des charges fixes</w:t>
      </w:r>
      <w:r>
        <w:t xml:space="preserve">, seulement le montant imputé dans les coûts. La différence exprime un coût de chômage (sous-activité) ou un boni de suractivité.</w:t>
      </w: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rPr>
          <w:b/>
          <w:bCs/>
          <w:color w:val="7F6000"/>
          <w:sz w:val="23"/>
          <w:szCs w:val="23"/>
        </w:rPr>
        <w:t xml:space="preserve">💡 À noter</w:t>
      </w:r>
    </w:p>
    <w:p>
      <w:pPr>
        <w:keepNext w:val="false"/>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t xml:space="preserve">Pour un centre auxiliaire </w:t>
      </w:r>
      <w:r>
        <w:rPr>
          <w:b/>
          <w:bCs/>
        </w:rPr>
        <w:t xml:space="preserve">sans mesure propre de son activité</w:t>
      </w:r>
      <w:r>
        <w:t xml:space="preserve">, le coefficient d'IR est égal à la </w:t>
      </w:r>
      <w:r>
        <w:rPr>
          <w:b/>
          <w:bCs/>
        </w:rPr>
        <w:t xml:space="preserve">moyenne des coefficients des centres récepteurs, pondérée par la part des charges qu'ils reçoivent</w:t>
      </w:r>
      <w:r>
        <w:t xml:space="preserve"> de ce centre.</w:t>
      </w:r>
    </w:p>
    <w:p>
      <w:pPr>
        <w:spacing w:after="120"/>
      </w:pPr>
    </w:p>
    <w:p>
      <w:pPr>
        <w:pStyle w:val="Heading2"/>
        <w:keepNext/>
        <w:pBdr>
          <w:bottom w:val="single" w:color="B8860B" w:sz="8" w:space="2"/>
        </w:pBdr>
        <w:spacing w:after="120" w:before="300"/>
      </w:pPr>
      <w:bookmarkStart w:name="s55" w:id="55"/>
      <w:r>
        <w:rPr>
          <w:b/>
          <w:bCs/>
          <w:color w:val="B8860B"/>
          <w:sz w:val="30"/>
          <w:szCs w:val="30"/>
        </w:rPr>
        <w:t xml:space="preserve">3. Champ d'application</w:t>
      </w:r>
      <w:bookmarkEnd w:id="55"/>
    </w:p>
    <w:p>
      <w:pPr>
        <w:spacing w:after="100"/>
      </w:pPr>
      <w:r>
        <w:t xml:space="preserve">Peu d'entreprises utilisent cette méthode de façon systématique. Elle permet :</w:t>
      </w:r>
    </w:p>
    <w:p>
      <w:pPr>
        <w:pStyle w:val="ListParagraph"/>
        <w:numPr>
          <w:ilvl w:val="0"/>
          <w:numId w:val="2"/>
        </w:numPr>
        <w:spacing w:after="60"/>
      </w:pPr>
      <w:r>
        <w:t xml:space="preserve">d'</w:t>
      </w:r>
      <w:r>
        <w:rPr>
          <w:b/>
          <w:bCs/>
        </w:rPr>
        <w:t xml:space="preserve">éviter de fortes variations du coût de revient</w:t>
      </w:r>
      <w:r>
        <w:t xml:space="preserve"> dans les entreprises soumises à des </w:t>
      </w:r>
      <w:r>
        <w:rPr>
          <w:b/>
          <w:bCs/>
        </w:rPr>
        <w:t xml:space="preserve">variations saisonnières</w:t>
      </w:r>
      <w:r>
        <w:t xml:space="preserve"> importantes ;</w:t>
      </w:r>
    </w:p>
    <w:p>
      <w:pPr>
        <w:pStyle w:val="ListParagraph"/>
        <w:numPr>
          <w:ilvl w:val="0"/>
          <w:numId w:val="2"/>
        </w:numPr>
        <w:spacing w:after="60"/>
      </w:pPr>
      <w:r>
        <w:t xml:space="preserve">d'</w:t>
      </w:r>
      <w:r>
        <w:rPr>
          <w:b/>
          <w:bCs/>
        </w:rPr>
        <w:t xml:space="preserve">identifier le coût de la sous-activité</w:t>
      </w:r>
      <w:r>
        <w:t xml:space="preserve"> en cas de sous-occupation ponctuelle des capacités de production.</w:t>
      </w:r>
    </w:p>
    <w:p>
      <w:pPr>
        <w:pStyle w:val="Heading3"/>
        <w:keepNext/>
        <w:pBdr>
          <w:left w:val="single" w:color="B8860B" w:sz="24" w:space="6"/>
        </w:pBdr>
        <w:shd w:fill="F7EBCB" w:color="auto" w:val="clear"/>
        <w:spacing w:after="100" w:before="280"/>
      </w:pPr>
      <w:bookmarkStart w:name="cas56" w:id="56"/>
      <w:r>
        <w:rPr>
          <w:b/>
          <w:bCs/>
          <w:color w:val="B8860B"/>
          <w:sz w:val="25"/>
          <w:szCs w:val="25"/>
        </w:rPr>
        <w:t xml:space="preserve">📌 Exemple – Société des produits P1 et P2</w:t>
      </w:r>
      <w:bookmarkEnd w:id="56"/>
    </w:p>
    <w:p>
      <w:pPr>
        <w:spacing w:after="120" w:before="60"/>
      </w:pPr>
      <w:r>
        <w:rPr>
          <w:b/>
          <w:bCs/>
          <w:color w:val="FFFFFF"/>
          <w:sz w:val="20"/>
          <w:szCs w:val="20"/>
          <w:shd w:fill="7030A0" w:color="auto" w:val="clear"/>
        </w:rPr>
        <w:t xml:space="preserve"> 📄 Voir énoncé – Société des produits P1 et P2 </w:t>
      </w:r>
    </w:p>
    <w:p>
      <w:pPr>
        <w:spacing w:after="100"/>
      </w:pPr>
      <w:r>
        <w:rPr>
          <w:b/>
          <w:bCs/>
        </w:rPr>
        <w:t xml:space="preserve">1. Coefficients d'imputation rationnelle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2304"/>
        <w:gridCol w:w="2723"/>
        <w:gridCol w:w="2516"/>
      </w:tblGrid>
      <w:tr>
        <w:trPr>
          <w:cantSplit/>
          <w:tblHeader/>
        </w:trPr>
        <w:tc>
          <w:tcPr>
            <w:tcW w:type="dxa" w:w="2095"/>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Centre</w:t>
            </w:r>
          </w:p>
        </w:tc>
        <w:tc>
          <w:tcPr>
            <w:tcW w:type="dxa" w:w="230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Activité normale</w:t>
            </w:r>
          </w:p>
        </w:tc>
        <w:tc>
          <w:tcPr>
            <w:tcW w:type="dxa" w:w="2723"/>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Activité réelle</w:t>
            </w:r>
          </w:p>
        </w:tc>
        <w:tc>
          <w:tcPr>
            <w:tcW w:type="dxa" w:w="2516"/>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Coefficient d'IR</w:t>
            </w:r>
          </w:p>
        </w:tc>
      </w:tr>
      <w:tr>
        <w:trPr>
          <w:cantSplit/>
          <w:tblHeader w:val="false"/>
        </w:trPr>
        <w:tc>
          <w:tcPr>
            <w:tcW w:type="dxa" w:w="2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Entretien</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500 h</w:t>
            </w:r>
          </w:p>
        </w:tc>
        <w:tc>
          <w:tcPr>
            <w:tcW w:type="dxa" w:w="27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525 h</w:t>
            </w:r>
          </w:p>
        </w:tc>
        <w:tc>
          <w:tcPr>
            <w:tcW w:type="dxa" w:w="25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525 / 500 = </w:t>
            </w:r>
            <w:r>
              <w:rPr>
                <w:b/>
                <w:bCs/>
                <w:sz w:val="20"/>
                <w:szCs w:val="20"/>
              </w:rPr>
              <w:t xml:space="preserve">1,05</w:t>
            </w:r>
          </w:p>
        </w:tc>
      </w:tr>
      <w:tr>
        <w:trPr>
          <w:cantSplit/>
          <w:tblHeader w:val="false"/>
        </w:trPr>
        <w:tc>
          <w:tcPr>
            <w:tcW w:type="dxa" w:w="209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Approvisionnement</w:t>
            </w:r>
          </w:p>
        </w:tc>
        <w:tc>
          <w:tcPr>
            <w:tcW w:type="dxa" w:w="23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18 000 kg</w:t>
            </w:r>
          </w:p>
        </w:tc>
        <w:tc>
          <w:tcPr>
            <w:tcW w:type="dxa" w:w="272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15 000 + 4 800 = 19 800 kg</w:t>
            </w:r>
          </w:p>
        </w:tc>
        <w:tc>
          <w:tcPr>
            <w:tcW w:type="dxa" w:w="251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19 800 / 18 000 = </w:t>
            </w:r>
            <w:r>
              <w:rPr>
                <w:b/>
                <w:bCs/>
                <w:sz w:val="20"/>
                <w:szCs w:val="20"/>
              </w:rPr>
              <w:t xml:space="preserve">1,10</w:t>
            </w:r>
          </w:p>
        </w:tc>
      </w:tr>
      <w:tr>
        <w:trPr>
          <w:cantSplit/>
          <w:tblHeader w:val="false"/>
        </w:trPr>
        <w:tc>
          <w:tcPr>
            <w:tcW w:type="dxa" w:w="2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Production</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45 000 produits</w:t>
            </w:r>
          </w:p>
        </w:tc>
        <w:tc>
          <w:tcPr>
            <w:tcW w:type="dxa" w:w="27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41 750 + 10 000 = 51 750</w:t>
            </w:r>
          </w:p>
        </w:tc>
        <w:tc>
          <w:tcPr>
            <w:tcW w:type="dxa" w:w="25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51 750 / 45 000 = </w:t>
            </w:r>
            <w:r>
              <w:rPr>
                <w:b/>
                <w:bCs/>
                <w:sz w:val="20"/>
                <w:szCs w:val="20"/>
              </w:rPr>
              <w:t xml:space="preserve">1,15</w:t>
            </w:r>
          </w:p>
        </w:tc>
      </w:tr>
      <w:tr>
        <w:trPr>
          <w:cantSplit/>
          <w:tblHeader w:val="false"/>
        </w:trPr>
        <w:tc>
          <w:tcPr>
            <w:tcW w:type="dxa" w:w="209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Distribution</w:t>
            </w:r>
          </w:p>
        </w:tc>
        <w:tc>
          <w:tcPr>
            <w:tcW w:type="dxa" w:w="23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42 000 produits vendus</w:t>
            </w:r>
          </w:p>
        </w:tc>
        <w:tc>
          <w:tcPr>
            <w:tcW w:type="dxa" w:w="272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28 600 + 5 000 = 33 600</w:t>
            </w:r>
          </w:p>
        </w:tc>
        <w:tc>
          <w:tcPr>
            <w:tcW w:type="dxa" w:w="251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33 600 / 42 000 = </w:t>
            </w:r>
            <w:r>
              <w:rPr>
                <w:b/>
                <w:bCs/>
                <w:sz w:val="20"/>
                <w:szCs w:val="20"/>
              </w:rPr>
              <w:t xml:space="preserve">0,80</w:t>
            </w:r>
          </w:p>
        </w:tc>
      </w:tr>
      <w:tr>
        <w:trPr>
          <w:cantSplit/>
          <w:tblHeader w:val="false"/>
        </w:trPr>
        <w:tc>
          <w:tcPr>
            <w:tcW w:type="dxa" w:w="20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Administration</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w:t>
            </w:r>
          </w:p>
        </w:tc>
        <w:tc>
          <w:tcPr>
            <w:tcW w:type="dxa" w:w="272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w:t>
            </w:r>
          </w:p>
        </w:tc>
        <w:tc>
          <w:tcPr>
            <w:tcW w:type="dxa" w:w="25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sz w:val="20"/>
                <w:szCs w:val="20"/>
              </w:rPr>
              <w:t xml:space="preserve">1</w:t>
            </w:r>
            <w:r>
              <w:rPr>
                <w:sz w:val="20"/>
                <w:szCs w:val="20"/>
              </w:rPr>
              <w:t xml:space="preserve"> (par principe)</w:t>
            </w:r>
          </w:p>
        </w:tc>
      </w:tr>
    </w:tbl>
    <w:p>
      <w:pPr>
        <w:spacing w:after="120"/>
      </w:pPr>
    </w:p>
    <w:p>
      <w:pPr>
        <w:spacing w:after="100"/>
      </w:pPr>
      <w:r>
        <w:rPr>
          <w:b/>
          <w:bCs/>
        </w:rPr>
        <w:t xml:space="preserve">Assistance</w:t>
      </w:r>
      <w:r>
        <w:t xml:space="preserve"> (pas de mesure propre) → moyenne pondérée par la clé de répartition secondaire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41"/>
        <w:gridCol w:w="2141"/>
        <w:gridCol w:w="2144"/>
      </w:tblGrid>
      <w:tr>
        <w:trPr>
          <w:cantSplit/>
          <w:tblHeader/>
        </w:trPr>
        <w:tc>
          <w:tcPr>
            <w:tcW w:type="dxa" w:w="3212"/>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Centres utilisateurs</w:t>
            </w:r>
          </w:p>
        </w:tc>
        <w:tc>
          <w:tcPr>
            <w:tcW w:type="dxa" w:w="2141"/>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Clé secondaire</w:t>
            </w:r>
          </w:p>
        </w:tc>
        <w:tc>
          <w:tcPr>
            <w:tcW w:type="dxa" w:w="2141"/>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Coefficient IR</w:t>
            </w:r>
          </w:p>
        </w:tc>
        <w:tc>
          <w:tcPr>
            <w:tcW w:type="dxa" w:w="214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Pondération</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Entretien</w:t>
            </w:r>
          </w:p>
        </w:tc>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20 %</w:t>
            </w:r>
          </w:p>
        </w:tc>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1,05</w:t>
            </w:r>
          </w:p>
        </w:tc>
        <w:tc>
          <w:tcPr>
            <w:tcW w:type="dxa" w:w="21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0,210</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Approvisionnement</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10 %</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1,10</w:t>
            </w:r>
          </w:p>
        </w:tc>
        <w:tc>
          <w:tcPr>
            <w:tcW w:type="dxa" w:w="21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0,110</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Production</w:t>
            </w:r>
          </w:p>
        </w:tc>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40 %</w:t>
            </w:r>
          </w:p>
        </w:tc>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1,15</w:t>
            </w:r>
          </w:p>
        </w:tc>
        <w:tc>
          <w:tcPr>
            <w:tcW w:type="dxa" w:w="21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0,460</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Distribution</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20 %</w:t>
            </w:r>
          </w:p>
        </w:tc>
        <w:tc>
          <w:tcPr>
            <w:tcW w:type="dxa" w:w="21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0,80</w:t>
            </w:r>
          </w:p>
        </w:tc>
        <w:tc>
          <w:tcPr>
            <w:tcW w:type="dxa" w:w="214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0,160</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Administration</w:t>
            </w:r>
          </w:p>
        </w:tc>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10 %</w:t>
            </w:r>
          </w:p>
        </w:tc>
        <w:tc>
          <w:tcPr>
            <w:tcW w:type="dxa" w:w="21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1,00</w:t>
            </w:r>
          </w:p>
        </w:tc>
        <w:tc>
          <w:tcPr>
            <w:tcW w:type="dxa" w:w="214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0,100</w:t>
            </w:r>
          </w:p>
        </w:tc>
      </w:tr>
      <w:tr>
        <w:trPr>
          <w:cantSplit/>
          <w:tblHeader w:val="false"/>
        </w:trPr>
        <w:tc>
          <w:tcPr>
            <w:tcW w:type="dxa" w:w="3212"/>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left"/>
            </w:pPr>
            <w:r>
              <w:rPr>
                <w:b/>
                <w:bCs/>
                <w:sz w:val="20"/>
                <w:szCs w:val="20"/>
              </w:rPr>
              <w:t xml:space="preserve">Coefficient IR Assistance</w:t>
            </w:r>
          </w:p>
        </w:tc>
        <w:tc>
          <w:tcPr>
            <w:tcW w:type="dxa" w:w="2141"/>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p>
        </w:tc>
        <w:tc>
          <w:tcPr>
            <w:tcW w:type="dxa" w:w="2141"/>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p>
        </w:tc>
        <w:tc>
          <w:tcPr>
            <w:tcW w:type="dxa" w:w="214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1,04</w:t>
            </w:r>
          </w:p>
        </w:tc>
      </w:tr>
    </w:tbl>
    <w:p>
      <w:pPr>
        <w:spacing w:after="120"/>
      </w:pPr>
    </w:p>
    <w:p>
      <w:pPr>
        <w:spacing w:after="100"/>
      </w:pPr>
      <w:r>
        <w:rPr>
          <w:b/>
          <w:bCs/>
        </w:rPr>
        <w:t xml:space="preserve">2. Tableau de répartition des charges indirectes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154"/>
        <w:gridCol w:w="1154"/>
        <w:gridCol w:w="1104"/>
        <w:gridCol w:w="1204"/>
        <w:gridCol w:w="1204"/>
        <w:gridCol w:w="1409"/>
      </w:tblGrid>
      <w:tr>
        <w:trPr>
          <w:cantSplit/>
          <w:tblHeader/>
        </w:trPr>
        <w:tc>
          <w:tcPr>
            <w:tcW w:type="dxa" w:w="2409"/>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p>
        </w:tc>
        <w:tc>
          <w:tcPr>
            <w:tcW w:type="dxa" w:w="115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Assistance</w:t>
            </w:r>
          </w:p>
        </w:tc>
        <w:tc>
          <w:tcPr>
            <w:tcW w:type="dxa" w:w="115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Entretien</w:t>
            </w:r>
          </w:p>
        </w:tc>
        <w:tc>
          <w:tcPr>
            <w:tcW w:type="dxa" w:w="110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Approv.</w:t>
            </w:r>
          </w:p>
        </w:tc>
        <w:tc>
          <w:tcPr>
            <w:tcW w:type="dxa" w:w="120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Production</w:t>
            </w:r>
          </w:p>
        </w:tc>
        <w:tc>
          <w:tcPr>
            <w:tcW w:type="dxa" w:w="120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Distribution</w:t>
            </w:r>
          </w:p>
        </w:tc>
        <w:tc>
          <w:tcPr>
            <w:tcW w:type="dxa" w:w="1409"/>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Admin.</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variables</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5 000</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15 000</w:t>
            </w:r>
          </w:p>
        </w:tc>
        <w:tc>
          <w:tcPr>
            <w:tcW w:type="dxa" w:w="11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58 200</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83 500</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32 500</w:t>
            </w:r>
          </w:p>
        </w:tc>
        <w:tc>
          <w:tcPr>
            <w:tcW w:type="dxa" w:w="1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w:t>
            </w:r>
          </w:p>
        </w:tc>
      </w:tr>
      <w:tr>
        <w:trPr>
          <w:cantSplit/>
          <w:tblHeader w:val="false"/>
        </w:trPr>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Charges fixes réelles</w:t>
            </w:r>
          </w:p>
        </w:tc>
        <w:tc>
          <w:tcPr>
            <w:tcW w:type="dxa" w:w="11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25 000</w:t>
            </w:r>
          </w:p>
        </w:tc>
        <w:tc>
          <w:tcPr>
            <w:tcW w:type="dxa" w:w="11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30 000</w:t>
            </w:r>
          </w:p>
        </w:tc>
        <w:tc>
          <w:tcPr>
            <w:tcW w:type="dxa" w:w="11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24 600</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67 800</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25 400</w:t>
            </w:r>
          </w:p>
        </w:tc>
        <w:tc>
          <w:tcPr>
            <w:tcW w:type="dxa" w:w="1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75 000</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Coefficient IR</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1,04</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1,05</w:t>
            </w:r>
          </w:p>
        </w:tc>
        <w:tc>
          <w:tcPr>
            <w:tcW w:type="dxa" w:w="11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1,10</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1,15</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0,80</w:t>
            </w:r>
          </w:p>
        </w:tc>
        <w:tc>
          <w:tcPr>
            <w:tcW w:type="dxa" w:w="1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w:t>
            </w:r>
          </w:p>
        </w:tc>
      </w:tr>
      <w:tr>
        <w:trPr>
          <w:cantSplit/>
          <w:tblHeader w:val="false"/>
        </w:trPr>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CF imputées</w:t>
            </w:r>
          </w:p>
        </w:tc>
        <w:tc>
          <w:tcPr>
            <w:tcW w:type="dxa" w:w="11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26 000</w:t>
            </w:r>
          </w:p>
        </w:tc>
        <w:tc>
          <w:tcPr>
            <w:tcW w:type="dxa" w:w="11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31 500</w:t>
            </w:r>
          </w:p>
        </w:tc>
        <w:tc>
          <w:tcPr>
            <w:tcW w:type="dxa" w:w="11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27 060</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77 970</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20 320</w:t>
            </w:r>
          </w:p>
        </w:tc>
        <w:tc>
          <w:tcPr>
            <w:tcW w:type="dxa" w:w="1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75 000</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Écart (CF réelles – imputées)</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(1 000) boni</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(1 500) boni</w:t>
            </w:r>
          </w:p>
        </w:tc>
        <w:tc>
          <w:tcPr>
            <w:tcW w:type="dxa" w:w="11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(2 460) boni</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(10 170) boni</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5 080 chômage</w:t>
            </w:r>
          </w:p>
        </w:tc>
        <w:tc>
          <w:tcPr>
            <w:tcW w:type="dxa" w:w="1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0</w:t>
            </w:r>
          </w:p>
        </w:tc>
      </w:tr>
      <w:tr>
        <w:trPr>
          <w:cantSplit/>
          <w:tblHeader w:val="false"/>
        </w:trPr>
        <w:tc>
          <w:tcPr>
            <w:tcW w:type="dxa" w:w="2409"/>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left"/>
            </w:pPr>
            <w:r>
              <w:rPr>
                <w:b/>
                <w:bCs/>
                <w:sz w:val="20"/>
                <w:szCs w:val="20"/>
              </w:rPr>
              <w:t xml:space="preserve">Total après IR</w:t>
            </w:r>
          </w:p>
        </w:tc>
        <w:tc>
          <w:tcPr>
            <w:tcW w:type="dxa" w:w="115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31 000</w:t>
            </w:r>
          </w:p>
        </w:tc>
        <w:tc>
          <w:tcPr>
            <w:tcW w:type="dxa" w:w="115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46 500</w:t>
            </w:r>
          </w:p>
        </w:tc>
        <w:tc>
          <w:tcPr>
            <w:tcW w:type="dxa" w:w="11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85 260</w:t>
            </w:r>
          </w:p>
        </w:tc>
        <w:tc>
          <w:tcPr>
            <w:tcW w:type="dxa" w:w="12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161 470</w:t>
            </w:r>
          </w:p>
        </w:tc>
        <w:tc>
          <w:tcPr>
            <w:tcW w:type="dxa" w:w="12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52 820</w:t>
            </w:r>
          </w:p>
        </w:tc>
        <w:tc>
          <w:tcPr>
            <w:tcW w:type="dxa" w:w="1409"/>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75 000</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Répartition Assistance</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(41 979)</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8 396</w:t>
            </w:r>
          </w:p>
        </w:tc>
        <w:tc>
          <w:tcPr>
            <w:tcW w:type="dxa" w:w="11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4 198</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16 792</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8 396</w:t>
            </w:r>
          </w:p>
        </w:tc>
        <w:tc>
          <w:tcPr>
            <w:tcW w:type="dxa" w:w="1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4 198</w:t>
            </w:r>
          </w:p>
        </w:tc>
      </w:tr>
      <w:tr>
        <w:trPr>
          <w:cantSplit/>
          <w:tblHeader w:val="false"/>
        </w:trPr>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Répartition Entretien</w:t>
            </w:r>
          </w:p>
        </w:tc>
        <w:tc>
          <w:tcPr>
            <w:tcW w:type="dxa" w:w="11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10 979</w:t>
            </w:r>
          </w:p>
        </w:tc>
        <w:tc>
          <w:tcPr>
            <w:tcW w:type="dxa" w:w="11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(54 896)</w:t>
            </w:r>
          </w:p>
        </w:tc>
        <w:tc>
          <w:tcPr>
            <w:tcW w:type="dxa" w:w="11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10 979</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10 979</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10 979</w:t>
            </w:r>
          </w:p>
        </w:tc>
        <w:tc>
          <w:tcPr>
            <w:tcW w:type="dxa" w:w="1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10 979</w:t>
            </w:r>
          </w:p>
        </w:tc>
      </w:tr>
      <w:tr>
        <w:trPr>
          <w:cantSplit/>
          <w:tblHeader w:val="false"/>
        </w:trPr>
        <w:tc>
          <w:tcPr>
            <w:tcW w:type="dxa" w:w="2409"/>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left"/>
            </w:pPr>
            <w:r>
              <w:rPr>
                <w:b/>
                <w:bCs/>
                <w:sz w:val="20"/>
                <w:szCs w:val="20"/>
              </w:rPr>
              <w:t xml:space="preserve">Total répartition secondaire</w:t>
            </w:r>
          </w:p>
        </w:tc>
        <w:tc>
          <w:tcPr>
            <w:tcW w:type="dxa" w:w="115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0</w:t>
            </w:r>
          </w:p>
        </w:tc>
        <w:tc>
          <w:tcPr>
            <w:tcW w:type="dxa" w:w="115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0</w:t>
            </w:r>
          </w:p>
        </w:tc>
        <w:tc>
          <w:tcPr>
            <w:tcW w:type="dxa" w:w="11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100 437</w:t>
            </w:r>
          </w:p>
        </w:tc>
        <w:tc>
          <w:tcPr>
            <w:tcW w:type="dxa" w:w="12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189 241</w:t>
            </w:r>
          </w:p>
        </w:tc>
        <w:tc>
          <w:tcPr>
            <w:tcW w:type="dxa" w:w="12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72 195</w:t>
            </w:r>
          </w:p>
        </w:tc>
        <w:tc>
          <w:tcPr>
            <w:tcW w:type="dxa" w:w="1409"/>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90 177</w:t>
            </w:r>
          </w:p>
        </w:tc>
      </w:tr>
      <w:tr>
        <w:trPr>
          <w:cantSplit/>
          <w:tblHeader w:val="false"/>
        </w:trPr>
        <w:tc>
          <w:tcPr>
            <w:tcW w:type="dxa" w:w="2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Unité d'œuvre</w:t>
            </w:r>
          </w:p>
        </w:tc>
        <w:tc>
          <w:tcPr>
            <w:tcW w:type="dxa" w:w="11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15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p>
        </w:tc>
        <w:tc>
          <w:tcPr>
            <w:tcW w:type="dxa" w:w="11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kg acheté</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produit fabriqué</w:t>
            </w:r>
          </w:p>
        </w:tc>
        <w:tc>
          <w:tcPr>
            <w:tcW w:type="dxa" w:w="120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produit vendu</w:t>
            </w:r>
          </w:p>
        </w:tc>
        <w:tc>
          <w:tcPr>
            <w:tcW w:type="dxa" w:w="140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coût de prod. des produits vendus</w:t>
            </w:r>
          </w:p>
        </w:tc>
      </w:tr>
      <w:tr>
        <w:trPr>
          <w:cantSplit/>
          <w:tblHeader w:val="false"/>
        </w:trPr>
        <w:tc>
          <w:tcPr>
            <w:tcW w:type="dxa" w:w="2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Nombre d'UO</w:t>
            </w: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15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p>
        </w:tc>
        <w:tc>
          <w:tcPr>
            <w:tcW w:type="dxa" w:w="11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19 800</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51 750</w:t>
            </w:r>
          </w:p>
        </w:tc>
        <w:tc>
          <w:tcPr>
            <w:tcW w:type="dxa" w:w="120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33 600</w:t>
            </w:r>
          </w:p>
        </w:tc>
        <w:tc>
          <w:tcPr>
            <w:tcW w:type="dxa" w:w="140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532 036</w:t>
            </w:r>
          </w:p>
        </w:tc>
      </w:tr>
      <w:tr>
        <w:trPr>
          <w:cantSplit/>
          <w:tblHeader w:val="false"/>
        </w:trPr>
        <w:tc>
          <w:tcPr>
            <w:tcW w:type="dxa" w:w="2409"/>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left"/>
            </w:pPr>
            <w:r>
              <w:rPr>
                <w:b/>
                <w:bCs/>
                <w:sz w:val="20"/>
                <w:szCs w:val="20"/>
              </w:rPr>
              <w:t xml:space="preserve">Coût de l'UO (taux)</w:t>
            </w:r>
          </w:p>
        </w:tc>
        <w:tc>
          <w:tcPr>
            <w:tcW w:type="dxa" w:w="115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p>
        </w:tc>
        <w:tc>
          <w:tcPr>
            <w:tcW w:type="dxa" w:w="115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p>
        </w:tc>
        <w:tc>
          <w:tcPr>
            <w:tcW w:type="dxa" w:w="11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5,0726</w:t>
            </w:r>
          </w:p>
        </w:tc>
        <w:tc>
          <w:tcPr>
            <w:tcW w:type="dxa" w:w="12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3,6568</w:t>
            </w:r>
          </w:p>
        </w:tc>
        <w:tc>
          <w:tcPr>
            <w:tcW w:type="dxa" w:w="120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2,1487</w:t>
            </w:r>
          </w:p>
        </w:tc>
        <w:tc>
          <w:tcPr>
            <w:tcW w:type="dxa" w:w="1409"/>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16,95 %</w:t>
            </w:r>
          </w:p>
        </w:tc>
      </w:tr>
    </w:tbl>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Prestations réciproques Assistance (A) / Entretien (E)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A = 31 000 + 0,20 E        et        E = 46 500 + 0,20 A</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A = 31 000 + 0,20 × (46 500 + 0,20 A) = 31 000 + 9 300 + 0,04 A ⇔ 0,96 A = 40 300 ⇔ </w:t>
      </w:r>
      <w:r>
        <w:rPr>
          <w:b/>
          <w:bCs/>
        </w:rPr>
        <w:t xml:space="preserve">A = 41 979</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E = 46 500 + 0,20 × 41 979 = </w:t>
      </w:r>
      <w:r>
        <w:rPr>
          <w:b/>
          <w:bCs/>
        </w:rPr>
        <w:t xml:space="preserve">54 896</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Contrôle : 100 437 + 189 241 + 72 195 + 90 177 = 452 050 = 442 000 (charges réelles) + 10 050 (boni net : 1 000 + 1 500 + 2 460 + 10 170 – 5 080)</w:t>
      </w:r>
    </w:p>
    <w:p>
      <w:pPr>
        <w:spacing w:after="120"/>
      </w:pPr>
    </w:p>
    <w:p>
      <w:pPr>
        <w:spacing w:after="100"/>
      </w:pPr>
      <w:r>
        <w:rPr>
          <w:b/>
          <w:bCs/>
        </w:rPr>
        <w:t xml:space="preserve">3. Coûts rationnels de P1 et P2 et résultat analytique</w:t>
      </w: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rPr>
          <w:b/>
          <w:bCs/>
          <w:color w:val="7F6000"/>
          <w:sz w:val="23"/>
          <w:szCs w:val="23"/>
        </w:rPr>
        <w:t xml:space="preserve">💡 Correction reconstituée</w:t>
      </w:r>
    </w:p>
    <w:p>
      <w:pPr>
        <w:keepNext w:val="false"/>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t xml:space="preserve">Vos notes renvoyaient à une photo (« voir tel ») : la correction ci-dessous est </w:t>
      </w:r>
      <w:r>
        <w:rPr>
          <w:b/>
          <w:bCs/>
        </w:rPr>
        <w:t xml:space="preserve">reconstituée</w:t>
      </w:r>
      <w:r>
        <w:t xml:space="preserve"> à partir de l'énoncé. Comparez-la avec votre photo ou votre Excel.</w:t>
      </w:r>
    </w:p>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Coûts d'achat et stocks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d'achat MP : 15 000 kg × 16 + 15 000 × 5,0726 = 240 000 + 76 089 = 316 089 € (21,07 €/kg)</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d'achat consommables : 4 800 × 10 + 4 800 × 5,0726 = 48 000 + 24 348 = 72 348 € (15,07 €/kg)</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CMUP MP = (5 000 × 15 + 316 089) / 20 000 = </w:t>
      </w:r>
      <w:r>
        <w:rPr>
          <w:b/>
          <w:bCs/>
        </w:rPr>
        <w:t xml:space="preserve">19,554 €/kg</w:t>
      </w:r>
      <w:r>
        <w:t xml:space="preserve"> ; CMUP consommables = (3 000 × 10 + 72 348) / 7 800 = </w:t>
      </w:r>
      <w:r>
        <w:rPr>
          <w:b/>
          <w:bCs/>
        </w:rPr>
        <w:t xml:space="preserve">13,122 €/kg</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Coût de production</w:t>
            </w:r>
          </w:p>
        </w:tc>
        <w:tc>
          <w:tcPr>
            <w:tcW w:type="dxa" w:w="3212"/>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P1 (41 750 produits)</w:t>
            </w:r>
          </w:p>
        </w:tc>
        <w:tc>
          <w:tcPr>
            <w:tcW w:type="dxa" w:w="321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P2 (10 000 produits)</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Matières premières</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10 000 × 19,554 = 195 544</w:t>
            </w:r>
          </w:p>
        </w:tc>
        <w:tc>
          <w:tcPr>
            <w:tcW w:type="dxa" w:w="32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5 000 × 19,554 = 97 772</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Matières consommables</w:t>
            </w:r>
          </w:p>
        </w:tc>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2 000 × 13,122 = 26 243</w:t>
            </w:r>
          </w:p>
        </w:tc>
        <w:tc>
          <w:tcPr>
            <w:tcW w:type="dxa" w:w="32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3 000 × 13,122 = 39 365</w:t>
            </w:r>
          </w:p>
        </w:tc>
      </w:tr>
      <w:tr>
        <w:trPr>
          <w:cantSplit/>
          <w:tblHeader w:val="false"/>
        </w:trPr>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Charges directes</w:t>
            </w:r>
          </w:p>
        </w:tc>
        <w:tc>
          <w:tcPr>
            <w:tcW w:type="dxa" w:w="321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236 000</w:t>
            </w:r>
          </w:p>
        </w:tc>
        <w:tc>
          <w:tcPr>
            <w:tcW w:type="dxa" w:w="32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54 000</w:t>
            </w:r>
          </w:p>
        </w:tc>
      </w:tr>
      <w:tr>
        <w:trPr>
          <w:cantSplit/>
          <w:tblHeader w:val="false"/>
        </w:trPr>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Centre Production</w:t>
            </w:r>
          </w:p>
        </w:tc>
        <w:tc>
          <w:tcPr>
            <w:tcW w:type="dxa" w:w="321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41 750 × 3,6568 = 152 673</w:t>
            </w:r>
          </w:p>
        </w:tc>
        <w:tc>
          <w:tcPr>
            <w:tcW w:type="dxa" w:w="321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10 000 × 3,6568 = 36 568</w:t>
            </w:r>
          </w:p>
        </w:tc>
      </w:tr>
      <w:tr>
        <w:trPr>
          <w:cantSplit/>
          <w:tblHeader w:val="false"/>
        </w:trPr>
        <w:tc>
          <w:tcPr>
            <w:tcW w:type="dxa" w:w="3212"/>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left"/>
            </w:pPr>
            <w:r>
              <w:rPr>
                <w:b/>
                <w:bCs/>
                <w:sz w:val="20"/>
                <w:szCs w:val="20"/>
              </w:rPr>
              <w:t xml:space="preserve">Coût de production total</w:t>
            </w:r>
          </w:p>
        </w:tc>
        <w:tc>
          <w:tcPr>
            <w:tcW w:type="dxa" w:w="3212"/>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610 460</w:t>
            </w:r>
          </w:p>
        </w:tc>
        <w:tc>
          <w:tcPr>
            <w:tcW w:type="dxa" w:w="321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227 705</w:t>
            </w:r>
          </w:p>
        </w:tc>
      </w:tr>
      <w:tr>
        <w:trPr>
          <w:cantSplit/>
          <w:tblHeader w:val="false"/>
        </w:trPr>
        <w:tc>
          <w:tcPr>
            <w:tcW w:type="dxa" w:w="3212"/>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left"/>
            </w:pPr>
            <w:r>
              <w:rPr>
                <w:b/>
                <w:bCs/>
                <w:sz w:val="20"/>
                <w:szCs w:val="20"/>
              </w:rPr>
              <w:t xml:space="preserve">Coût unitaire</w:t>
            </w:r>
          </w:p>
        </w:tc>
        <w:tc>
          <w:tcPr>
            <w:tcW w:type="dxa" w:w="3212"/>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14,622</w:t>
            </w:r>
          </w:p>
        </w:tc>
        <w:tc>
          <w:tcPr>
            <w:tcW w:type="dxa" w:w="321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22,771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1"/>
        <w:gridCol w:w="2694"/>
        <w:gridCol w:w="2694"/>
        <w:gridCol w:w="1349"/>
      </w:tblGrid>
      <w:tr>
        <w:trPr>
          <w:cantSplit/>
          <w:tblHeader/>
        </w:trPr>
        <w:tc>
          <w:tcPr>
            <w:tcW w:type="dxa" w:w="2901"/>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Coût de revient et résultat</w:t>
            </w:r>
          </w:p>
        </w:tc>
        <w:tc>
          <w:tcPr>
            <w:tcW w:type="dxa" w:w="269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P1 (28 600 vendus)</w:t>
            </w:r>
          </w:p>
        </w:tc>
        <w:tc>
          <w:tcPr>
            <w:tcW w:type="dxa" w:w="2694"/>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P2 (5 000 vendus)</w:t>
            </w:r>
          </w:p>
        </w:tc>
        <w:tc>
          <w:tcPr>
            <w:tcW w:type="dxa" w:w="1349"/>
            <w:tcBorders>
              <w:top w:val="single" w:color="BFBFBF" w:sz="4"/>
              <w:left w:val="single" w:color="BFBFBF" w:sz="4"/>
              <w:bottom w:val="single" w:color="BFBFBF" w:sz="4"/>
              <w:right w:val="single" w:color="BFBFBF" w:sz="4"/>
            </w:tcBorders>
            <w:shd w:fill="B8860B" w:color="auto" w:val="clear"/>
            <w:tcMar>
              <w:top w:type="dxa" w:w="50"/>
              <w:left w:type="dxa" w:w="90"/>
              <w:bottom w:type="dxa" w:w="50"/>
              <w:right w:type="dxa" w:w="90"/>
            </w:tcMar>
          </w:tcPr>
          <w:p>
            <w:pPr>
              <w:jc w:val="center"/>
            </w:pPr>
            <w:r>
              <w:rPr>
                <w:b/>
                <w:bCs/>
                <w:color w:val="FFFFFF"/>
                <w:sz w:val="20"/>
                <w:szCs w:val="20"/>
              </w:rPr>
              <w:t xml:space="preserve">Total</w:t>
            </w:r>
          </w:p>
        </w:tc>
      </w:tr>
      <w:tr>
        <w:trPr>
          <w:cantSplit/>
          <w:tblHeader w:val="false"/>
        </w:trPr>
        <w:tc>
          <w:tcPr>
            <w:tcW w:type="dxa" w:w="29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Coût de production des produits vendus</w:t>
            </w:r>
          </w:p>
        </w:tc>
        <w:tc>
          <w:tcPr>
            <w:tcW w:type="dxa" w:w="26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28 600 × 14,622 = 418 183</w:t>
            </w:r>
          </w:p>
        </w:tc>
        <w:tc>
          <w:tcPr>
            <w:tcW w:type="dxa" w:w="26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5 000 × 22,771 = 113 853</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532 036</w:t>
            </w:r>
          </w:p>
        </w:tc>
      </w:tr>
      <w:tr>
        <w:trPr>
          <w:cantSplit/>
          <w:tblHeader w:val="false"/>
        </w:trPr>
        <w:tc>
          <w:tcPr>
            <w:tcW w:type="dxa" w:w="290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Distribution</w:t>
            </w:r>
          </w:p>
        </w:tc>
        <w:tc>
          <w:tcPr>
            <w:tcW w:type="dxa" w:w="269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28 600 × 2,1487 = 61 452</w:t>
            </w:r>
          </w:p>
        </w:tc>
        <w:tc>
          <w:tcPr>
            <w:tcW w:type="dxa" w:w="269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5 000 × 2,1487 = 10 743</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right"/>
            </w:pPr>
            <w:r>
              <w:rPr>
                <w:sz w:val="20"/>
                <w:szCs w:val="20"/>
              </w:rPr>
              <w:t xml:space="preserve">72 195</w:t>
            </w:r>
          </w:p>
        </w:tc>
      </w:tr>
      <w:tr>
        <w:trPr>
          <w:cantSplit/>
          <w:tblHeader w:val="false"/>
        </w:trPr>
        <w:tc>
          <w:tcPr>
            <w:tcW w:type="dxa" w:w="29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Administration (16,95 %)</w:t>
            </w:r>
          </w:p>
        </w:tc>
        <w:tc>
          <w:tcPr>
            <w:tcW w:type="dxa" w:w="26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418 183 × 16,95 % = 70 880</w:t>
            </w:r>
          </w:p>
        </w:tc>
        <w:tc>
          <w:tcPr>
            <w:tcW w:type="dxa" w:w="26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113 853 × 16,95 % = 19 297</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90 177</w:t>
            </w:r>
          </w:p>
        </w:tc>
      </w:tr>
      <w:tr>
        <w:trPr>
          <w:cantSplit/>
          <w:tblHeader w:val="false"/>
        </w:trPr>
        <w:tc>
          <w:tcPr>
            <w:tcW w:type="dxa" w:w="2901"/>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left"/>
            </w:pPr>
            <w:r>
              <w:rPr>
                <w:b/>
                <w:bCs/>
                <w:sz w:val="20"/>
                <w:szCs w:val="20"/>
              </w:rPr>
              <w:t xml:space="preserve">Coût de revient rationnel</w:t>
            </w:r>
          </w:p>
        </w:tc>
        <w:tc>
          <w:tcPr>
            <w:tcW w:type="dxa" w:w="269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550 515</w:t>
            </w:r>
          </w:p>
        </w:tc>
        <w:tc>
          <w:tcPr>
            <w:tcW w:type="dxa" w:w="269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143 893</w:t>
            </w:r>
          </w:p>
        </w:tc>
        <w:tc>
          <w:tcPr>
            <w:tcW w:type="dxa" w:w="1349"/>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694 408</w:t>
            </w:r>
          </w:p>
        </w:tc>
      </w:tr>
      <w:tr>
        <w:trPr>
          <w:cantSplit/>
          <w:tblHeader w:val="false"/>
        </w:trPr>
        <w:tc>
          <w:tcPr>
            <w:tcW w:type="dxa" w:w="290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CA</w:t>
            </w:r>
          </w:p>
        </w:tc>
        <w:tc>
          <w:tcPr>
            <w:tcW w:type="dxa" w:w="26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28 600 × 24 = 686 400</w:t>
            </w:r>
          </w:p>
        </w:tc>
        <w:tc>
          <w:tcPr>
            <w:tcW w:type="dxa" w:w="269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5 000 × 35 = 175 000</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right"/>
            </w:pPr>
            <w:r>
              <w:rPr>
                <w:sz w:val="20"/>
                <w:szCs w:val="20"/>
              </w:rPr>
              <w:t xml:space="preserve">861 400</w:t>
            </w:r>
          </w:p>
        </w:tc>
      </w:tr>
      <w:tr>
        <w:trPr>
          <w:cantSplit/>
          <w:tblHeader w:val="false"/>
        </w:trPr>
        <w:tc>
          <w:tcPr>
            <w:tcW w:type="dxa" w:w="2901"/>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left"/>
            </w:pPr>
            <w:r>
              <w:rPr>
                <w:b/>
                <w:bCs/>
                <w:sz w:val="20"/>
                <w:szCs w:val="20"/>
              </w:rPr>
              <w:t xml:space="preserve">Résultat analytique rationnel</w:t>
            </w:r>
          </w:p>
        </w:tc>
        <w:tc>
          <w:tcPr>
            <w:tcW w:type="dxa" w:w="269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135 885</w:t>
            </w:r>
          </w:p>
        </w:tc>
        <w:tc>
          <w:tcPr>
            <w:tcW w:type="dxa" w:w="2694"/>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center"/>
            </w:pPr>
            <w:r>
              <w:rPr>
                <w:b/>
                <w:bCs/>
                <w:sz w:val="20"/>
                <w:szCs w:val="20"/>
              </w:rPr>
              <w:t xml:space="preserve">31 107</w:t>
            </w:r>
          </w:p>
        </w:tc>
        <w:tc>
          <w:tcPr>
            <w:tcW w:type="dxa" w:w="1349"/>
            <w:tcBorders>
              <w:top w:val="single" w:color="BFBFBF" w:sz="4"/>
              <w:left w:val="single" w:color="BFBFBF" w:sz="4"/>
              <w:bottom w:val="single" w:color="BFBFBF" w:sz="4"/>
              <w:right w:val="single" w:color="BFBFBF" w:sz="4"/>
            </w:tcBorders>
            <w:shd w:fill="F7EBCB" w:color="auto" w:val="clear"/>
            <w:tcMar>
              <w:top w:type="dxa" w:w="50"/>
              <w:left w:type="dxa" w:w="90"/>
              <w:bottom w:type="dxa" w:w="50"/>
              <w:right w:type="dxa" w:w="90"/>
            </w:tcMar>
          </w:tcPr>
          <w:p>
            <w:pPr>
              <w:jc w:val="right"/>
            </w:pPr>
            <w:r>
              <w:rPr>
                <w:b/>
                <w:bCs/>
                <w:sz w:val="20"/>
                <w:szCs w:val="20"/>
              </w:rPr>
              <w:t xml:space="preserve">166 992</w:t>
            </w:r>
          </w:p>
        </w:tc>
      </w:tr>
    </w:tbl>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Passage au résultat réel</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Résultat réel = Résultat rationnel + Boni net = 166 992 + 10 050 = </w:t>
      </w:r>
      <w:r>
        <w:rPr>
          <w:b/>
          <w:bCs/>
        </w:rPr>
        <w:t xml:space="preserve">177 042 €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Interprétation : l'entreprise a travaillé au-dessus de son activité normale (sauf en distribution) ; cette suractivité lui a rapporté 10 050 € de boni.</w:t>
      </w:r>
    </w:p>
    <w:p>
      <w:pPr>
        <w:spacing w:after="120"/>
      </w:pPr>
    </w:p>
    <w:p>
      <w:pPr>
        <w:keepNext/>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rPr>
          <w:b/>
          <w:bCs/>
          <w:color w:val="C55A11"/>
          <w:sz w:val="23"/>
          <w:szCs w:val="23"/>
        </w:rPr>
        <w:t xml:space="preserve">⚠ Correction par rapport aux notes d'origine</w:t>
      </w:r>
    </w:p>
    <w:p>
      <w:pPr>
        <w:keepNext w:val="false"/>
        <w:keepLines/>
        <w:pBdr>
          <w:top w:val="single" w:color="C55A11" w:sz="6" w:space="4"/>
          <w:left w:val="single" w:color="C55A11" w:sz="24" w:space="6"/>
          <w:bottom w:val="single" w:color="C55A11" w:sz="6" w:space="4"/>
          <w:right w:val="single" w:color="C55A11" w:sz="6" w:space="4"/>
        </w:pBdr>
        <w:shd w:fill="FCE4D6" w:color="auto" w:val="clear"/>
        <w:spacing w:after="0" w:line="276"/>
        <w:ind w:left="120" w:right="120"/>
      </w:pPr>
      <w:r>
        <w:t xml:space="preserve">Les notes présentaient l'écart de chaque centre entre parenthèses, par exemple (1 000) : il s'agit de </w:t>
      </w:r>
      <w:r>
        <w:rPr>
          <w:b/>
          <w:bCs/>
        </w:rPr>
        <w:t xml:space="preserve">bonis de suractivité</w:t>
      </w:r>
      <w:r>
        <w:t xml:space="preserve"> (CF imputées &gt; CF réelles). Seule la Distribution présente un </w:t>
      </w:r>
      <w:r>
        <w:rPr>
          <w:b/>
          <w:bCs/>
        </w:rPr>
        <w:t xml:space="preserve">coût de chômage</w:t>
      </w:r>
      <w:r>
        <w:t xml:space="preserve"> (5 080 €).</w:t>
      </w:r>
    </w:p>
    <w:p>
      <w:pPr>
        <w:spacing w:after="120"/>
      </w:pPr>
    </w:p>
    <w:p>
      <w:pPr>
        <w:pStyle w:val="Heading3"/>
        <w:keepNext/>
        <w:pBdr>
          <w:left w:val="single" w:color="B8860B" w:sz="24" w:space="6"/>
        </w:pBdr>
        <w:shd w:fill="F7EBCB" w:color="auto" w:val="clear"/>
        <w:spacing w:after="100" w:before="280"/>
      </w:pPr>
      <w:bookmarkStart w:name="cas57" w:id="57"/>
      <w:r>
        <w:rPr>
          <w:b/>
          <w:bCs/>
          <w:color w:val="B8860B"/>
          <w:sz w:val="25"/>
          <w:szCs w:val="25"/>
        </w:rPr>
        <w:t xml:space="preserve">📌 Cas VAN EXPRESS</w:t>
      </w:r>
      <w:bookmarkEnd w:id="57"/>
    </w:p>
    <w:p>
      <w:pPr>
        <w:spacing w:after="120" w:before="60"/>
      </w:pPr>
      <w:r>
        <w:rPr>
          <w:b/>
          <w:bCs/>
          <w:color w:val="FFFFFF"/>
          <w:sz w:val="20"/>
          <w:szCs w:val="20"/>
          <w:shd w:fill="7030A0" w:color="auto" w:val="clear"/>
        </w:rPr>
        <w:t xml:space="preserve"> 📄 Voir énoncé – VAN EXPRESS </w:t>
      </w:r>
    </w:p>
    <w:p>
      <w:pPr>
        <w:spacing w:after="100"/>
      </w:pPr>
      <w:r>
        <w:rPr>
          <w:b/>
          <w:bCs/>
        </w:rPr>
        <w:t xml:space="preserve">1. Analyse des résultats de l'année N</w:t>
      </w:r>
      <w:r>
        <w:t xml:space="preserve"> (accident : 3 mois d'arrêt)</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Résultat comptable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 36 750 € ; charges variables = 20 % du CA → marge = 36 750 × 0,80 = </w:t>
      </w:r>
      <w:r>
        <w:rPr>
          <w:b/>
          <w:bCs/>
        </w:rPr>
        <w:t xml:space="preserve">29 400 €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Charges fixes = (1 000 amortissement + 600 autres) × 12 = </w:t>
      </w:r>
      <w:r>
        <w:rPr>
          <w:b/>
          <w:bCs/>
        </w:rPr>
        <w:t xml:space="preserve">19 200 €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Résultat comptable = 29 400 – 19 200 = </w:t>
      </w:r>
      <w:r>
        <w:rPr>
          <w:b/>
          <w:bCs/>
        </w:rPr>
        <w:t xml:space="preserve">10 200 €</w:t>
      </w:r>
    </w:p>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Analyse par l'imputation rationnelle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Coefficient d'activité = (12 – 3) / 12 = </w:t>
      </w:r>
      <w:r>
        <w:rPr>
          <w:b/>
          <w:bCs/>
        </w:rPr>
        <w:t xml:space="preserve">0,75</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CF imputées = 19 200 × 0,75 = </w:t>
      </w:r>
      <w:r>
        <w:rPr>
          <w:b/>
          <w:bCs/>
        </w:rPr>
        <w:t xml:space="preserve">14 400 €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Résultat rationnel = 29 400 – 14 400 = </w:t>
      </w:r>
      <w:r>
        <w:rPr>
          <w:b/>
          <w:bCs/>
        </w:rPr>
        <w:t xml:space="preserve">15 000 €</w:t>
      </w:r>
      <w:r>
        <w:t xml:space="preserve"> (ou 10 200 + 19 200 – 14 400)</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Coût de la sous-activité = 19 200 × 0,25 = </w:t>
      </w:r>
      <w:r>
        <w:rPr>
          <w:b/>
          <w:bCs/>
        </w:rPr>
        <w:t xml:space="preserve">4 800 €</w:t>
      </w:r>
      <w:r>
        <w:t xml:space="preserve"> → Résultat comptable = 15 000 – 4 800 = 10 200 €</w:t>
      </w:r>
    </w:p>
    <w:p>
      <w:pPr>
        <w:spacing w:after="120"/>
      </w:pPr>
    </w:p>
    <w:p>
      <w:pPr>
        <w:spacing w:after="100"/>
      </w:pPr>
      <w:r>
        <w:t xml:space="preserve">Au lieu d'un revenu mensuel moyen de 10 200 / 12 = </w:t>
      </w:r>
      <w:r>
        <w:rPr>
          <w:b/>
          <w:bCs/>
        </w:rPr>
        <w:t xml:space="preserve">850 €</w:t>
      </w:r>
      <w:r>
        <w:t xml:space="preserve"> (ce qui est faible et explique ses problèmes financiers), on fait ressortir un revenu de 15 000 / 12 = </w:t>
      </w:r>
      <w:r>
        <w:rPr>
          <w:b/>
          <w:bCs/>
        </w:rPr>
        <w:t xml:space="preserve">1 250 €</w:t>
      </w:r>
      <w:r>
        <w:t xml:space="preserve">, près de </w:t>
      </w:r>
      <w:r>
        <w:rPr>
          <w:b/>
          <w:bCs/>
        </w:rPr>
        <w:t xml:space="preserve">50 % de plus</w:t>
      </w:r>
      <w:r>
        <w:t xml:space="preserve">. Si le CA avait été proportionnel à l'activité (36 750 × 12/9 = 49 000 €), M. M aurait réalisé un bénéfice de 49 000 × 0,8 – 19 200 = </w:t>
      </w:r>
      <w:r>
        <w:rPr>
          <w:b/>
          <w:bCs/>
        </w:rPr>
        <w:t xml:space="preserve">20 000 €</w:t>
      </w:r>
      <w:r>
        <w:t xml:space="preserve">, soit </w:t>
      </w:r>
      <w:r>
        <w:rPr>
          <w:b/>
          <w:bCs/>
        </w:rPr>
        <w:t xml:space="preserve">1 667 € par mois</w:t>
      </w:r>
      <w:r>
        <w:t xml:space="preserve">. Ces chiffres permettent de </w:t>
      </w:r>
      <w:r>
        <w:rPr>
          <w:b/>
          <w:bCs/>
        </w:rPr>
        <w:t xml:space="preserve">relativiser le jugement négatif du banquier</w:t>
      </w:r>
      <w:r>
        <w:t xml:space="preserve">.</w:t>
      </w:r>
    </w:p>
    <w:p>
      <w:pPr>
        <w:spacing w:after="100"/>
      </w:pPr>
      <w:r>
        <w:rPr>
          <w:b/>
          <w:bCs/>
        </w:rPr>
        <w:t xml:space="preserve">2. Année N+1</w:t>
      </w:r>
      <w:r>
        <w:t xml:space="preserve"> : CA = 58 800 € ; résultat = 27 840 € ; l'activité passe de 10 h × 5 j à 12 h × 6 j (de 8 h à 20 h, du lundi au samedi).</w:t>
      </w: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rPr>
          <w:b/>
          <w:bCs/>
          <w:color w:val="7F6000"/>
          <w:sz w:val="23"/>
          <w:szCs w:val="23"/>
        </w:rPr>
        <w:t xml:space="preserve">💡 Correction reconstituée</w:t>
      </w:r>
    </w:p>
    <w:p>
      <w:pPr>
        <w:keepNext w:val="false"/>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t xml:space="preserve">Vos notes renvoyaient à une photo : la correction ci-dessous est </w:t>
      </w:r>
      <w:r>
        <w:rPr>
          <w:b/>
          <w:bCs/>
        </w:rPr>
        <w:t xml:space="preserve">reconstituée</w:t>
      </w:r>
      <w:r>
        <w:t xml:space="preserve">, à comparer avec votre photo.</w:t>
      </w:r>
    </w:p>
    <w:p>
      <w:pPr>
        <w:spacing w:after="120"/>
      </w:pP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Vérification : 58 800 × 0,80 – 19 200 = 47 040 – 19 200 = </w:t>
      </w:r>
      <w:r>
        <w:rPr>
          <w:b/>
          <w:bCs/>
        </w:rPr>
        <w:t xml:space="preserve">27 840 €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Heures par mois : 12 h × 6 j × 4 semaines = 288 h, contre 200 h « normales » → coefficient = 288 / 200 = </w:t>
      </w:r>
      <w:r>
        <w:rPr>
          <w:b/>
          <w:bCs/>
        </w:rPr>
        <w:t xml:space="preserve">1,44</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CF imputées = 19 200 × 1,44 = 27 648 € → Résultat rationnel = 47 040 – 27 648 = </w:t>
      </w:r>
      <w:r>
        <w:rPr>
          <w:b/>
          <w:bCs/>
        </w:rPr>
        <w:t xml:space="preserve">19 392 €</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Boni de suractivité = 27 648 – 19 200 = </w:t>
      </w:r>
      <w:r>
        <w:rPr>
          <w:b/>
          <w:bCs/>
        </w:rPr>
        <w:t xml:space="preserve">8 448 €</w:t>
      </w:r>
      <w:r>
        <w:t xml:space="preserve"> → Résultat = 19 392 + 8 448 = 27 840 €</w:t>
      </w:r>
    </w:p>
    <w:p>
      <w:pPr>
        <w:spacing w:after="120"/>
      </w:pPr>
    </w:p>
    <w:p>
      <w:pPr>
        <w:spacing w:after="100"/>
      </w:pPr>
      <w:r>
        <w:rPr>
          <w:b/>
          <w:bCs/>
        </w:rPr>
        <w:t xml:space="preserve">Que penser de ces résultats ?</w:t>
      </w:r>
      <w:r>
        <w:t xml:space="preserve"> L'amélioration vient en grande partie d'une </w:t>
      </w:r>
      <w:r>
        <w:rPr>
          <w:b/>
          <w:bCs/>
        </w:rPr>
        <w:t xml:space="preserve">suractivité</w:t>
      </w:r>
      <w:r>
        <w:t xml:space="preserve"> (44 % d'heures en plus, soit 72 h par semaine), difficilement tenable dans la durée. À activité normale, le résultat serait de 19 392 € (1 616 €/mois) : la situation s'améliore réellement, mais moins que ne le laisse croire le résultat comptable.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120" w:right="120"/>
      </w:pPr>
      <w:r>
        <w:rPr>
          <w:b/>
          <w:bCs/>
          <w:color w:val="548235"/>
          <w:sz w:val="23"/>
          <w:szCs w:val="23"/>
        </w:rPr>
        <w:t xml:space="preserve">★ POINTS À RETENIR</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L'IR neutralise l'effet du </w:t>
      </w:r>
      <w:r>
        <w:rPr>
          <w:b/>
          <w:bCs/>
        </w:rPr>
        <w:t xml:space="preserve">niveau d'activité</w:t>
      </w:r>
      <w:r>
        <w:t xml:space="preserve"> sur les coûts : les CF sont imputées en proportion de l'activité.</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rPr>
          <w:b/>
          <w:bCs/>
        </w:rPr>
        <w:t xml:space="preserve">Coefficient d'IR = activité réelle ÷ activité normale</w:t>
      </w:r>
      <w:r>
        <w:t xml:space="preserve"> ; </w:t>
      </w:r>
      <w:r>
        <w:rPr>
          <w:b/>
          <w:bCs/>
        </w:rPr>
        <w:t xml:space="preserve">CF imputées = CF × coefficient</w:t>
      </w:r>
      <w:r>
        <w:t xml:space="preserve"> ; les CV ne sont pas retraitées.</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Coefficient &lt; 1 → </w:t>
      </w:r>
      <w:r>
        <w:rPr>
          <w:b/>
          <w:bCs/>
        </w:rPr>
        <w:t xml:space="preserve">coût de chômage</w:t>
      </w:r>
      <w:r>
        <w:t xml:space="preserve"> (sous-activité) ; coefficient &gt; 1 → </w:t>
      </w:r>
      <w:r>
        <w:rPr>
          <w:b/>
          <w:bCs/>
        </w:rPr>
        <w:t xml:space="preserve">boni de suractivité</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rPr>
          <w:b/>
          <w:bCs/>
        </w:rPr>
        <w:t xml:space="preserve">Résultat réel = résultat rationnel – coût de chômage + boni</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Centre sans mesure propre : coefficient = </w:t>
      </w:r>
      <w:r>
        <w:rPr>
          <w:b/>
          <w:bCs/>
        </w:rPr>
        <w:t xml:space="preserve">moyenne des coefficients des centres récepteurs, pondérée</w:t>
      </w:r>
      <w:r>
        <w:t xml:space="preserve"> par la clé de répartition.</w:t>
      </w:r>
    </w:p>
    <w:p>
      <w:pPr>
        <w:keepNext w:val="false"/>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Utile pour les activités </w:t>
      </w:r>
      <w:r>
        <w:rPr>
          <w:b/>
          <w:bCs/>
        </w:rPr>
        <w:t xml:space="preserve">saisonnières</w:t>
      </w:r>
      <w:r>
        <w:t xml:space="preserve"> et pour </w:t>
      </w:r>
      <w:r>
        <w:rPr>
          <w:b/>
          <w:bCs/>
        </w:rPr>
        <w:t xml:space="preserve">chiffrer le coût de la sous-activité</w:t>
      </w:r>
      <w:r>
        <w:t xml:space="preserve">.</w:t>
      </w:r>
    </w:p>
    <w:p>
      <w:pPr>
        <w:spacing w:after="120"/>
      </w:pPr>
    </w:p>
    <w:p>
      <w:pPr>
        <w:pStyle w:val="Heading1"/>
        <w:pageBreakBefore/>
        <w:pBdr>
          <w:left w:val="single" w:color="C00000" w:sz="48" w:space="8"/>
        </w:pBdr>
        <w:shd w:fill="C00000" w:color="auto" w:val="clear"/>
        <w:spacing w:after="240" w:before="0"/>
        <w:ind w:left="0"/>
      </w:pPr>
      <w:bookmarkStart w:name="ch58" w:id="58"/>
      <w:r>
        <w:rPr>
          <w:b/>
          <w:bCs/>
          <w:color w:val="FFFFFF"/>
          <w:sz w:val="36"/>
          <w:szCs w:val="36"/>
        </w:rPr>
        <w:t xml:space="preserve">Chapitre 6 – Les budgets</w:t>
      </w:r>
      <w:bookmarkEnd w:id="58"/>
    </w:p>
    <w:p>
      <w:pPr>
        <w:spacing w:after="100"/>
      </w:pPr>
      <w:r>
        <w:rPr>
          <w:i/>
          <w:iCs/>
        </w:rPr>
        <w:t xml:space="preserve">Cours du 12 octobre – diaporama « Les budgets » (I. Desmaris &amp; F. Hermal, Licence 2 GM). Plan : définition du budget ; les différents budgets et leur hiérarchie ; zoom sur le budget de trésorerie ; zoom sur la prévision de la masse salariale.</w:t>
      </w:r>
    </w:p>
    <w:p>
      <w:pPr>
        <w:pStyle w:val="Heading2"/>
        <w:keepNext/>
        <w:pBdr>
          <w:bottom w:val="single" w:color="C00000" w:sz="8" w:space="2"/>
        </w:pBdr>
        <w:spacing w:after="120" w:before="300"/>
      </w:pPr>
      <w:bookmarkStart w:name="s59" w:id="59"/>
      <w:r>
        <w:rPr>
          <w:b/>
          <w:bCs/>
          <w:color w:val="C00000"/>
          <w:sz w:val="30"/>
          <w:szCs w:val="30"/>
        </w:rPr>
        <w:t xml:space="preserve">1. Un budget, c'est quoi ?</w:t>
      </w:r>
      <w:bookmarkEnd w:id="59"/>
    </w:p>
    <w:p>
      <w:pPr>
        <w:spacing w:after="100"/>
      </w:pPr>
      <w:r>
        <w:t xml:space="preserve">Étymologie : la </w:t>
      </w:r>
      <w:r>
        <w:rPr>
          <w:b/>
          <w:bCs/>
        </w:rPr>
        <w:t xml:space="preserve">« bougette »</w:t>
      </w:r>
      <w:r>
        <w:t xml:space="preserve"> était la bourse du marchand en déplacement. « Avoir la bougette », c'est </w:t>
      </w:r>
      <w:r>
        <w:rPr>
          <w:b/>
          <w:bCs/>
        </w:rPr>
        <w:t xml:space="preserve">avoir prévu les dépenses nécessaires à son projet</w:t>
      </w:r>
      <w:r>
        <w:t xml:space="preserve">, avoir </w:t>
      </w:r>
      <w:r>
        <w:rPr>
          <w:b/>
          <w:bCs/>
        </w:rPr>
        <w:t xml:space="preserve">chiffré son plan d'action</w:t>
      </w:r>
      <w:r>
        <w:t xml:space="preserve">.</w:t>
      </w:r>
    </w:p>
    <w:p>
      <w:pPr>
        <w:keepNext/>
        <w:keepLines/>
        <w:pBdr>
          <w:top w:val="single" w:color="C00000" w:sz="6" w:space="4"/>
          <w:left w:val="single" w:color="C00000" w:sz="24" w:space="6"/>
          <w:bottom w:val="single" w:color="C00000" w:sz="6" w:space="4"/>
          <w:right w:val="single" w:color="C00000" w:sz="6" w:space="4"/>
        </w:pBdr>
        <w:shd w:fill="F8D7D7" w:color="auto" w:val="clear"/>
        <w:spacing w:after="0" w:line="276"/>
        <w:ind w:left="120" w:right="120"/>
      </w:pPr>
      <w:r>
        <w:rPr>
          <w:b/>
          <w:bCs/>
          <w:color w:val="C00000"/>
          <w:sz w:val="23"/>
          <w:szCs w:val="23"/>
        </w:rPr>
        <w:t xml:space="preserve">Définition</w:t>
      </w:r>
    </w:p>
    <w:p>
      <w:pPr>
        <w:keepNext/>
        <w:keepLines/>
        <w:pBdr>
          <w:top w:val="single" w:color="C00000" w:sz="6" w:space="4"/>
          <w:left w:val="single" w:color="C00000" w:sz="24" w:space="6"/>
          <w:bottom w:val="single" w:color="C00000" w:sz="6" w:space="4"/>
          <w:right w:val="single" w:color="C00000" w:sz="6" w:space="4"/>
        </w:pBdr>
        <w:shd w:fill="F8D7D7" w:color="auto" w:val="clear"/>
        <w:spacing w:after="0" w:line="276"/>
        <w:ind w:left="120" w:right="120"/>
      </w:pPr>
      <w:r>
        <w:t xml:space="preserve">Un </w:t>
      </w:r>
      <w:r>
        <w:rPr>
          <w:b/>
          <w:bCs/>
        </w:rPr>
        <w:t xml:space="preserve">budget</w:t>
      </w:r>
      <w:r>
        <w:t xml:space="preserve"> est une </w:t>
      </w:r>
      <w:r>
        <w:rPr>
          <w:b/>
          <w:bCs/>
        </w:rPr>
        <w:t xml:space="preserve">prévision chiffrée</w:t>
      </w:r>
      <w:r>
        <w:t xml:space="preserve"> (sur </w:t>
      </w:r>
      <w:r>
        <w:rPr>
          <w:b/>
          <w:bCs/>
        </w:rPr>
        <w:t xml:space="preserve">1 an</w:t>
      </w:r>
      <w:r>
        <w:t xml:space="preserve">, </w:t>
      </w:r>
      <w:r>
        <w:rPr>
          <w:b/>
          <w:bCs/>
        </w:rPr>
        <w:t xml:space="preserve">mois par mois</w:t>
      </w:r>
      <w:r>
        <w:t xml:space="preserve">) des </w:t>
      </w:r>
      <w:r>
        <w:rPr>
          <w:b/>
          <w:bCs/>
        </w:rPr>
        <w:t xml:space="preserve">produits et des charges</w:t>
      </w:r>
      <w:r>
        <w:t xml:space="preserve">, en lien avec des </w:t>
      </w:r>
      <w:r>
        <w:rPr>
          <w:b/>
          <w:bCs/>
        </w:rPr>
        <w:t xml:space="preserve">objectifs</w:t>
      </w:r>
      <w:r>
        <w:t xml:space="preserve"> et un </w:t>
      </w:r>
      <w:r>
        <w:rPr>
          <w:b/>
          <w:bCs/>
        </w:rPr>
        <w:t xml:space="preserve">plan d'action</w:t>
      </w:r>
      <w:r>
        <w:t xml:space="preserve">.</w:t>
      </w:r>
    </w:p>
    <w:p>
      <w:pPr>
        <w:keepNext w:val="false"/>
        <w:keepLines/>
        <w:pBdr>
          <w:top w:val="single" w:color="C00000" w:sz="6" w:space="4"/>
          <w:left w:val="single" w:color="C00000" w:sz="24" w:space="6"/>
          <w:bottom w:val="single" w:color="C00000" w:sz="6" w:space="4"/>
          <w:right w:val="single" w:color="C00000" w:sz="6" w:space="4"/>
        </w:pBdr>
        <w:shd w:fill="F8D7D7" w:color="auto" w:val="clear"/>
        <w:spacing w:after="0" w:line="276"/>
        <w:ind w:left="120" w:right="120"/>
      </w:pPr>
      <w:r>
        <w:t xml:space="preserve">Il implique un </w:t>
      </w:r>
      <w:r>
        <w:rPr>
          <w:b/>
          <w:bCs/>
        </w:rPr>
        <w:t xml:space="preserve">engagement</w:t>
      </w:r>
      <w:r>
        <w:t xml:space="preserve"> (des responsables) et un </w:t>
      </w:r>
      <w:r>
        <w:rPr>
          <w:b/>
          <w:bCs/>
        </w:rPr>
        <w:t xml:space="preserve">contrôle</w:t>
      </w:r>
      <w:r>
        <w:t xml:space="preserve"> (comparaison réel / prévu).</w:t>
      </w:r>
    </w:p>
    <w:p>
      <w:pPr>
        <w:spacing w:after="120"/>
      </w:pPr>
    </w:p>
    <w:p>
      <w:pPr>
        <w:pStyle w:val="Heading3"/>
        <w:keepNext/>
        <w:spacing w:after="80" w:before="220"/>
      </w:pPr>
      <w:bookmarkStart w:name="ss60" w:id="60"/>
      <w:r>
        <w:rPr>
          <w:b/>
          <w:bCs/>
          <w:color w:val="1F3864"/>
          <w:sz w:val="25"/>
          <w:szCs w:val="25"/>
        </w:rPr>
        <w:t xml:space="preserve">Des prévisions fonctions des objectifs et du plan d'action</w:t>
      </w:r>
      <w:bookmarkEnd w:id="60"/>
    </w:p>
    <w:p>
      <w:pPr>
        <w:spacing w:after="100"/>
      </w:pPr>
      <w:r>
        <w:t xml:space="preserve">Avant de prévoir ses produits et ses charges, il faut </w:t>
      </w:r>
      <w:r>
        <w:rPr>
          <w:b/>
          <w:bCs/>
        </w:rPr>
        <w:t xml:space="preserve">se fixer des objectifs</w:t>
      </w:r>
      <w:r>
        <w:t xml:space="preserve"> et </w:t>
      </w:r>
      <w:r>
        <w:rPr>
          <w:b/>
          <w:bCs/>
        </w:rPr>
        <w:t xml:space="preserve">un plan d'action</w:t>
      </w:r>
      <w:r>
        <w:t xml:space="preserve"> pour les atteindre. Cela suppose de </w:t>
      </w:r>
      <w:r>
        <w:rPr>
          <w:b/>
          <w:bCs/>
        </w:rPr>
        <w:t xml:space="preserve">tester plusieurs plans d'action</w:t>
      </w:r>
      <w:r>
        <w:t xml:space="preserve"> et plusieurs </w:t>
      </w:r>
      <w:r>
        <w:rPr>
          <w:b/>
          <w:bCs/>
        </w:rPr>
        <w:t xml:space="preserve">scénarios</w:t>
      </w:r>
      <w:r>
        <w:t xml:space="preserve">.</w:t>
      </w:r>
    </w:p>
    <w:p>
      <w:pPr>
        <w:pStyle w:val="Heading3"/>
        <w:keepNext/>
        <w:spacing w:after="80" w:before="220"/>
      </w:pPr>
      <w:bookmarkStart w:name="ss61" w:id="61"/>
      <w:r>
        <w:rPr>
          <w:b/>
          <w:bCs/>
          <w:color w:val="1F3864"/>
          <w:sz w:val="25"/>
          <w:szCs w:val="25"/>
        </w:rPr>
        <w:t xml:space="preserve">La démarche budgétaire</w:t>
      </w:r>
      <w:bookmarkEnd w:id="61"/>
    </w:p>
    <w:p>
      <w:pPr>
        <w:pStyle w:val="ListParagraph"/>
        <w:numPr>
          <w:ilvl w:val="0"/>
          <w:numId w:val="3"/>
        </w:numPr>
        <w:spacing w:after="60"/>
      </w:pPr>
      <w:r>
        <w:t xml:space="preserve">Fixer un </w:t>
      </w:r>
      <w:r>
        <w:rPr>
          <w:b/>
          <w:bCs/>
        </w:rPr>
        <w:t xml:space="preserve">objectif</w:t>
      </w:r>
      <w:r>
        <w:t xml:space="preserve">.</w:t>
      </w:r>
    </w:p>
    <w:p>
      <w:pPr>
        <w:pStyle w:val="ListParagraph"/>
        <w:numPr>
          <w:ilvl w:val="0"/>
          <w:numId w:val="3"/>
        </w:numPr>
        <w:spacing w:after="60"/>
      </w:pPr>
      <w:r>
        <w:t xml:space="preserve">Choisir un </w:t>
      </w:r>
      <w:r>
        <w:rPr>
          <w:b/>
          <w:bCs/>
        </w:rPr>
        <w:t xml:space="preserve">plan d'action</w:t>
      </w:r>
      <w:r>
        <w:t xml:space="preserve">.</w:t>
      </w:r>
    </w:p>
    <w:p>
      <w:pPr>
        <w:pStyle w:val="ListParagraph"/>
        <w:numPr>
          <w:ilvl w:val="0"/>
          <w:numId w:val="3"/>
        </w:numPr>
        <w:spacing w:after="60"/>
      </w:pPr>
      <w:r>
        <w:t xml:space="preserve">Tester sa </w:t>
      </w:r>
      <w:r>
        <w:rPr>
          <w:b/>
          <w:bCs/>
        </w:rPr>
        <w:t xml:space="preserve">compatibilité avec les contraintes</w:t>
      </w:r>
      <w:r>
        <w:t xml:space="preserve">.</w:t>
      </w:r>
    </w:p>
    <w:p>
      <w:pPr>
        <w:pStyle w:val="ListParagraph"/>
        <w:numPr>
          <w:ilvl w:val="0"/>
          <w:numId w:val="3"/>
        </w:numPr>
        <w:spacing w:after="60"/>
      </w:pPr>
      <w:r>
        <w:rPr>
          <w:b/>
          <w:bCs/>
        </w:rPr>
        <w:t xml:space="preserve">Comparer les gains</w:t>
      </w:r>
      <w:r>
        <w:t xml:space="preserve"> de plusieurs plans d'action.</w:t>
      </w:r>
    </w:p>
    <w:p>
      <w:pPr>
        <w:pStyle w:val="ListParagraph"/>
        <w:numPr>
          <w:ilvl w:val="0"/>
          <w:numId w:val="3"/>
        </w:numPr>
        <w:spacing w:after="60"/>
      </w:pPr>
      <w:r>
        <w:rPr>
          <w:b/>
          <w:bCs/>
        </w:rPr>
        <w:t xml:space="preserve">Chiffrer les produits et les charges</w:t>
      </w:r>
      <w:r>
        <w:t xml:space="preserve"> associés au plan d'action retenu.</w:t>
      </w:r>
    </w:p>
    <w:p>
      <w:pPr>
        <w:pStyle w:val="ListParagraph"/>
        <w:numPr>
          <w:ilvl w:val="0"/>
          <w:numId w:val="3"/>
        </w:numPr>
        <w:spacing w:after="60"/>
      </w:pPr>
      <w:r>
        <w:rPr>
          <w:b/>
          <w:bCs/>
        </w:rPr>
        <w:t xml:space="preserve">Comparer le réel à l'objectif</w:t>
      </w:r>
      <w:r>
        <w:t xml:space="preserve">.</w:t>
      </w:r>
    </w:p>
    <w:p>
      <w:pPr>
        <w:pStyle w:val="ListParagraph"/>
        <w:numPr>
          <w:ilvl w:val="0"/>
          <w:numId w:val="3"/>
        </w:numPr>
        <w:spacing w:after="60"/>
      </w:pPr>
      <w:r>
        <w:t xml:space="preserve">Analyser les </w:t>
      </w:r>
      <w:r>
        <w:rPr>
          <w:b/>
          <w:bCs/>
        </w:rPr>
        <w:t xml:space="preserve">raisons des écarts</w:t>
      </w:r>
      <w:r>
        <w:t xml:space="preserve"> et les </w:t>
      </w:r>
      <w:r>
        <w:rPr>
          <w:b/>
          <w:bCs/>
        </w:rPr>
        <w:t xml:space="preserve">responsabilités</w:t>
      </w:r>
      <w:r>
        <w:t xml:space="preserve"> en jeu (vu en L3).</w:t>
      </w:r>
    </w:p>
    <w:p>
      <w:pPr>
        <w:pStyle w:val="Heading3"/>
        <w:keepNext/>
        <w:pBdr>
          <w:left w:val="single" w:color="C00000" w:sz="24" w:space="6"/>
        </w:pBdr>
        <w:shd w:fill="F8D7D7" w:color="auto" w:val="clear"/>
        <w:spacing w:after="100" w:before="280"/>
      </w:pPr>
      <w:bookmarkStart w:name="cas62" w:id="62"/>
      <w:r>
        <w:rPr>
          <w:b/>
          <w:bCs/>
          <w:color w:val="C00000"/>
          <w:sz w:val="25"/>
          <w:szCs w:val="25"/>
        </w:rPr>
        <w:t xml:space="preserve">📌 Exemple fil rouge – la boulangerie « 3 épis »</w:t>
      </w:r>
      <w:bookmarkEnd w:id="62"/>
    </w:p>
    <w:p>
      <w:pPr>
        <w:spacing w:after="100"/>
      </w:pPr>
      <w:r>
        <w:t xml:space="preserve">Marie a repris la boulangerie et souhaite </w:t>
      </w:r>
      <w:r>
        <w:rPr>
          <w:b/>
          <w:bCs/>
        </w:rPr>
        <w:t xml:space="preserve">améliorer son résultat mensuel de 500 €</w:t>
      </w:r>
      <w:r>
        <w:t xml:space="preserve">. Elle constate chaque mois des </w:t>
      </w:r>
      <w:r>
        <w:rPr>
          <w:b/>
          <w:bCs/>
        </w:rPr>
        <w:t xml:space="preserve">invendus importants de croissants</w:t>
      </w:r>
      <w:r>
        <w:t xml:space="preserve"> : </w:t>
      </w:r>
      <w:r>
        <w:rPr>
          <w:b/>
          <w:bCs/>
        </w:rPr>
        <w:t xml:space="preserve">12 000 fabriqués, 600 invendus et jetés</w:t>
      </w:r>
      <w:r>
        <w:t xml:space="preserve">. Elle veut tester </w:t>
      </w:r>
      <w:r>
        <w:rPr>
          <w:b/>
          <w:bCs/>
        </w:rPr>
        <w:t xml:space="preserve">2 plans d'action</w:t>
      </w:r>
      <w:r>
        <w:t xml:space="preserve"> qui ne modifieraient </w:t>
      </w:r>
      <w:r>
        <w:rPr>
          <w:b/>
          <w:bCs/>
        </w:rPr>
        <w:t xml:space="preserve">pas les coûts fixes</w:t>
      </w:r>
      <w:r>
        <w:t xml:space="preserve"> :</w:t>
      </w:r>
    </w:p>
    <w:p>
      <w:pPr>
        <w:pStyle w:val="ListParagraph"/>
        <w:numPr>
          <w:ilvl w:val="0"/>
          <w:numId w:val="4"/>
        </w:numPr>
        <w:spacing w:after="60"/>
      </w:pPr>
      <w:r>
        <w:rPr>
          <w:b/>
          <w:bCs/>
        </w:rPr>
        <w:t xml:space="preserve">Plan 1</w:t>
      </w:r>
      <w:r>
        <w:t xml:space="preserve"> : produire seulement </w:t>
      </w:r>
      <w:r>
        <w:rPr>
          <w:b/>
          <w:bCs/>
        </w:rPr>
        <w:t xml:space="preserve">11 400 croissants</w:t>
      </w:r>
      <w:r>
        <w:t xml:space="preserve"> par mois et les vendre au prix actuel de </w:t>
      </w:r>
      <w:r>
        <w:rPr>
          <w:b/>
          <w:bCs/>
        </w:rPr>
        <w:t xml:space="preserve">1,30 €</w:t>
      </w:r>
      <w:r>
        <w:t xml:space="preserve">.</w:t>
      </w:r>
    </w:p>
    <w:p>
      <w:pPr>
        <w:pStyle w:val="ListParagraph"/>
        <w:numPr>
          <w:ilvl w:val="0"/>
          <w:numId w:val="4"/>
        </w:numPr>
        <w:spacing w:after="60"/>
      </w:pPr>
      <w:r>
        <w:rPr>
          <w:b/>
          <w:bCs/>
        </w:rPr>
        <w:t xml:space="preserve">Plan 2</w:t>
      </w:r>
      <w:r>
        <w:t xml:space="preserve"> : produire </w:t>
      </w:r>
      <w:r>
        <w:rPr>
          <w:b/>
          <w:bCs/>
        </w:rPr>
        <w:t xml:space="preserve">12 000 croissants</w:t>
      </w:r>
      <w:r>
        <w:t xml:space="preserve"> et les vendre </w:t>
      </w:r>
      <w:r>
        <w:rPr>
          <w:b/>
          <w:bCs/>
        </w:rPr>
        <w:t xml:space="preserve">1,40 €</w:t>
      </w:r>
      <w:r>
        <w:t xml:space="preserve">, avec une remise de fin de journée (</w:t>
      </w:r>
      <w:r>
        <w:rPr>
          <w:b/>
          <w:bCs/>
        </w:rPr>
        <w:t xml:space="preserve">4 croissants pour le prix de 3</w:t>
      </w:r>
      <w:r>
        <w:t xml:space="preserve">). Les tests montrent qu'elle vendrait tous ses croissants, mais que </w:t>
      </w:r>
      <w:r>
        <w:rPr>
          <w:b/>
          <w:bCs/>
        </w:rPr>
        <w:t xml:space="preserve">20 % de sa clientèle actuelle</w:t>
      </w:r>
      <w:r>
        <w:t xml:space="preserve"> au prix de base se déplacerait vers l'offre promotionnelle.</w:t>
      </w:r>
    </w:p>
    <w:p>
      <w:pPr>
        <w:spacing w:after="100"/>
      </w:pPr>
      <w:r>
        <w:t xml:space="preserve">Avant de construire les budgets, il faut </w:t>
      </w:r>
      <w:r>
        <w:rPr>
          <w:b/>
          <w:bCs/>
        </w:rPr>
        <w:t xml:space="preserve">simuler</w:t>
      </w:r>
      <w:r>
        <w:t xml:space="preserve"> le gain ou la perte de chaque plan par rapport à la situation actuelle.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 Simulation proposée (les coûts unitaires sont dans le fichier Excel du cours)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Situation actuelle</w:t>
      </w:r>
      <w:r>
        <w:t xml:space="preserve"> : 11 400 croissants vendus × 1,30 = </w:t>
      </w:r>
      <w:r>
        <w:rPr>
          <w:b/>
          <w:bCs/>
        </w:rPr>
        <w:t xml:space="preserve">14 820 €</w:t>
      </w:r>
      <w:r>
        <w:t xml:space="preserve"> de CA (600 fabriqués puis jetés)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Plan 1</w:t>
      </w:r>
      <w:r>
        <w:t xml:space="preserve"> : CA inchangé = 11 400 × 1,30 = 14 820 € ; gain = </w:t>
      </w:r>
      <w:r>
        <w:rPr>
          <w:b/>
          <w:bCs/>
        </w:rPr>
        <w:t xml:space="preserve">coût variable des 600 croissants qu'on ne fabrique plus</w:t>
      </w:r>
      <w:r>
        <w:t xml:space="preserve"> (600 × CV unitaire)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rPr>
        <w:t xml:space="preserve">Plan 2</w:t>
      </w:r>
      <w:r>
        <w:t xml:space="preserve"> : clients au prix normal = 11 400 × 80 % = 9 120 croissants × 1,40 = 12 768 €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Offre promotionnelle : 12 000 – 9 120 = 2 880 croissants à 1,40 × 3/4 = 1,05 € → 3 024 €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CA plan 2 = 12 768 + 3 024 = </w:t>
      </w:r>
      <w:r>
        <w:rPr>
          <w:b/>
          <w:bCs/>
        </w:rPr>
        <w:t xml:space="preserve">15 792 €</w:t>
      </w:r>
      <w:r>
        <w:t xml:space="preserve"> → gain = 15 792 – 14 820 = </w:t>
      </w:r>
      <w:r>
        <w:rPr>
          <w:b/>
          <w:bCs/>
        </w:rPr>
        <w:t xml:space="preserve">+972 €</w:t>
      </w:r>
      <w:r>
        <w:t xml:space="preserve"> (même production, mêmes coûts)</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Pour que le plan 1 rapporte 500 €, il faudrait un coût variable de 500 / 600 = 0,83 € par croissant, ce qui est peu probable.</w:t>
      </w:r>
    </w:p>
    <w:p>
      <w:pPr>
        <w:spacing w:after="120"/>
      </w:pPr>
    </w:p>
    <w:p>
      <w:pPr>
        <w:spacing w:after="100"/>
      </w:pPr>
      <w:r>
        <w:t xml:space="preserve">Le </w:t>
      </w:r>
      <w:r>
        <w:rPr>
          <w:b/>
          <w:bCs/>
        </w:rPr>
        <w:t xml:space="preserve">plan 2</w:t>
      </w:r>
      <w:r>
        <w:t xml:space="preserve"> semble le seul à atteindre l'objectif de +500 €, à condition que l'hypothèse des « 20 % de clients qui se déplacent » soit réaliste (voir plus bas).</w:t>
      </w:r>
    </w:p>
    <w:p>
      <w:pPr>
        <w:spacing w:after="120" w:before="60"/>
      </w:pPr>
      <w:r>
        <w:rPr>
          <w:b/>
          <w:bCs/>
          <w:color w:val="FFFFFF"/>
          <w:sz w:val="20"/>
          <w:szCs w:val="20"/>
          <w:shd w:fill="217346" w:color="auto" w:val="clear"/>
        </w:rPr>
        <w:t xml:space="preserve"> 📊 Voir Excel – Boulangerie 3 épis </w:t>
      </w:r>
    </w:p>
    <w:p>
      <w:pPr>
        <w:pStyle w:val="Heading2"/>
        <w:keepNext/>
        <w:pBdr>
          <w:bottom w:val="single" w:color="C00000" w:sz="8" w:space="2"/>
        </w:pBdr>
        <w:spacing w:after="120" w:before="300"/>
      </w:pPr>
      <w:bookmarkStart w:name="s63" w:id="63"/>
      <w:r>
        <w:rPr>
          <w:b/>
          <w:bCs/>
          <w:color w:val="C00000"/>
          <w:sz w:val="30"/>
          <w:szCs w:val="30"/>
        </w:rPr>
        <w:t xml:space="preserve">2. Charges, produits et trésorerie</w:t>
      </w:r>
      <w:bookmarkEnd w:id="63"/>
    </w:p>
    <w:p>
      <w:pPr>
        <w:spacing w:after="100"/>
      </w:pPr>
      <w:r>
        <w:t xml:space="preserve">Une prévision chiffrée de produits et de charges suppose de bien comprendre ce qu'ils sont et comment les estimer : à partir de </w:t>
      </w:r>
      <w:r>
        <w:rPr>
          <w:b/>
          <w:bCs/>
        </w:rPr>
        <w:t xml:space="preserve">données standards</w:t>
      </w:r>
      <w:r>
        <w:t xml:space="preserve"> (souvent basées sur des données constatées), </w:t>
      </w:r>
      <w:r>
        <w:rPr>
          <w:b/>
          <w:bCs/>
        </w:rPr>
        <w:t xml:space="preserve">en lien avec le plan d'action retenu</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3962"/>
        <w:gridCol w:w="3963"/>
      </w:tblGrid>
      <w:tr>
        <w:trPr>
          <w:cantSplit/>
          <w:tblHeader/>
        </w:trPr>
        <w:tc>
          <w:tcPr>
            <w:tcW w:type="dxa" w:w="1713"/>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p>
        </w:tc>
        <w:tc>
          <w:tcPr>
            <w:tcW w:type="dxa" w:w="3962"/>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Produit</w:t>
            </w:r>
          </w:p>
        </w:tc>
        <w:tc>
          <w:tcPr>
            <w:tcW w:type="dxa" w:w="3963"/>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Charge</w:t>
            </w:r>
          </w:p>
        </w:tc>
      </w:tr>
      <w:tr>
        <w:trPr>
          <w:cantSplit/>
          <w:tblHeader w:val="false"/>
        </w:trPr>
        <w:tc>
          <w:tcPr>
            <w:tcW w:type="dxa" w:w="17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Définition</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Opération qui </w:t>
            </w:r>
            <w:r>
              <w:rPr>
                <w:b/>
                <w:bCs/>
                <w:sz w:val="20"/>
                <w:szCs w:val="20"/>
              </w:rPr>
              <w:t xml:space="preserve">augmente notre richesse</w:t>
            </w:r>
          </w:p>
        </w:tc>
        <w:tc>
          <w:tcPr>
            <w:tcW w:type="dxa" w:w="39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bCs/>
                <w:sz w:val="20"/>
                <w:szCs w:val="20"/>
              </w:rPr>
              <w:t xml:space="preserve">Coût supporté pour obtenir nos produits</w:t>
            </w:r>
          </w:p>
        </w:tc>
      </w:tr>
      <w:tr>
        <w:trPr>
          <w:cantSplit/>
          <w:tblHeader w:val="false"/>
        </w:trPr>
        <w:tc>
          <w:tcPr>
            <w:tcW w:type="dxa" w:w="1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Exemples</w:t>
            </w:r>
          </w:p>
        </w:tc>
        <w:tc>
          <w:tcPr>
            <w:tcW w:type="dxa" w:w="39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 Ventes (production vendue, ventes de marchandises)</w:t>
            </w:r>
          </w:p>
          <w:p>
            <w:pPr>
              <w:jc w:val="left"/>
            </w:pPr>
            <w:r>
              <w:rPr>
                <w:sz w:val="20"/>
                <w:szCs w:val="20"/>
              </w:rPr>
              <w:t xml:space="preserve">• Augmentation du stock de produits finis (production stockée)</w:t>
            </w:r>
          </w:p>
        </w:tc>
        <w:tc>
          <w:tcPr>
            <w:tcW w:type="dxa" w:w="396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 Achats de matières et de marchandises</w:t>
            </w:r>
          </w:p>
          <w:p>
            <w:pPr>
              <w:jc w:val="left"/>
            </w:pPr>
            <w:r>
              <w:rPr>
                <w:sz w:val="20"/>
                <w:szCs w:val="20"/>
              </w:rPr>
              <w:t xml:space="preserve">• Frais de personnel</w:t>
            </w:r>
          </w:p>
          <w:p>
            <w:pPr>
              <w:jc w:val="left"/>
            </w:pPr>
            <w:r>
              <w:rPr>
                <w:sz w:val="20"/>
                <w:szCs w:val="20"/>
              </w:rPr>
              <w:t xml:space="preserve">• Rémunération de prestataires</w:t>
            </w:r>
          </w:p>
          <w:p>
            <w:pPr>
              <w:jc w:val="left"/>
            </w:pPr>
            <w:r>
              <w:rPr>
                <w:sz w:val="20"/>
                <w:szCs w:val="20"/>
              </w:rPr>
              <w:t xml:space="preserve">• Usure des immobilisations (dotations aux amortissements)</w:t>
            </w:r>
          </w:p>
          <w:p>
            <w:pPr>
              <w:jc w:val="left"/>
            </w:pPr>
            <w:r>
              <w:rPr>
                <w:sz w:val="20"/>
                <w:szCs w:val="20"/>
              </w:rPr>
              <w:t xml:space="preserve">• Frais financiers</w:t>
            </w:r>
          </w:p>
        </w:tc>
      </w:tr>
      <w:tr>
        <w:trPr>
          <w:cantSplit/>
          <w:tblHeader w:val="false"/>
        </w:trPr>
        <w:tc>
          <w:tcPr>
            <w:tcW w:type="dxa" w:w="17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Comment prévoir ?</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Essentiellement </w:t>
            </w:r>
            <w:r>
              <w:rPr>
                <w:b/>
                <w:bCs/>
                <w:sz w:val="20"/>
                <w:szCs w:val="20"/>
              </w:rPr>
              <w:t xml:space="preserve">prévoir ses ventes</w:t>
            </w:r>
            <w:r>
              <w:rPr>
                <w:sz w:val="20"/>
                <w:szCs w:val="20"/>
              </w:rPr>
              <w:t xml:space="preserve"> = quantités vendues × prix. Combien va-t-on vendre ? En fonction du prix, du marché et de nos actions commerciales. Les prévisions dépendent des tendances mais </w:t>
            </w:r>
            <w:r>
              <w:rPr>
                <w:b/>
                <w:bCs/>
                <w:sz w:val="20"/>
                <w:szCs w:val="20"/>
              </w:rPr>
              <w:t xml:space="preserve">surtout de notre plan d'action</w:t>
            </w:r>
            <w:r>
              <w:rPr>
                <w:sz w:val="20"/>
                <w:szCs w:val="20"/>
              </w:rPr>
              <w:t xml:space="preserve"> (vu en L3).</w:t>
            </w:r>
          </w:p>
        </w:tc>
        <w:tc>
          <w:tcPr>
            <w:tcW w:type="dxa" w:w="396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Dépend de notre </w:t>
            </w:r>
            <w:r>
              <w:rPr>
                <w:b/>
                <w:bCs/>
                <w:sz w:val="20"/>
                <w:szCs w:val="20"/>
              </w:rPr>
              <w:t xml:space="preserve">production</w:t>
            </w:r>
            <w:r>
              <w:rPr>
                <w:sz w:val="20"/>
                <w:szCs w:val="20"/>
              </w:rPr>
              <w:t xml:space="preserve">, de notre </w:t>
            </w:r>
            <w:r>
              <w:rPr>
                <w:b/>
                <w:bCs/>
                <w:sz w:val="20"/>
                <w:szCs w:val="20"/>
              </w:rPr>
              <w:t xml:space="preserve">organisation</w:t>
            </w:r>
            <w:r>
              <w:rPr>
                <w:sz w:val="20"/>
                <w:szCs w:val="20"/>
              </w:rPr>
              <w:t xml:space="preserve"> et de nos </w:t>
            </w:r>
            <w:r>
              <w:rPr>
                <w:b/>
                <w:bCs/>
                <w:sz w:val="20"/>
                <w:szCs w:val="20"/>
              </w:rPr>
              <w:t xml:space="preserve">plans d'action</w:t>
            </w:r>
            <w:r>
              <w:rPr>
                <w:sz w:val="20"/>
                <w:szCs w:val="20"/>
              </w:rPr>
              <w:t xml:space="preserve">.</w:t>
            </w:r>
          </w:p>
        </w:tc>
      </w:tr>
    </w:tbl>
    <w:p>
      <w:pPr>
        <w:spacing w:after="120"/>
      </w:pPr>
    </w:p>
    <w:p>
      <w:pPr>
        <w:pStyle w:val="Heading3"/>
        <w:keepNext/>
        <w:spacing w:after="80" w:before="220"/>
      </w:pPr>
      <w:bookmarkStart w:name="ss64" w:id="64"/>
      <w:r>
        <w:rPr>
          <w:b/>
          <w:bCs/>
          <w:color w:val="1F3864"/>
          <w:sz w:val="25"/>
          <w:szCs w:val="25"/>
        </w:rPr>
        <w:t xml:space="preserve">Mouvements de trésorerie ≠ charges et produits</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1"/>
        <w:gridCol w:w="2998"/>
        <w:gridCol w:w="2999"/>
      </w:tblGrid>
      <w:tr>
        <w:trPr>
          <w:cantSplit/>
          <w:tblHeader/>
        </w:trPr>
        <w:tc>
          <w:tcPr>
            <w:tcW w:type="dxa" w:w="3641"/>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Opération</w:t>
            </w:r>
          </w:p>
        </w:tc>
        <w:tc>
          <w:tcPr>
            <w:tcW w:type="dxa" w:w="2998"/>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Charge / produit ?</w:t>
            </w:r>
          </w:p>
        </w:tc>
        <w:tc>
          <w:tcPr>
            <w:tcW w:type="dxa" w:w="2999"/>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Flux de trésorerie ?</w:t>
            </w:r>
          </w:p>
        </w:tc>
      </w:tr>
      <w:tr>
        <w:trPr>
          <w:cantSplit/>
          <w:tblHeader w:val="false"/>
        </w:trPr>
        <w:tc>
          <w:tcPr>
            <w:tcW w:type="dxa" w:w="36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Remboursement d'emprunt</w:t>
            </w:r>
          </w:p>
        </w:tc>
        <w:tc>
          <w:tcPr>
            <w:tcW w:type="dxa" w:w="29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Non</w:t>
            </w:r>
          </w:p>
        </w:tc>
        <w:tc>
          <w:tcPr>
            <w:tcW w:type="dxa" w:w="29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Oui (décaissement)</w:t>
            </w:r>
          </w:p>
        </w:tc>
      </w:tr>
      <w:tr>
        <w:trPr>
          <w:cantSplit/>
          <w:tblHeader w:val="false"/>
        </w:trPr>
        <w:tc>
          <w:tcPr>
            <w:tcW w:type="dxa" w:w="36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Dotation aux amortissements</w:t>
            </w:r>
          </w:p>
        </w:tc>
        <w:tc>
          <w:tcPr>
            <w:tcW w:type="dxa" w:w="29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Oui (charge)</w:t>
            </w:r>
          </w:p>
        </w:tc>
        <w:tc>
          <w:tcPr>
            <w:tcW w:type="dxa" w:w="29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sz w:val="20"/>
                <w:szCs w:val="20"/>
              </w:rPr>
              <w:t xml:space="preserve">Non</w:t>
            </w:r>
          </w:p>
        </w:tc>
      </w:tr>
      <w:tr>
        <w:trPr>
          <w:cantSplit/>
          <w:tblHeader w:val="false"/>
        </w:trPr>
        <w:tc>
          <w:tcPr>
            <w:tcW w:type="dxa" w:w="36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Vente à crédit (délai de 2 mois)</w:t>
            </w:r>
          </w:p>
        </w:tc>
        <w:tc>
          <w:tcPr>
            <w:tcW w:type="dxa" w:w="29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Oui, le mois de la vente (HT)</w:t>
            </w:r>
          </w:p>
        </w:tc>
        <w:tc>
          <w:tcPr>
            <w:tcW w:type="dxa" w:w="29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sz w:val="20"/>
                <w:szCs w:val="20"/>
              </w:rPr>
              <w:t xml:space="preserve">Oui, 2 mois plus tard (TTC)</w:t>
            </w:r>
          </w:p>
        </w:tc>
      </w:tr>
    </w:tbl>
    <w:p>
      <w:pPr>
        <w:spacing w:after="120"/>
      </w:pPr>
    </w:p>
    <w:p>
      <w:pPr>
        <w:spacing w:after="100"/>
      </w:pPr>
      <w:r>
        <w:t xml:space="preserve">Les mouvements de trésorerie se font en </w:t>
      </w:r>
      <w:r>
        <w:rPr>
          <w:b/>
          <w:bCs/>
        </w:rPr>
        <w:t xml:space="preserve">montants TTC</w:t>
      </w:r>
      <w:r>
        <w:t xml:space="preserve"> et tiennent compte des </w:t>
      </w:r>
      <w:r>
        <w:rPr>
          <w:b/>
          <w:bCs/>
        </w:rPr>
        <w:t xml:space="preserve">délais de règlement</w:t>
      </w:r>
      <w:r>
        <w:t xml:space="preserve">.</w:t>
      </w:r>
    </w:p>
    <w:p>
      <w:pPr>
        <w:pStyle w:val="Heading2"/>
        <w:keepNext/>
        <w:pBdr>
          <w:bottom w:val="single" w:color="C00000" w:sz="8" w:space="2"/>
        </w:pBdr>
        <w:spacing w:after="120" w:before="300"/>
      </w:pPr>
      <w:bookmarkStart w:name="s65" w:id="65"/>
      <w:r>
        <w:rPr>
          <w:b/>
          <w:bCs/>
          <w:color w:val="C00000"/>
          <w:sz w:val="30"/>
          <w:szCs w:val="30"/>
        </w:rPr>
        <w:t xml:space="preserve">3. Quels budgets ? Dans quel ordre ?</w:t>
      </w:r>
      <w:bookmarkEnd w:id="65"/>
    </w:p>
    <w:p>
      <w:pPr>
        <w:spacing w:after="100"/>
      </w:pPr>
      <w:r>
        <w:t xml:space="preserve">Une entreprise n'a pas un seul budget mais </w:t>
      </w:r>
      <w:r>
        <w:rPr>
          <w:b/>
          <w:bCs/>
        </w:rPr>
        <w:t xml:space="preserve">plusieurs</w:t>
      </w:r>
      <w:r>
        <w:t xml:space="preserve"> : les prévisions budgétaires sont </w:t>
      </w:r>
      <w:r>
        <w:rPr>
          <w:b/>
          <w:bCs/>
        </w:rPr>
        <w:t xml:space="preserve">hiérarchisées</w:t>
      </w:r>
      <w:r>
        <w:t xml:space="preserve"> et il existe un </w:t>
      </w:r>
      <w:r>
        <w:rPr>
          <w:b/>
          <w:bCs/>
        </w:rPr>
        <w:t xml:space="preserve">ordre impératif</w:t>
      </w:r>
      <w:r>
        <w:t xml:space="preserve"> de calcul.</w:t>
      </w:r>
    </w:p>
    <w:p>
      <w:pPr>
        <w:pStyle w:val="ListParagraph"/>
        <w:numPr>
          <w:ilvl w:val="0"/>
          <w:numId w:val="2"/>
        </w:numPr>
        <w:spacing w:after="60"/>
      </w:pPr>
      <w:r>
        <w:t xml:space="preserve">Un budget pour </w:t>
      </w:r>
      <w:r>
        <w:rPr>
          <w:b/>
          <w:bCs/>
        </w:rPr>
        <w:t xml:space="preserve">chaque service</w:t>
      </w:r>
      <w:r>
        <w:t xml:space="preserve">, mois par mois, sur l'année.</w:t>
      </w:r>
    </w:p>
    <w:p>
      <w:pPr>
        <w:pStyle w:val="ListParagraph"/>
        <w:numPr>
          <w:ilvl w:val="0"/>
          <w:numId w:val="2"/>
        </w:numPr>
        <w:spacing w:after="60"/>
      </w:pPr>
      <w:r>
        <w:rPr>
          <w:b/>
          <w:bCs/>
        </w:rPr>
        <w:t xml:space="preserve">Consolidation</w:t>
      </w:r>
      <w:r>
        <w:t xml:space="preserve"> des budgets partiels au niveau de l'entreprise → </w:t>
      </w:r>
      <w:r>
        <w:rPr>
          <w:b/>
          <w:bCs/>
        </w:rPr>
        <w:t xml:space="preserve">documents budgétaires de synthèse</w:t>
      </w:r>
      <w:r>
        <w:t xml:space="preserve">.</w:t>
      </w:r>
    </w:p>
    <w:p>
      <w:pPr>
        <w:pStyle w:val="ListParagraph"/>
        <w:numPr>
          <w:ilvl w:val="0"/>
          <w:numId w:val="2"/>
        </w:numPr>
        <w:spacing w:after="60"/>
      </w:pPr>
      <w:r>
        <w:t xml:space="preserve">Une </w:t>
      </w:r>
      <w:r>
        <w:rPr>
          <w:b/>
          <w:bCs/>
        </w:rPr>
        <w:t xml:space="preserve">architecture commune</w:t>
      </w:r>
      <w:r>
        <w:t xml:space="preserve"> à tous les budgets partiels pour faciliter la consolidation (souvent, charges classées dans l'ordre du Plan comptable). Tous les budgets sont présentés dans des tableaux </w:t>
      </w:r>
      <w:r>
        <w:rPr>
          <w:b/>
          <w:bCs/>
        </w:rPr>
        <w:t xml:space="preserve">Quantité × Prix = Montant</w:t>
      </w:r>
      <w:r>
        <w:t xml:space="preserve">.</w:t>
      </w:r>
    </w:p>
    <w:p>
      <w:pPr>
        <w:pStyle w:val="Heading3"/>
        <w:keepNext/>
        <w:spacing w:after="80" w:before="220"/>
      </w:pPr>
      <w:bookmarkStart w:name="ss66" w:id="66"/>
      <w:r>
        <w:rPr>
          <w:b/>
          <w:bCs/>
          <w:color w:val="1F3864"/>
          <w:sz w:val="25"/>
          <w:szCs w:val="25"/>
        </w:rPr>
        <w:t xml:space="preserve">Les documents budgétaires de synthèse</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Compte de résultat prévisionnel</w:t>
            </w:r>
          </w:p>
        </w:tc>
        <w:tc>
          <w:tcPr>
            <w:tcW w:type="dxa" w:w="4819"/>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Budget de trésorerie</w:t>
            </w:r>
          </w:p>
        </w:tc>
      </w:tr>
      <w:tr>
        <w:trPr>
          <w:cantSplit/>
          <w:tblHeader w:val="false"/>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Récapitulatif des </w:t>
            </w:r>
            <w:r>
              <w:rPr>
                <w:b/>
                <w:bCs/>
                <w:sz w:val="20"/>
                <w:szCs w:val="20"/>
              </w:rPr>
              <w:t xml:space="preserve">charges et des produits</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Récapitulatif mois par mois des </w:t>
            </w:r>
            <w:r>
              <w:rPr>
                <w:b/>
                <w:bCs/>
                <w:sz w:val="20"/>
                <w:szCs w:val="20"/>
              </w:rPr>
              <w:t xml:space="preserve">encaissements et des décaissements</w:t>
            </w:r>
          </w:p>
        </w:tc>
      </w:tr>
      <w:tr>
        <w:trPr>
          <w:cantSplit/>
          <w:tblHeader w:val="false"/>
        </w:trPr>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Son solde est le </w:t>
            </w:r>
            <w:r>
              <w:rPr>
                <w:b/>
                <w:bCs/>
                <w:sz w:val="20"/>
                <w:szCs w:val="20"/>
              </w:rPr>
              <w:t xml:space="preserve">résultat</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Permet d'estimer le </w:t>
            </w:r>
            <w:r>
              <w:rPr>
                <w:b/>
                <w:bCs/>
                <w:sz w:val="20"/>
                <w:szCs w:val="20"/>
              </w:rPr>
              <w:t xml:space="preserve">solde de trésorerie</w:t>
            </w:r>
            <w:r>
              <w:rPr>
                <w:sz w:val="20"/>
                <w:szCs w:val="20"/>
              </w:rPr>
              <w:t xml:space="preserve"> à la fin de chaque mois</w:t>
            </w:r>
          </w:p>
        </w:tc>
      </w:tr>
      <w:tr>
        <w:trPr>
          <w:cantSplit/>
          <w:tblHeader w:val="false"/>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Construit </w:t>
            </w:r>
            <w:r>
              <w:rPr>
                <w:b/>
                <w:bCs/>
                <w:sz w:val="20"/>
                <w:szCs w:val="20"/>
              </w:rPr>
              <w:t xml:space="preserve">sur l'année</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Construit </w:t>
            </w:r>
            <w:r>
              <w:rPr>
                <w:b/>
                <w:bCs/>
                <w:sz w:val="20"/>
                <w:szCs w:val="20"/>
              </w:rPr>
              <w:t xml:space="preserve">mois par mois</w:t>
            </w:r>
          </w:p>
        </w:tc>
      </w:tr>
      <w:tr>
        <w:trPr>
          <w:cantSplit/>
          <w:tblHeader w:val="false"/>
        </w:trPr>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Toujours </w:t>
            </w:r>
            <w:r>
              <w:rPr>
                <w:b/>
                <w:bCs/>
                <w:sz w:val="20"/>
                <w:szCs w:val="20"/>
              </w:rPr>
              <w:t xml:space="preserve">HT</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Prend en compte la </w:t>
            </w:r>
            <w:r>
              <w:rPr>
                <w:b/>
                <w:bCs/>
                <w:sz w:val="20"/>
                <w:szCs w:val="20"/>
              </w:rPr>
              <w:t xml:space="preserve">TVA</w:t>
            </w:r>
          </w:p>
        </w:tc>
      </w:tr>
      <w:tr>
        <w:trPr>
          <w:cantSplit/>
          <w:tblHeader w:val="false"/>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b/>
                <w:bCs/>
                <w:sz w:val="20"/>
                <w:szCs w:val="20"/>
              </w:rPr>
              <w:t xml:space="preserve">Indépendant</w:t>
            </w:r>
            <w:r>
              <w:rPr>
                <w:sz w:val="20"/>
                <w:szCs w:val="20"/>
              </w:rPr>
              <w:t xml:space="preserve"> de l'encaissement ou du décaissement</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Prend en compte les </w:t>
            </w:r>
            <w:r>
              <w:rPr>
                <w:b/>
                <w:bCs/>
                <w:sz w:val="20"/>
                <w:szCs w:val="20"/>
              </w:rPr>
              <w:t xml:space="preserve">délais de paiement</w:t>
            </w:r>
          </w:p>
        </w:tc>
      </w:tr>
      <w:tr>
        <w:trPr>
          <w:cantSplit/>
          <w:tblHeader w:val="false"/>
        </w:trPr>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Pas seulement des charges et des produits (emprunts, investissements…)</w:t>
            </w:r>
          </w:p>
        </w:tc>
      </w:tr>
    </w:tbl>
    <w:p>
      <w:pPr>
        <w:spacing w:after="120"/>
      </w:pPr>
    </w:p>
    <w:p>
      <w:pPr>
        <w:pStyle w:val="Heading3"/>
        <w:keepNext/>
        <w:spacing w:after="80" w:before="220"/>
      </w:pPr>
      <w:bookmarkStart w:name="ss67" w:id="67"/>
      <w:r>
        <w:rPr>
          <w:b/>
          <w:bCs/>
          <w:color w:val="1F3864"/>
          <w:sz w:val="25"/>
          <w:szCs w:val="25"/>
        </w:rPr>
        <w:t xml:space="preserve">Des prévisions hiérarchisées</w:t>
      </w:r>
      <w:bookmarkEnd w:id="67"/>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L'ordre des prévisions</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Prévisions de ventes</w:t>
      </w:r>
      <w:r>
        <w:rPr>
          <w:b w:val="false"/>
          <w:bCs w:val="false"/>
        </w:rPr>
        <w:t xml:space="preserve"> → </w:t>
      </w:r>
      <w:r>
        <w:rPr>
          <w:b/>
          <w:bCs/>
        </w:rPr>
        <w:t xml:space="preserve">Prévisions de production</w:t>
      </w:r>
      <w:r>
        <w:rPr>
          <w:b w:val="false"/>
          <w:bCs w:val="false"/>
        </w:rPr>
        <w:t xml:space="preserve"> → </w:t>
      </w:r>
      <w:r>
        <w:rPr>
          <w:b/>
          <w:bCs/>
        </w:rPr>
        <w:t xml:space="preserve">Prévisions de consommation des facteurs</w:t>
      </w:r>
      <w:r>
        <w:rPr>
          <w:b w:val="false"/>
          <w:bCs w:val="false"/>
        </w:rPr>
        <w:t xml:space="preserve"> (besoins en MOD des ateliers, consommations de matières, investissements) → </w:t>
      </w:r>
      <w:r>
        <w:rPr>
          <w:b/>
          <w:bCs/>
        </w:rPr>
        <w:t xml:space="preserve">Prévisions d'achats</w:t>
      </w:r>
    </w:p>
    <w:p>
      <w:pPr>
        <w:spacing w:after="120"/>
      </w:pPr>
    </w:p>
    <w:p>
      <w:pPr>
        <w:pStyle w:val="Heading3"/>
        <w:keepNext/>
        <w:pBdr>
          <w:left w:val="single" w:color="C00000" w:sz="24" w:space="6"/>
        </w:pBdr>
        <w:shd w:fill="F8D7D7" w:color="auto" w:val="clear"/>
        <w:spacing w:after="100" w:before="280"/>
      </w:pPr>
      <w:bookmarkStart w:name="cas68" w:id="68"/>
      <w:r>
        <w:rPr>
          <w:b/>
          <w:bCs/>
          <w:color w:val="C00000"/>
          <w:sz w:val="25"/>
          <w:szCs w:val="25"/>
        </w:rPr>
        <w:t xml:space="preserve">📌 Les prévisions et les budgets de Marie</w:t>
      </w:r>
      <w:bookmarkEnd w:id="68"/>
    </w:p>
    <w:p>
      <w:pPr>
        <w:pStyle w:val="ListParagraph"/>
        <w:numPr>
          <w:ilvl w:val="0"/>
          <w:numId w:val="2"/>
        </w:numPr>
        <w:spacing w:after="60"/>
      </w:pPr>
      <w:r>
        <w:rPr>
          <w:b/>
          <w:bCs/>
        </w:rPr>
        <w:t xml:space="preserve">Ventes</w:t>
      </w:r>
      <w:r>
        <w:t xml:space="preserve"> : 12 000 croissants et 30 000 baguettes.</w:t>
      </w:r>
    </w:p>
    <w:p>
      <w:pPr>
        <w:pStyle w:val="ListParagraph"/>
        <w:numPr>
          <w:ilvl w:val="0"/>
          <w:numId w:val="2"/>
        </w:numPr>
        <w:spacing w:after="60"/>
      </w:pPr>
      <w:r>
        <w:rPr>
          <w:b/>
          <w:bCs/>
        </w:rPr>
        <w:t xml:space="preserve">Production</w:t>
      </w:r>
      <w:r>
        <w:t xml:space="preserve"> : 12 000 croissants et 30 000 baguettes (pas d'invendus ni de stock de produits finis).</w:t>
      </w:r>
    </w:p>
    <w:p>
      <w:pPr>
        <w:pStyle w:val="ListParagraph"/>
        <w:numPr>
          <w:ilvl w:val="0"/>
          <w:numId w:val="2"/>
        </w:numPr>
        <w:spacing w:after="60"/>
      </w:pPr>
      <w:r>
        <w:rPr>
          <w:b/>
          <w:bCs/>
        </w:rPr>
        <w:t xml:space="preserve">Consommation</w:t>
      </w:r>
      <w:r>
        <w:t xml:space="preserve"> : combien de farine et de beurre pour les croissants et les baguettes ?</w:t>
      </w:r>
    </w:p>
    <w:p>
      <w:pPr>
        <w:pStyle w:val="ListParagraph"/>
        <w:numPr>
          <w:ilvl w:val="0"/>
          <w:numId w:val="2"/>
        </w:numPr>
        <w:spacing w:after="60"/>
      </w:pPr>
      <w:r>
        <w:rPr>
          <w:b/>
          <w:bCs/>
        </w:rPr>
        <w:t xml:space="preserve">Achats</w:t>
      </w:r>
      <w:r>
        <w:t xml:space="preserve"> : combien de farine acheter, compte tenu du </w:t>
      </w:r>
      <w:r>
        <w:rPr>
          <w:b/>
          <w:bCs/>
        </w:rPr>
        <w:t xml:space="preserve">stock de départ</w:t>
      </w:r>
      <w:r>
        <w:t xml:space="preserve"> et de l'</w:t>
      </w:r>
      <w:r>
        <w:rPr>
          <w:b/>
          <w:bCs/>
        </w:rPr>
        <w:t xml:space="preserve">objectif de stock final</w:t>
      </w:r>
      <w:r>
        <w:t xml:space="preserve"> ?</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Achats</w:t>
      </w:r>
      <w:r>
        <w:rPr>
          <w:b w:val="false"/>
          <w:bCs w:val="false"/>
        </w:rPr>
        <w:t xml:space="preserve"> = Consommations + Stock final souhaité – Stock initial</w:t>
      </w:r>
    </w:p>
    <w:p>
      <w:pPr>
        <w:spacing w:after="120"/>
      </w:pPr>
    </w:p>
    <w:p>
      <w:pPr>
        <w:spacing w:after="100"/>
      </w:pPr>
      <w:r>
        <w:t xml:space="preserve">Budgets à construire : </w:t>
      </w:r>
      <w:r>
        <w:rPr>
          <w:b/>
          <w:bCs/>
        </w:rPr>
        <w:t xml:space="preserve">budget des ventes</w:t>
      </w:r>
      <w:r>
        <w:t xml:space="preserve">, </w:t>
      </w:r>
      <w:r>
        <w:rPr>
          <w:b/>
          <w:bCs/>
        </w:rPr>
        <w:t xml:space="preserve">budget de production</w:t>
      </w:r>
      <w:r>
        <w:t xml:space="preserve">, </w:t>
      </w:r>
      <w:r>
        <w:rPr>
          <w:b/>
          <w:bCs/>
        </w:rPr>
        <w:t xml:space="preserve">budget des achats</w:t>
      </w:r>
      <w:r>
        <w:t xml:space="preserve">, </w:t>
      </w:r>
      <w:r>
        <w:rPr>
          <w:b/>
          <w:bCs/>
        </w:rPr>
        <w:t xml:space="preserve">budget des autres charges</w:t>
      </w:r>
      <w:r>
        <w:t xml:space="preserve">, puis </w:t>
      </w:r>
      <w:r>
        <w:rPr>
          <w:b/>
          <w:bCs/>
        </w:rPr>
        <w:t xml:space="preserve">compte de résultat prévisionnel</w:t>
      </w:r>
      <w:r>
        <w:t xml:space="preserve">.</w:t>
      </w:r>
    </w:p>
    <w:p>
      <w:pPr>
        <w:spacing w:after="100"/>
      </w:pPr>
      <w:r>
        <w:t xml:space="preserve">Après réalisation : le budget permet-il de respecter l'objectif ? Quels </w:t>
      </w:r>
      <w:r>
        <w:rPr>
          <w:b/>
          <w:bCs/>
        </w:rPr>
        <w:t xml:space="preserve">écarts</w:t>
      </w:r>
      <w:r>
        <w:t xml:space="preserve"> entre réel et objectif ? </w:t>
      </w:r>
      <w:r>
        <w:rPr>
          <w:b/>
          <w:bCs/>
        </w:rPr>
        <w:t xml:space="preserve">Qui est responsable</w:t>
      </w:r>
      <w:r>
        <w:t xml:space="preserve"> ? Quelles </w:t>
      </w:r>
      <w:r>
        <w:rPr>
          <w:b/>
          <w:bCs/>
        </w:rPr>
        <w:t xml:space="preserve">actions correctives</w:t>
      </w:r>
      <w:r>
        <w:t xml:space="preserve"> ou corrections des prévisions ? Par exemple : la perte de 20 % des clients au prix normal est-elle réaliste ou sous-estimée ? (cf. cours de L3)</w:t>
      </w:r>
    </w:p>
    <w:p>
      <w:pPr>
        <w:spacing w:after="120" w:before="60"/>
      </w:pPr>
      <w:r>
        <w:rPr>
          <w:b/>
          <w:bCs/>
          <w:color w:val="FFFFFF"/>
          <w:sz w:val="20"/>
          <w:szCs w:val="20"/>
          <w:shd w:fill="217346" w:color="auto" w:val="clear"/>
        </w:rPr>
        <w:t xml:space="preserve"> 📊 Voir Excel – Budgets de Marie </w:t>
      </w:r>
    </w:p>
    <w:p>
      <w:pPr>
        <w:pStyle w:val="Heading2"/>
        <w:keepNext/>
        <w:pBdr>
          <w:bottom w:val="single" w:color="C00000" w:sz="8" w:space="2"/>
        </w:pBdr>
        <w:spacing w:after="120" w:before="300"/>
      </w:pPr>
      <w:bookmarkStart w:name="s69" w:id="69"/>
      <w:r>
        <w:rPr>
          <w:b/>
          <w:bCs/>
          <w:color w:val="C00000"/>
          <w:sz w:val="30"/>
          <w:szCs w:val="30"/>
        </w:rPr>
        <w:t xml:space="preserve">4. Le budget de trésorerie</w:t>
      </w:r>
      <w:bookmarkEnd w:id="69"/>
    </w:p>
    <w:p>
      <w:pPr>
        <w:spacing w:after="100"/>
      </w:pPr>
      <w:r>
        <w:t xml:space="preserve">Il permet de </w:t>
      </w:r>
      <w:r>
        <w:rPr>
          <w:b/>
          <w:bCs/>
        </w:rPr>
        <w:t xml:space="preserve">prévoir les soldes de trésorerie mois par mois</w:t>
      </w:r>
      <w:r>
        <w:t xml:space="preserve"> pour :</w:t>
      </w:r>
    </w:p>
    <w:p>
      <w:pPr>
        <w:pStyle w:val="ListParagraph"/>
        <w:numPr>
          <w:ilvl w:val="0"/>
          <w:numId w:val="2"/>
        </w:numPr>
        <w:spacing w:after="60"/>
      </w:pPr>
      <w:r>
        <w:rPr>
          <w:b/>
          <w:bCs/>
        </w:rPr>
        <w:t xml:space="preserve">anticiper</w:t>
      </w:r>
      <w:r>
        <w:t xml:space="preserve"> d'éventuels problèmes de trésorerie ;</w:t>
      </w:r>
    </w:p>
    <w:p>
      <w:pPr>
        <w:pStyle w:val="ListParagraph"/>
        <w:numPr>
          <w:ilvl w:val="0"/>
          <w:numId w:val="2"/>
        </w:numPr>
        <w:spacing w:after="60"/>
      </w:pPr>
      <w:r>
        <w:rPr>
          <w:b/>
          <w:bCs/>
        </w:rPr>
        <w:t xml:space="preserve">prévoir à l'avance des ajustements</w:t>
      </w:r>
      <w:r>
        <w:t xml:space="preserve"> : gestion du BFR, négociation avec le banquier, escompte d'un effet de commerce ;</w:t>
      </w:r>
    </w:p>
    <w:p>
      <w:pPr>
        <w:pStyle w:val="ListParagraph"/>
        <w:numPr>
          <w:ilvl w:val="0"/>
          <w:numId w:val="2"/>
        </w:numPr>
        <w:spacing w:after="60"/>
      </w:pPr>
      <w:r>
        <w:rPr>
          <w:b/>
          <w:bCs/>
        </w:rPr>
        <w:t xml:space="preserve">rassurer les partenaires</w:t>
      </w:r>
      <w:r>
        <w:t xml:space="preserve"> qui craindraient une défaillance de l'entreprise.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Trésorerie finale du mois m</w:t>
      </w:r>
      <w:r>
        <w:rPr>
          <w:b w:val="false"/>
          <w:bCs w:val="false"/>
        </w:rPr>
        <w:t xml:space="preserve"> = Trésorerie initiale + Encaissements – Décaissements</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Trésorerie initiale du mois m</w:t>
      </w:r>
      <w:r>
        <w:rPr>
          <w:b w:val="false"/>
          <w:bCs w:val="false"/>
        </w:rPr>
        <w:t xml:space="preserve"> = Trésorerie finale du mois m – 1</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Trésorerie</w:t>
      </w:r>
      <w:r>
        <w:rPr>
          <w:b w:val="false"/>
          <w:bCs w:val="false"/>
        </w:rPr>
        <w:t xml:space="preserve"> = Disponibilités – Concours bancaires courants (CBC)</w:t>
      </w:r>
    </w:p>
    <w:p>
      <w:pPr>
        <w:spacing w:after="120"/>
      </w:pPr>
    </w:p>
    <w:p>
      <w:pPr>
        <w:spacing w:after="100"/>
      </w:pPr>
      <w:r>
        <w:t xml:space="preserve">Les </w:t>
      </w:r>
      <w:r>
        <w:rPr>
          <w:b/>
          <w:bCs/>
        </w:rPr>
        <w:t xml:space="preserve">CBC</w:t>
      </w:r>
      <w:r>
        <w:t xml:space="preserve"> (découverts) figurent dans les emprunts et dettes auprès des établissements de crédit ; un </w:t>
      </w:r>
      <w:r>
        <w:rPr>
          <w:b/>
          <w:bCs/>
        </w:rPr>
        <w:t xml:space="preserve">renvoi en pied de bilan</w:t>
      </w:r>
      <w:r>
        <w:t xml:space="preserve"> indique leur montant.</w:t>
      </w:r>
    </w:p>
    <w:p>
      <w:pPr>
        <w:pStyle w:val="Heading3"/>
        <w:keepNext/>
        <w:spacing w:after="80" w:before="220"/>
      </w:pPr>
      <w:bookmarkStart w:name="ss70" w:id="70"/>
      <w:r>
        <w:rPr>
          <w:b/>
          <w:bCs/>
          <w:color w:val="1F3864"/>
          <w:sz w:val="25"/>
          <w:szCs w:val="25"/>
        </w:rPr>
        <w:t xml:space="preserve">Trois points essentiels</w:t>
      </w:r>
      <w:bookmarkEnd w:id="70"/>
    </w:p>
    <w:p>
      <w:pPr>
        <w:pStyle w:val="ListParagraph"/>
        <w:numPr>
          <w:ilvl w:val="0"/>
          <w:numId w:val="5"/>
        </w:numPr>
        <w:spacing w:after="60"/>
      </w:pPr>
      <w:r>
        <w:rPr>
          <w:b/>
          <w:bCs/>
        </w:rPr>
        <w:t xml:space="preserve">La TVA</w:t>
      </w:r>
      <w:r>
        <w:t xml:space="preserve"> – le point le plus délicat.</w:t>
      </w:r>
    </w:p>
    <w:p>
      <w:pPr>
        <w:pStyle w:val="ListParagraph"/>
        <w:numPr>
          <w:ilvl w:val="0"/>
          <w:numId w:val="5"/>
        </w:numPr>
        <w:spacing w:after="60"/>
      </w:pPr>
      <w:r>
        <w:rPr>
          <w:b/>
          <w:bCs/>
        </w:rPr>
        <w:t xml:space="preserve">Les délais de règlement</w:t>
      </w:r>
      <w:r>
        <w:t xml:space="preserve"> – si le délai est de 2 mois sur les ventes, les ventes sont encaissées 2 mois après.</w:t>
      </w:r>
    </w:p>
    <w:p>
      <w:pPr>
        <w:pStyle w:val="ListParagraph"/>
        <w:numPr>
          <w:ilvl w:val="0"/>
          <w:numId w:val="5"/>
        </w:numPr>
        <w:spacing w:after="60"/>
      </w:pPr>
      <w:r>
        <w:rPr>
          <w:b/>
          <w:bCs/>
        </w:rPr>
        <w:t xml:space="preserve">Les encaissements et décaissements ne correspondent pas tous à des produits et charges de la période</w:t>
      </w:r>
      <w:r>
        <w:t xml:space="preserve"> : le </w:t>
      </w:r>
      <w:r>
        <w:rPr>
          <w:b/>
          <w:bCs/>
        </w:rPr>
        <w:t xml:space="preserve">bilan d'ouverture</w:t>
      </w:r>
      <w:r>
        <w:t xml:space="preserve"> contient des créances et des dettes de la période précédente qui donneront des flux (créances clients, dettes fournisseurs) → </w:t>
      </w:r>
      <w:r>
        <w:rPr>
          <w:b/>
          <w:bCs/>
        </w:rPr>
        <w:t xml:space="preserve">commencer par lire attentivement le bilan d'ouverture</w:t>
      </w:r>
      <w:r>
        <w:t xml:space="preserve"> ; certains flux ne sont pas des produits ou des charges (investissements –, remboursements d'emprunt –, emprunts souscrits +) ; certains produits ou charges seront encaissés ou décaissés plus tard.</w:t>
      </w:r>
    </w:p>
    <w:p>
      <w:pPr>
        <w:pStyle w:val="Heading3"/>
        <w:keepNext/>
        <w:spacing w:after="80" w:before="220"/>
      </w:pPr>
      <w:bookmarkStart w:name="ss71" w:id="71"/>
      <w:r>
        <w:rPr>
          <w:b/>
          <w:bCs/>
          <w:color w:val="1F3864"/>
          <w:sz w:val="25"/>
          <w:szCs w:val="25"/>
        </w:rPr>
        <w:t xml:space="preserve">Encaissements et décaissements</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Encaissements</w:t>
            </w:r>
          </w:p>
        </w:tc>
        <w:tc>
          <w:tcPr>
            <w:tcW w:type="dxa" w:w="4819"/>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Décaissements</w:t>
            </w:r>
          </w:p>
        </w:tc>
      </w:tr>
      <w:tr>
        <w:trPr>
          <w:cantSplit/>
          <w:tblHeader w:val="false"/>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 Ventes </w:t>
            </w:r>
            <w:r>
              <w:rPr>
                <w:b/>
                <w:bCs/>
                <w:sz w:val="20"/>
                <w:szCs w:val="20"/>
              </w:rPr>
              <w:t xml:space="preserve">TTC</w:t>
            </w:r>
            <w:r>
              <w:rPr>
                <w:sz w:val="20"/>
                <w:szCs w:val="20"/>
              </w:rPr>
              <w:t xml:space="preserve">, selon les délais de règlement (délai d'1 mois : ventes de janvier encaissées en février)</w:t>
            </w:r>
          </w:p>
          <w:p>
            <w:pPr>
              <w:jc w:val="left"/>
            </w:pPr>
            <w:r>
              <w:rPr>
                <w:sz w:val="20"/>
                <w:szCs w:val="20"/>
              </w:rPr>
              <w:t xml:space="preserve">• Créances clients du bilan d'ouverture</w:t>
            </w:r>
          </w:p>
          <w:p>
            <w:pPr>
              <w:jc w:val="left"/>
            </w:pPr>
            <w:r>
              <w:rPr>
                <w:sz w:val="20"/>
                <w:szCs w:val="20"/>
              </w:rPr>
              <w:t xml:space="preserve">• Emprunts souscrits</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 Achats et charges externes </w:t>
            </w:r>
            <w:r>
              <w:rPr>
                <w:b/>
                <w:bCs/>
                <w:sz w:val="20"/>
                <w:szCs w:val="20"/>
              </w:rPr>
              <w:t xml:space="preserve">TTC</w:t>
            </w:r>
            <w:r>
              <w:rPr>
                <w:sz w:val="20"/>
                <w:szCs w:val="20"/>
              </w:rPr>
              <w:t xml:space="preserve"> (selon les conditions de règlement)</w:t>
            </w:r>
          </w:p>
          <w:p>
            <w:pPr>
              <w:jc w:val="left"/>
            </w:pPr>
            <w:r>
              <w:rPr>
                <w:sz w:val="20"/>
                <w:szCs w:val="20"/>
              </w:rPr>
              <w:t xml:space="preserve">• Salaires nets (comptant)</w:t>
            </w:r>
          </w:p>
          <w:p>
            <w:pPr>
              <w:jc w:val="left"/>
            </w:pPr>
            <w:r>
              <w:rPr>
                <w:sz w:val="20"/>
                <w:szCs w:val="20"/>
              </w:rPr>
              <w:t xml:space="preserve">• Cotisations sociales (m + 1 ou trimestrielles)</w:t>
            </w:r>
          </w:p>
          <w:p>
            <w:pPr>
              <w:jc w:val="left"/>
            </w:pPr>
            <w:r>
              <w:rPr>
                <w:sz w:val="20"/>
                <w:szCs w:val="20"/>
              </w:rPr>
              <w:t xml:space="preserve">• Impôt sur les bénéfices et autres impôts</w:t>
            </w:r>
          </w:p>
          <w:p>
            <w:pPr>
              <w:jc w:val="left"/>
            </w:pPr>
            <w:r>
              <w:rPr>
                <w:sz w:val="20"/>
                <w:szCs w:val="20"/>
              </w:rPr>
              <w:t xml:space="preserve">• Charges financières</w:t>
            </w:r>
          </w:p>
          <w:p>
            <w:pPr>
              <w:jc w:val="left"/>
            </w:pPr>
            <w:r>
              <w:rPr>
                <w:sz w:val="20"/>
                <w:szCs w:val="20"/>
              </w:rPr>
              <w:t xml:space="preserve">• Investissements </w:t>
            </w:r>
            <w:r>
              <w:rPr>
                <w:b/>
                <w:bCs/>
                <w:sz w:val="20"/>
                <w:szCs w:val="20"/>
              </w:rPr>
              <w:t xml:space="preserve">TTC</w:t>
            </w:r>
          </w:p>
          <w:p>
            <w:pPr>
              <w:jc w:val="left"/>
            </w:pPr>
            <w:r>
              <w:rPr>
                <w:sz w:val="20"/>
                <w:szCs w:val="20"/>
              </w:rPr>
              <w:t xml:space="preserve">• Dettes d'exploitation du bilan d'ouverture</w:t>
            </w:r>
          </w:p>
          <w:p>
            <w:pPr>
              <w:jc w:val="left"/>
            </w:pPr>
            <w:r>
              <w:rPr>
                <w:sz w:val="20"/>
                <w:szCs w:val="20"/>
              </w:rPr>
              <w:t xml:space="preserve">• Dividendes</w:t>
            </w:r>
          </w:p>
          <w:p>
            <w:pPr>
              <w:jc w:val="left"/>
            </w:pPr>
            <w:r>
              <w:rPr>
                <w:sz w:val="20"/>
                <w:szCs w:val="20"/>
              </w:rPr>
              <w:t xml:space="preserve">• Remboursements d'emprunt</w:t>
            </w:r>
          </w:p>
          <w:p>
            <w:pPr>
              <w:jc w:val="left"/>
            </w:pPr>
            <w:r>
              <w:rPr>
                <w:sz w:val="20"/>
                <w:szCs w:val="20"/>
              </w:rPr>
              <w:t xml:space="preserve">• </w:t>
            </w:r>
            <w:r>
              <w:rPr>
                <w:b/>
                <w:bCs/>
                <w:sz w:val="20"/>
                <w:szCs w:val="20"/>
              </w:rPr>
              <w:t xml:space="preserve">TVA à décaisser</w:t>
            </w:r>
          </w:p>
        </w:tc>
      </w:tr>
    </w:tbl>
    <w:p>
      <w:pPr>
        <w:spacing w:after="120"/>
      </w:pPr>
    </w:p>
    <w:p>
      <w:pPr>
        <w:pStyle w:val="Heading3"/>
        <w:keepNext/>
        <w:spacing w:after="80" w:before="220"/>
      </w:pPr>
      <w:bookmarkStart w:name="ss72" w:id="72"/>
      <w:r>
        <w:rPr>
          <w:b/>
          <w:bCs/>
          <w:color w:val="1F3864"/>
          <w:sz w:val="25"/>
          <w:szCs w:val="25"/>
        </w:rPr>
        <w:t xml:space="preserve">La TVA et les flux de trésorerie</w:t>
      </w:r>
      <w:bookmarkEnd w:id="72"/>
    </w:p>
    <w:p>
      <w:pPr>
        <w:spacing w:after="100"/>
      </w:pPr>
      <w:r>
        <w:t xml:space="preserve">L'entreprise </w:t>
      </w:r>
      <w:r>
        <w:rPr>
          <w:b/>
          <w:bCs/>
        </w:rPr>
        <w:t xml:space="preserve">collecte</w:t>
      </w:r>
      <w:r>
        <w:t xml:space="preserve"> de la TVA sur ses ventes (elle facture et encaisse ses ventes TTC : </w:t>
      </w:r>
      <w:r>
        <w:rPr>
          <w:b/>
          <w:bCs/>
        </w:rPr>
        <w:t xml:space="preserve">TVA collectée</w:t>
      </w:r>
      <w:r>
        <w:t xml:space="preserve">) et </w:t>
      </w:r>
      <w:r>
        <w:rPr>
          <w:b/>
          <w:bCs/>
        </w:rPr>
        <w:t xml:space="preserve">paie</w:t>
      </w:r>
      <w:r>
        <w:t xml:space="preserve"> de la TVA sur certaines dépenses (achats, la plupart des charges externes, investissements, facturés et décaissés TTC : </w:t>
      </w:r>
      <w:r>
        <w:rPr>
          <w:b/>
          <w:bCs/>
        </w:rPr>
        <w:t xml:space="preserve">TVA déductible</w:t>
      </w:r>
      <w:r>
        <w:t xml:space="preserve">). La TVA est </w:t>
      </w:r>
      <w:r>
        <w:rPr>
          <w:b/>
          <w:bCs/>
        </w:rPr>
        <w:t xml:space="preserve">neutre</w:t>
      </w:r>
      <w:r>
        <w:t xml:space="preserve"> pour l'entreprise : chaque mois, elle reverse à l'État le </w:t>
      </w:r>
      <w:r>
        <w:rPr>
          <w:b/>
          <w:bCs/>
        </w:rPr>
        <w:t xml:space="preserve">surplus</w:t>
      </w:r>
      <w:r>
        <w:t xml:space="preserve"> de TVA collectée par rapport à la TVA déductible.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TVA à décaisser du mois m</w:t>
      </w:r>
      <w:r>
        <w:rPr>
          <w:b w:val="false"/>
          <w:bCs w:val="false"/>
        </w:rPr>
        <w:t xml:space="preserve"> = TVA collectée du mois – TVA déductible du mois (– crédit de TVA du mois précédent)</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420" w:right="120" w:hanging="300"/>
      </w:pPr>
      <w:r>
        <w:rPr>
          <w:b/>
          <w:bCs/>
          <w:color w:val="2E75B6"/>
        </w:rPr>
        <w:t xml:space="preserve">•  </w:t>
      </w:r>
      <w:r>
        <w:rPr>
          <w:b w:val="false"/>
          <w:bCs w:val="false"/>
        </w:rPr>
        <w:t xml:space="preserve">Si &gt; 0 → elle est </w:t>
      </w:r>
      <w:r>
        <w:rPr>
          <w:b/>
          <w:bCs/>
        </w:rPr>
        <w:t xml:space="preserve">décaissée le mois suivant</w:t>
      </w:r>
      <w:r>
        <w:rPr>
          <w:b w:val="false"/>
          <w:bCs w:val="false"/>
        </w:rPr>
        <w:t xml:space="preserve"> (m + 1)</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420" w:right="120" w:hanging="300"/>
      </w:pPr>
      <w:r>
        <w:rPr>
          <w:b/>
          <w:bCs/>
          <w:color w:val="2E75B6"/>
        </w:rPr>
        <w:t xml:space="preserve">•  </w:t>
      </w:r>
      <w:r>
        <w:rPr>
          <w:b w:val="false"/>
          <w:bCs w:val="false"/>
        </w:rPr>
        <w:t xml:space="preserve">Si &lt; 0 → sa valeur absolue devient un </w:t>
      </w:r>
      <w:r>
        <w:rPr>
          <w:b/>
          <w:bCs/>
        </w:rPr>
        <w:t xml:space="preserve">crédit de TVA</w:t>
      </w:r>
      <w:r>
        <w:rPr>
          <w:b w:val="false"/>
          <w:bCs w:val="false"/>
        </w:rPr>
        <w:t xml:space="preserve">, déductible le mois suivant</w:t>
      </w:r>
    </w:p>
    <w:p>
      <w:pPr>
        <w:spacing w:after="120"/>
      </w:pPr>
    </w:p>
    <w:p>
      <w:pPr>
        <w:pStyle w:val="ListParagraph"/>
        <w:numPr>
          <w:ilvl w:val="0"/>
          <w:numId w:val="2"/>
        </w:numPr>
        <w:spacing w:after="60"/>
      </w:pPr>
      <w:r>
        <w:rPr>
          <w:b/>
          <w:bCs/>
        </w:rPr>
        <w:t xml:space="preserve">Fait générateur</w:t>
      </w:r>
      <w:r>
        <w:t xml:space="preserve"> en principe : la </w:t>
      </w:r>
      <w:r>
        <w:rPr>
          <w:b/>
          <w:bCs/>
        </w:rPr>
        <w:t xml:space="preserve">facturation</w:t>
      </w:r>
      <w:r>
        <w:t xml:space="preserve"> (TVA collectée sur les ventes facturées du mois ; TVA déductible sur les charges et investissements facturés du mois).</w:t>
      </w:r>
    </w:p>
    <w:p>
      <w:pPr>
        <w:pStyle w:val="ListParagraph"/>
        <w:numPr>
          <w:ilvl w:val="0"/>
          <w:numId w:val="2"/>
        </w:numPr>
        <w:spacing w:after="60"/>
      </w:pPr>
      <w:r>
        <w:rPr>
          <w:b/>
          <w:bCs/>
        </w:rPr>
        <w:t xml:space="preserve">Cas particulier des activités de services</w:t>
      </w:r>
      <w:r>
        <w:t xml:space="preserve"> : TVA exigible </w:t>
      </w:r>
      <w:r>
        <w:rPr>
          <w:b/>
          <w:bCs/>
        </w:rPr>
        <w:t xml:space="preserve">sur les encaissements</w:t>
      </w:r>
      <w:r>
        <w:t xml:space="preserve">, sauf option pour la TVA sur les débits.</w:t>
      </w:r>
    </w:p>
    <w:p>
      <w:pPr>
        <w:pStyle w:val="ListParagraph"/>
        <w:numPr>
          <w:ilvl w:val="0"/>
          <w:numId w:val="2"/>
        </w:numPr>
        <w:spacing w:after="60"/>
      </w:pPr>
      <w:r>
        <w:rPr>
          <w:b/>
          <w:bCs/>
        </w:rPr>
        <w:t xml:space="preserve">Budget de TVA</w:t>
      </w:r>
      <w:r>
        <w:t xml:space="preserve"> (chaque mois) : TVA collectée (ventes) ; TVA déductible (achats, autres charges externes, investissements, crédit de TVA) ; TVA à décaisser.</w:t>
      </w:r>
    </w:p>
    <w:p>
      <w:pPr>
        <w:spacing w:after="100"/>
      </w:pPr>
      <w:r>
        <w:rPr>
          <w:b/>
          <w:bCs/>
        </w:rPr>
        <w:t xml:space="preserve">Lecture des postes de TVA au bilan d'ouverture</w:t>
      </w:r>
      <w:r>
        <w:t xml:space="preserve"> :</w:t>
      </w:r>
    </w:p>
    <w:p>
      <w:pPr>
        <w:pStyle w:val="ListParagraph"/>
        <w:numPr>
          <w:ilvl w:val="0"/>
          <w:numId w:val="2"/>
        </w:numPr>
        <w:spacing w:after="60"/>
      </w:pPr>
      <w:r>
        <w:t xml:space="preserve">TVA à décaisser de m – 1 </w:t>
      </w:r>
      <w:r>
        <w:rPr>
          <w:b/>
          <w:bCs/>
        </w:rPr>
        <w:t xml:space="preserve">positive</w:t>
      </w:r>
      <w:r>
        <w:t xml:space="preserve"> → </w:t>
      </w:r>
      <w:r>
        <w:rPr>
          <w:b/>
          <w:bCs/>
        </w:rPr>
        <w:t xml:space="preserve">dette fiscale</w:t>
      </w:r>
      <w:r>
        <w:t xml:space="preserve"> au bilan de clôture → </w:t>
      </w:r>
      <w:r>
        <w:rPr>
          <w:b/>
          <w:bCs/>
        </w:rPr>
        <w:t xml:space="preserve">décaissée au mois m</w:t>
      </w:r>
      <w:r>
        <w:t xml:space="preserve">.</w:t>
      </w:r>
    </w:p>
    <w:p>
      <w:pPr>
        <w:pStyle w:val="ListParagraph"/>
        <w:numPr>
          <w:ilvl w:val="0"/>
          <w:numId w:val="2"/>
        </w:numPr>
        <w:spacing w:after="60"/>
      </w:pPr>
      <w:r>
        <w:t xml:space="preserve">TVA à décaisser de m – 1 </w:t>
      </w:r>
      <w:r>
        <w:rPr>
          <w:b/>
          <w:bCs/>
        </w:rPr>
        <w:t xml:space="preserve">négative</w:t>
      </w:r>
      <w:r>
        <w:t xml:space="preserve"> → </w:t>
      </w:r>
      <w:r>
        <w:rPr>
          <w:b/>
          <w:bCs/>
        </w:rPr>
        <w:t xml:space="preserve">créance de TVA</w:t>
      </w:r>
      <w:r>
        <w:t xml:space="preserve"> (autres créances) au bilan de clôture → </w:t>
      </w:r>
      <w:r>
        <w:rPr>
          <w:b/>
          <w:bCs/>
        </w:rPr>
        <w:t xml:space="preserve">crédit de TVA</w:t>
      </w:r>
      <w:r>
        <w:t xml:space="preserve"> du mois m.</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 Exemple d'illustration (chiffres fictifs)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Janvier : ventes HT 10 000 € → TVA collectée (20 %) = 2 000 € ; achats HT 6 000 € → TVA déductible = 1 200 €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TVA à décaisser de janvier = 2 000 – 1 200 = </w:t>
      </w:r>
      <w:r>
        <w:rPr>
          <w:b/>
          <w:bCs/>
        </w:rPr>
        <w:t xml:space="preserve">800 €</w:t>
      </w:r>
      <w:r>
        <w:t xml:space="preserve">, décaissés </w:t>
      </w:r>
      <w:r>
        <w:rPr>
          <w:b/>
          <w:bCs/>
        </w:rPr>
        <w:t xml:space="preserve">en février</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Si en février la TVA déductible dépasse la TVA collectée de 300 €, on obtient un </w:t>
      </w:r>
      <w:r>
        <w:rPr>
          <w:b/>
          <w:bCs/>
        </w:rPr>
        <w:t xml:space="preserve">crédit de TVA de 300 €</w:t>
      </w:r>
      <w:r>
        <w:t xml:space="preserve">, déduit en mars.</w:t>
      </w:r>
    </w:p>
    <w:p>
      <w:pPr>
        <w:spacing w:after="120"/>
      </w:pPr>
    </w:p>
    <w:p>
      <w:pPr>
        <w:pStyle w:val="Heading3"/>
        <w:keepNext/>
        <w:spacing w:after="80" w:before="220"/>
      </w:pPr>
      <w:bookmarkStart w:name="ss73" w:id="73"/>
      <w:r>
        <w:rPr>
          <w:b/>
          <w:bCs/>
          <w:color w:val="1F3864"/>
          <w:sz w:val="25"/>
          <w:szCs w:val="25"/>
        </w:rPr>
        <w:t xml:space="preserve">Dernière subtilité : le règlement de l'impôt sur les sociétés</w:t>
      </w:r>
      <w:bookmarkEnd w:id="73"/>
    </w:p>
    <w:p>
      <w:pPr>
        <w:pStyle w:val="ListParagraph"/>
        <w:numPr>
          <w:ilvl w:val="0"/>
          <w:numId w:val="2"/>
        </w:numPr>
        <w:spacing w:after="60"/>
      </w:pPr>
      <w:r>
        <w:rPr>
          <w:b/>
          <w:bCs/>
        </w:rPr>
        <w:t xml:space="preserve">4 acomptes</w:t>
      </w:r>
      <w:r>
        <w:t xml:space="preserve"> d'IS versés en </w:t>
      </w:r>
      <w:r>
        <w:rPr>
          <w:b/>
          <w:bCs/>
        </w:rPr>
        <w:t xml:space="preserve">mars, juin, septembre et décembre</w:t>
      </w:r>
      <w:r>
        <w:t xml:space="preserve"> pendant l'exercice.</w:t>
      </w:r>
    </w:p>
    <w:p>
      <w:pPr>
        <w:pStyle w:val="ListParagraph"/>
        <w:numPr>
          <w:ilvl w:val="0"/>
          <w:numId w:val="2"/>
        </w:numPr>
        <w:spacing w:after="60"/>
      </w:pPr>
      <w:r>
        <w:t xml:space="preserve">Au 31/12 : calcul du </w:t>
      </w:r>
      <w:r>
        <w:rPr>
          <w:b/>
          <w:bCs/>
        </w:rPr>
        <w:t xml:space="preserve">solde d'IS</w:t>
      </w:r>
      <w:r>
        <w:t xml:space="preserve"> = IS de l'exercice – Σ acomptes versés → inscrit au bilan en </w:t>
      </w:r>
      <w:r>
        <w:rPr>
          <w:b/>
          <w:bCs/>
        </w:rPr>
        <w:t xml:space="preserve">dettes fiscales et sociales</w:t>
      </w:r>
      <w:r>
        <w:t xml:space="preserve">.</w:t>
      </w:r>
    </w:p>
    <w:p>
      <w:pPr>
        <w:pStyle w:val="ListParagraph"/>
        <w:numPr>
          <w:ilvl w:val="0"/>
          <w:numId w:val="2"/>
        </w:numPr>
        <w:spacing w:after="60"/>
      </w:pPr>
      <w:r>
        <w:t xml:space="preserve">Le solde est réglé au mois d'</w:t>
      </w:r>
      <w:r>
        <w:rPr>
          <w:b/>
          <w:bCs/>
        </w:rPr>
        <w:t xml:space="preserve">avril de l'année suivante</w:t>
      </w:r>
      <w:r>
        <w:t xml:space="preserve">.</w:t>
      </w:r>
    </w:p>
    <w:p>
      <w:pPr>
        <w:pStyle w:val="Heading2"/>
        <w:keepNext/>
        <w:pBdr>
          <w:bottom w:val="single" w:color="C00000" w:sz="8" w:space="2"/>
        </w:pBdr>
        <w:spacing w:after="120" w:before="300"/>
      </w:pPr>
      <w:bookmarkStart w:name="s74" w:id="74"/>
      <w:r>
        <w:rPr>
          <w:b/>
          <w:bCs/>
          <w:color w:val="C00000"/>
          <w:sz w:val="30"/>
          <w:szCs w:val="30"/>
        </w:rPr>
        <w:t xml:space="preserve">5. La prévision de la masse salariale</w:t>
      </w:r>
      <w:bookmarkEnd w:id="74"/>
    </w:p>
    <w:p>
      <w:pPr>
        <w:spacing w:after="100"/>
      </w:pPr>
      <w:r>
        <w:t xml:space="preserve">Deux problématiques :</w:t>
      </w:r>
    </w:p>
    <w:p>
      <w:pPr>
        <w:pStyle w:val="ListParagraph"/>
        <w:numPr>
          <w:ilvl w:val="0"/>
          <w:numId w:val="6"/>
        </w:numPr>
        <w:spacing w:after="60"/>
      </w:pPr>
      <w:r>
        <w:rPr>
          <w:b/>
          <w:bCs/>
        </w:rPr>
        <w:t xml:space="preserve">Enchaînement de prévisions</w:t>
      </w:r>
      <w:r>
        <w:t xml:space="preserve"> : à partir du programme de production, du temps de travail et des productivités horaires, prévoir les </w:t>
      </w:r>
      <w:r>
        <w:rPr>
          <w:b/>
          <w:bCs/>
        </w:rPr>
        <w:t xml:space="preserve">besoins en main-d'œuvre</w:t>
      </w:r>
      <w:r>
        <w:t xml:space="preserve"> et leur coût (application FEMINIF).</w:t>
      </w:r>
    </w:p>
    <w:p>
      <w:pPr>
        <w:pStyle w:val="ListParagraph"/>
        <w:numPr>
          <w:ilvl w:val="0"/>
          <w:numId w:val="6"/>
        </w:numPr>
        <w:spacing w:after="60"/>
      </w:pPr>
      <w:r>
        <w:t xml:space="preserve">Mesurer l'</w:t>
      </w:r>
      <w:r>
        <w:rPr>
          <w:b/>
          <w:bCs/>
        </w:rPr>
        <w:t xml:space="preserve">impact des augmentations de salaires</w:t>
      </w:r>
      <w:r>
        <w:t xml:space="preserve"> de l'année en cours et de l'année précédente sur la masse salariale (MS).</w:t>
      </w:r>
    </w:p>
    <w:p>
      <w:pPr>
        <w:pStyle w:val="Heading3"/>
        <w:keepNext/>
        <w:spacing w:after="80" w:before="220"/>
      </w:pPr>
      <w:bookmarkStart w:name="ss75" w:id="75"/>
      <w:r>
        <w:rPr>
          <w:b/>
          <w:bCs/>
          <w:color w:val="1F3864"/>
          <w:sz w:val="25"/>
          <w:szCs w:val="25"/>
        </w:rPr>
        <w:t xml:space="preserve">Calcul de la masse salariale en indices</w:t>
      </w:r>
      <w:bookmarkEnd w:id="75"/>
    </w:p>
    <w:p>
      <w:pPr>
        <w:spacing w:after="100"/>
      </w:pPr>
      <w:r>
        <w:t xml:space="preserve">La mesure des évolutions se fait à partir d'</w:t>
      </w:r>
      <w:r>
        <w:rPr>
          <w:b/>
          <w:bCs/>
        </w:rPr>
        <w:t xml:space="preserve">indices</w:t>
      </w:r>
      <w:r>
        <w:t xml:space="preserve"> : on calcule l'indice de chaque mois de l'année N, </w:t>
      </w:r>
      <w:r>
        <w:rPr>
          <w:b/>
          <w:bCs/>
        </w:rPr>
        <w:t xml:space="preserve">base 100 en décembre N – 1</w:t>
      </w:r>
      <w:r>
        <w:t xml:space="preserve">.</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rPr>
          <w:b/>
          <w:bCs/>
          <w:color w:val="595959"/>
          <w:sz w:val="23"/>
          <w:szCs w:val="23"/>
        </w:rPr>
        <w:t xml:space="preserve">Exemple du cours</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Augmentation de </w:t>
      </w:r>
      <w:r>
        <w:rPr>
          <w:b/>
          <w:bCs/>
        </w:rPr>
        <w:t xml:space="preserve">1 % le 1er mars</w:t>
      </w:r>
      <w:r>
        <w:t xml:space="preserve"> et de </w:t>
      </w:r>
      <w:r>
        <w:rPr>
          <w:b/>
          <w:bCs/>
        </w:rPr>
        <w:t xml:space="preserve">2 % le 1er juillet</w:t>
      </w:r>
      <w:r>
        <w:t xml:space="preserve"> :</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Janvier, février : i = 100 ; mars à juin : i = 101 ; à partir de juillet : i = 101 × 1,02 = </w:t>
      </w:r>
      <w:r>
        <w:rPr>
          <w:b/>
          <w:bCs/>
        </w:rPr>
        <w:t xml:space="preserve">103,02</w:t>
      </w:r>
    </w:p>
    <w:p>
      <w:pPr>
        <w:keepNext/>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MS annuelle en indice = 100 × 2 + 101 × 4 + 103,02 × 6 = 200 + 404 + 618,12 = </w:t>
      </w:r>
      <w:r>
        <w:rPr>
          <w:b/>
          <w:bCs/>
        </w:rPr>
        <w:t xml:space="preserve">1 222,12</w:t>
      </w:r>
    </w:p>
    <w:p>
      <w:pPr>
        <w:keepNext w:val="false"/>
        <w:keepLines/>
        <w:pBdr>
          <w:top w:val="single" w:color="A6A6A6" w:sz="6" w:space="4"/>
          <w:left w:val="single" w:color="A6A6A6" w:sz="24" w:space="6"/>
          <w:bottom w:val="single" w:color="A6A6A6" w:sz="6" w:space="4"/>
          <w:right w:val="single" w:color="A6A6A6" w:sz="6" w:space="4"/>
        </w:pBdr>
        <w:shd w:fill="F7F7F7" w:color="auto" w:val="clear"/>
        <w:spacing w:after="0" w:line="276"/>
        <w:ind w:left="120" w:right="120"/>
      </w:pPr>
      <w:r>
        <w:t xml:space="preserve">Si la MS de décembre N – 1 vaut 1 000 € : MS de l'année N = 1 000 × 1 222,12 / 100 = </w:t>
      </w:r>
      <w:r>
        <w:rPr>
          <w:b/>
          <w:bCs/>
        </w:rPr>
        <w:t xml:space="preserve">12 221,20 €</w:t>
      </w:r>
    </w:p>
    <w:p>
      <w:pPr>
        <w:spacing w:after="120"/>
      </w:pPr>
    </w:p>
    <w:p>
      <w:pPr>
        <w:spacing w:after="100"/>
      </w:pPr>
      <w:r>
        <w:t xml:space="preserve">Une augmentation salariale de l'année N a des impacts </w:t>
      </w:r>
      <w:r>
        <w:rPr>
          <w:b/>
          <w:bCs/>
        </w:rPr>
        <w:t xml:space="preserve">sur la MS de N</w:t>
      </w:r>
      <w:r>
        <w:t xml:space="preserve"> (effet masse) </w:t>
      </w:r>
      <w:r>
        <w:rPr>
          <w:b/>
          <w:bCs/>
        </w:rPr>
        <w:t xml:space="preserve">et sur la MS de N + 1</w:t>
      </w:r>
      <w:r>
        <w:t xml:space="preserve"> (effet report) : même sans augmentation en N + 1, la MS augmentera </w:t>
      </w:r>
      <w:r>
        <w:rPr>
          <w:b/>
          <w:bCs/>
        </w:rPr>
        <w:t xml:space="preserve">mécaniquement</w:t>
      </w:r>
      <w:r>
        <w:t xml:space="preserve">. On raisonne à </w:t>
      </w:r>
      <w:r>
        <w:rPr>
          <w:b/>
          <w:bCs/>
        </w:rPr>
        <w:t xml:space="preserve">effectif constant</w:t>
      </w:r>
      <w:r>
        <w:t xml:space="preserve"> (au niveau d'un salarié, d'un service ou de l'entreprise).</w:t>
      </w:r>
    </w:p>
    <w:p>
      <w:pPr>
        <w:pStyle w:val="Heading3"/>
        <w:keepNext/>
        <w:spacing w:after="80" w:before="220"/>
      </w:pPr>
      <w:bookmarkStart w:name="ss76" w:id="76"/>
      <w:r>
        <w:rPr>
          <w:b/>
          <w:bCs/>
          <w:color w:val="1F3864"/>
          <w:sz w:val="25"/>
          <w:szCs w:val="25"/>
        </w:rPr>
        <w:t xml:space="preserve">Les trois effets</w:t>
      </w:r>
      <w:bookmarkEnd w:id="76"/>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color w:val="2E75B6"/>
          <w:sz w:val="23"/>
          <w:szCs w:val="23"/>
        </w:rPr>
        <w:t xml:space="preserve">✎ Formule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Effet niveau</w:t>
      </w:r>
      <w:r>
        <w:rPr>
          <w:b w:val="false"/>
          <w:bCs w:val="false"/>
        </w:rPr>
        <w:t xml:space="preserve"> : évolution du salaire mensuel entre deux dates (décembre N – 1 → décembre N) = augmentation perçue par le salarié</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1 + taux niveau = Salaire de décembre N ÷ Salaire de décembre N – 1</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Effet masse</w:t>
      </w:r>
      <w:r>
        <w:rPr>
          <w:b w:val="false"/>
          <w:bCs w:val="false"/>
        </w:rPr>
        <w:t xml:space="preserve"> : impact des augmentations de l'année sur la MS de l'année</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1 + taux masse = MS N ÷ MS plancher N,   avec </w:t>
      </w:r>
      <w:r>
        <w:rPr>
          <w:b/>
          <w:bCs/>
        </w:rPr>
        <w:t xml:space="preserve">MS plancher N = MS de décembre N – 1 × 12</w:t>
      </w:r>
      <w:r>
        <w:rPr>
          <w:b w:val="false"/>
          <w:bCs w:val="false"/>
        </w:rPr>
        <w:t xml:space="preserve"> (MS qu'on aurait sans augmentation en N)</w:t>
      </w:r>
    </w:p>
    <w:p>
      <w:pPr>
        <w:keepNext/>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bCs/>
        </w:rPr>
        <w:t xml:space="preserve">Effet report</w:t>
      </w:r>
      <w:r>
        <w:rPr>
          <w:b w:val="false"/>
          <w:bCs w:val="false"/>
        </w:rPr>
        <w:t xml:space="preserve"> : incidence sur la MS de N + 1 des augmentations intervenues en N</w:t>
      </w:r>
    </w:p>
    <w:p>
      <w:pPr>
        <w:keepNext w:val="false"/>
        <w:keepLines/>
        <w:pBdr>
          <w:top w:val="single" w:color="2E75B6" w:sz="6" w:space="4"/>
          <w:left w:val="single" w:color="2E75B6" w:sz="24" w:space="6"/>
          <w:bottom w:val="single" w:color="2E75B6" w:sz="6" w:space="4"/>
          <w:right w:val="single" w:color="2E75B6" w:sz="6" w:space="4"/>
        </w:pBdr>
        <w:shd w:fill="DEEAF6" w:color="auto" w:val="clear"/>
        <w:spacing w:after="0" w:line="276"/>
        <w:ind w:left="120" w:right="120"/>
      </w:pPr>
      <w:r>
        <w:rPr>
          <w:b w:val="false"/>
          <w:bCs w:val="false"/>
        </w:rPr>
        <w:t xml:space="preserve">1 + taux report = MS plancher N + 1 ÷ MS N,   avec </w:t>
      </w:r>
      <w:r>
        <w:rPr>
          <w:b/>
          <w:bCs/>
        </w:rPr>
        <w:t xml:space="preserve">MS plancher N + 1 = MS de décembre N × 12</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5761"/>
        <w:gridCol w:w="2306"/>
      </w:tblGrid>
      <w:tr>
        <w:trPr>
          <w:cantSplit/>
          <w:tblHeader/>
        </w:trPr>
        <w:tc>
          <w:tcPr>
            <w:tcW w:type="dxa" w:w="1571"/>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Effet</w:t>
            </w:r>
          </w:p>
        </w:tc>
        <w:tc>
          <w:tcPr>
            <w:tcW w:type="dxa" w:w="5761"/>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Calcul (exemple du cours)</w:t>
            </w:r>
          </w:p>
        </w:tc>
        <w:tc>
          <w:tcPr>
            <w:tcW w:type="dxa" w:w="2306"/>
            <w:tcBorders>
              <w:top w:val="single" w:color="BFBFBF" w:sz="4"/>
              <w:left w:val="single" w:color="BFBFBF" w:sz="4"/>
              <w:bottom w:val="single" w:color="BFBFBF" w:sz="4"/>
              <w:right w:val="single" w:color="BFBFBF" w:sz="4"/>
            </w:tcBorders>
            <w:shd w:fill="C00000" w:color="auto" w:val="clear"/>
            <w:tcMar>
              <w:top w:type="dxa" w:w="50"/>
              <w:left w:type="dxa" w:w="90"/>
              <w:bottom w:type="dxa" w:w="50"/>
              <w:right w:type="dxa" w:w="90"/>
            </w:tcMar>
          </w:tcPr>
          <w:p>
            <w:pPr>
              <w:jc w:val="center"/>
            </w:pPr>
            <w:r>
              <w:rPr>
                <w:b/>
                <w:bCs/>
                <w:color w:val="FFFFFF"/>
                <w:sz w:val="20"/>
                <w:szCs w:val="20"/>
              </w:rPr>
              <w:t xml:space="preserve">Résultat</w:t>
            </w:r>
          </w:p>
        </w:tc>
      </w:tr>
      <w:tr>
        <w:trPr>
          <w:cantSplit/>
          <w:tblHeader w:val="false"/>
        </w:trPr>
        <w:tc>
          <w:tcPr>
            <w:tcW w:type="dxa" w:w="1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Niveau</w:t>
            </w:r>
          </w:p>
        </w:tc>
        <w:tc>
          <w:tcPr>
            <w:tcW w:type="dxa" w:w="57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103,02 / 100</w:t>
            </w:r>
          </w:p>
        </w:tc>
        <w:tc>
          <w:tcPr>
            <w:tcW w:type="dxa" w:w="23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sz w:val="20"/>
                <w:szCs w:val="20"/>
              </w:rPr>
              <w:t xml:space="preserve">1,0302 → +3,02 %</w:t>
            </w:r>
          </w:p>
        </w:tc>
      </w:tr>
      <w:tr>
        <w:trPr>
          <w:cantSplit/>
          <w:tblHeader w:val="false"/>
        </w:trPr>
        <w:tc>
          <w:tcPr>
            <w:tcW w:type="dxa" w:w="15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Masse</w:t>
            </w:r>
          </w:p>
        </w:tc>
        <w:tc>
          <w:tcPr>
            <w:tcW w:type="dxa" w:w="576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left"/>
            </w:pPr>
            <w:r>
              <w:rPr>
                <w:sz w:val="20"/>
                <w:szCs w:val="20"/>
              </w:rPr>
              <w:t xml:space="preserve">MS plancher N = 100 × 12 = 1 200 ; 1 222,12 / 1 200</w:t>
            </w:r>
          </w:p>
        </w:tc>
        <w:tc>
          <w:tcPr>
            <w:tcW w:type="dxa" w:w="23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jc w:val="center"/>
            </w:pPr>
            <w:r>
              <w:rPr>
                <w:b/>
                <w:bCs/>
                <w:sz w:val="20"/>
                <w:szCs w:val="20"/>
              </w:rPr>
              <w:t xml:space="preserve">1,0184 → +1,84 %</w:t>
            </w:r>
          </w:p>
        </w:tc>
      </w:tr>
      <w:tr>
        <w:trPr>
          <w:cantSplit/>
          <w:tblHeader w:val="false"/>
        </w:trPr>
        <w:tc>
          <w:tcPr>
            <w:tcW w:type="dxa" w:w="15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Report</w:t>
            </w:r>
          </w:p>
        </w:tc>
        <w:tc>
          <w:tcPr>
            <w:tcW w:type="dxa" w:w="576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left"/>
            </w:pPr>
            <w:r>
              <w:rPr>
                <w:sz w:val="20"/>
                <w:szCs w:val="20"/>
              </w:rPr>
              <w:t xml:space="preserve">MS plancher N + 1 = 103,02 × 12 = 1 236,24 ; 1 236,24 / 1 222,12</w:t>
            </w:r>
          </w:p>
        </w:tc>
        <w:tc>
          <w:tcPr>
            <w:tcW w:type="dxa" w:w="23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jc w:val="center"/>
            </w:pPr>
            <w:r>
              <w:rPr>
                <w:b/>
                <w:bCs/>
                <w:sz w:val="20"/>
                <w:szCs w:val="20"/>
              </w:rPr>
              <w:t xml:space="preserve">1,0116 → +1,16 %</w:t>
            </w:r>
          </w:p>
        </w:tc>
      </w:tr>
    </w:tbl>
    <w:p>
      <w:pPr>
        <w:spacing w:after="120"/>
      </w:pP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rPr>
          <w:b/>
          <w:bCs/>
          <w:color w:val="7F6000"/>
          <w:sz w:val="23"/>
          <w:szCs w:val="23"/>
        </w:rPr>
        <w:t xml:space="preserve">💡 À noter</w:t>
      </w:r>
    </w:p>
    <w:p>
      <w:pPr>
        <w:keepNext/>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t xml:space="preserve">Les trois effets sont liés : </w:t>
      </w:r>
      <w:r>
        <w:rPr>
          <w:b/>
          <w:bCs/>
        </w:rPr>
        <w:t xml:space="preserve">(1 + taux masse) × (1 + taux report) = (1 + taux niveau)</w:t>
      </w:r>
      <w:r>
        <w:t xml:space="preserve"> → 1,0184 × 1,0116 ≈ 1,0302.</w:t>
      </w:r>
    </w:p>
    <w:p>
      <w:pPr>
        <w:keepNext w:val="false"/>
        <w:keepLines/>
        <w:pBdr>
          <w:top w:val="single" w:color="BF9000" w:sz="6" w:space="4"/>
          <w:left w:val="single" w:color="BF9000" w:sz="24" w:space="6"/>
          <w:bottom w:val="single" w:color="BF9000" w:sz="6" w:space="4"/>
          <w:right w:val="single" w:color="BF9000" w:sz="6" w:space="4"/>
        </w:pBdr>
        <w:shd w:fill="FFF2CC" w:color="auto" w:val="clear"/>
        <w:spacing w:after="0" w:line="276"/>
        <w:ind w:left="120" w:right="120"/>
      </w:pPr>
      <w:r>
        <w:t xml:space="preserve">Il existe aussi un effet report des augmentations de N – 1 sur la MS de N.</w:t>
      </w:r>
    </w:p>
    <w:p>
      <w:pPr>
        <w:spacing w:after="120"/>
      </w:pP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120" w:right="120"/>
      </w:pPr>
      <w:r>
        <w:rPr>
          <w:b/>
          <w:bCs/>
          <w:color w:val="548235"/>
          <w:sz w:val="23"/>
          <w:szCs w:val="23"/>
        </w:rPr>
        <w:t xml:space="preserve">★ POINTS À RETENIR</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Budget = </w:t>
      </w:r>
      <w:r>
        <w:rPr>
          <w:b/>
          <w:bCs/>
        </w:rPr>
        <w:t xml:space="preserve">prévision chiffrée sur 1 an, mois par mois</w:t>
      </w:r>
      <w:r>
        <w:t xml:space="preserve">, liée à des </w:t>
      </w:r>
      <w:r>
        <w:rPr>
          <w:b/>
          <w:bCs/>
        </w:rPr>
        <w:t xml:space="preserve">objectifs</w:t>
      </w:r>
      <w:r>
        <w:t xml:space="preserve"> et un </w:t>
      </w:r>
      <w:r>
        <w:rPr>
          <w:b/>
          <w:bCs/>
        </w:rPr>
        <w:t xml:space="preserve">plan d'action</w:t>
      </w:r>
      <w:r>
        <w:t xml:space="preserve"> ; il implique </w:t>
      </w:r>
      <w:r>
        <w:rPr>
          <w:b/>
          <w:bCs/>
        </w:rPr>
        <w:t xml:space="preserve">engagement</w:t>
      </w:r>
      <w:r>
        <w:t xml:space="preserve"> et </w:t>
      </w:r>
      <w:r>
        <w:rPr>
          <w:b/>
          <w:bCs/>
        </w:rPr>
        <w:t xml:space="preserve">contrôle</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Démarche : objectif → plan d'action → contraintes → comparaison des plans → chiffrage → comparaison réel / objectif → analyse des écarts.</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Ordre des prévisions : </w:t>
      </w:r>
      <w:r>
        <w:rPr>
          <w:b/>
          <w:bCs/>
        </w:rPr>
        <w:t xml:space="preserve">ventes → production → consommations → achats</w:t>
      </w:r>
      <w:r>
        <w:t xml:space="preserve"> ; Achats = consommations + SF – SI.</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Synthèse : </w:t>
      </w:r>
      <w:r>
        <w:rPr>
          <w:b/>
          <w:bCs/>
        </w:rPr>
        <w:t xml:space="preserve">compte de résultat prévisionnel</w:t>
      </w:r>
      <w:r>
        <w:t xml:space="preserve"> (HT, annuel) et </w:t>
      </w:r>
      <w:r>
        <w:rPr>
          <w:b/>
          <w:bCs/>
        </w:rPr>
        <w:t xml:space="preserve">budget de trésorerie</w:t>
      </w:r>
      <w:r>
        <w:t xml:space="preserve"> (TTC, mensuel, délais de paiement).</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Trésorerie finale = trésorerie initiale + encaissements – décaissements ; ne pas oublier le </w:t>
      </w:r>
      <w:r>
        <w:rPr>
          <w:b/>
          <w:bCs/>
        </w:rPr>
        <w:t xml:space="preserve">bilan d'ouverture</w:t>
      </w:r>
      <w:r>
        <w:t xml:space="preserve">.</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rPr>
          <w:b/>
          <w:bCs/>
        </w:rPr>
        <w:t xml:space="preserve">TVA à décaisser = TVA collectée – TVA déductible</w:t>
      </w:r>
      <w:r>
        <w:t xml:space="preserve">, payée le mois suivant ; si négative → crédit de TVA.</w:t>
      </w:r>
    </w:p>
    <w:p>
      <w:pPr>
        <w:keepNext/>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IS : 4 acomptes (mars, juin, septembre, décembre), solde en avril N + 1.</w:t>
      </w:r>
    </w:p>
    <w:p>
      <w:pPr>
        <w:keepNext w:val="false"/>
        <w:keepLines/>
        <w:pBdr>
          <w:top w:val="single" w:color="548235" w:sz="6" w:space="4"/>
          <w:left w:val="single" w:color="548235" w:sz="24" w:space="6"/>
          <w:bottom w:val="single" w:color="548235" w:sz="6" w:space="4"/>
          <w:right w:val="single" w:color="548235" w:sz="6" w:space="4"/>
        </w:pBdr>
        <w:shd w:fill="E2EFDA" w:color="auto" w:val="clear"/>
        <w:spacing w:after="0" w:line="276"/>
        <w:ind w:left="420" w:right="120" w:hanging="300"/>
      </w:pPr>
      <w:r>
        <w:rPr>
          <w:b/>
          <w:bCs/>
          <w:color w:val="548235"/>
        </w:rPr>
        <w:t xml:space="preserve">•  </w:t>
      </w:r>
      <w:r>
        <w:t xml:space="preserve">Masse salariale : </w:t>
      </w:r>
      <w:r>
        <w:rPr>
          <w:b/>
          <w:bCs/>
        </w:rPr>
        <w:t xml:space="preserve">effet niveau</w:t>
      </w:r>
      <w:r>
        <w:t xml:space="preserve"> (déc./déc.), </w:t>
      </w:r>
      <w:r>
        <w:rPr>
          <w:b/>
          <w:bCs/>
        </w:rPr>
        <w:t xml:space="preserve">effet masse</w:t>
      </w:r>
      <w:r>
        <w:t xml:space="preserve"> (MS N / MS plancher N), </w:t>
      </w:r>
      <w:r>
        <w:rPr>
          <w:b/>
          <w:bCs/>
        </w:rPr>
        <w:t xml:space="preserve">effet report</w:t>
      </w:r>
      <w:r>
        <w:t xml:space="preserve"> (MS plancher N + 1 / MS N).</w:t>
      </w:r>
    </w:p>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t xml:space="preserve">Contrôle de gestion – L2 GM    </w:t>
    </w:r>
    <w:r>
      <w:rPr>
        <w:b/>
        <w:bCs/>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sz w:val="36"/>
      <w:szCs w:val="36"/>
    </w:rPr>
  </w:style>
  <w:style w:type="paragraph" w:styleId="Heading2">
    <w:name w:val="Heading 2"/>
    <w:basedOn w:val="Normal"/>
    <w:next w:val="Normal"/>
    <w:qFormat/>
    <w:pPr>
      <w:spacing w:after="120" w:before="300"/>
      <w:outlineLvl w:val="1"/>
    </w:pPr>
    <w:rPr>
      <w:rFonts w:ascii="Calibri" w:cs="Calibri" w:eastAsia="Calibri" w:hAnsi="Calibri"/>
      <w:b/>
      <w:bCs/>
      <w:sz w:val="30"/>
      <w:szCs w:val="30"/>
    </w:rPr>
  </w:style>
  <w:style w:type="paragraph" w:styleId="Heading3">
    <w:name w:val="Heading 3"/>
    <w:basedOn w:val="Normal"/>
    <w:next w:val="Normal"/>
    <w:qFormat/>
    <w:pPr>
      <w:spacing w:after="80" w:before="22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49b84243903417c45cfdaac5067a9a45147904f.png"/><Relationship Id="rId9" Type="http://schemas.openxmlformats.org/officeDocument/2006/relationships/image" Target="media/46dfab13fab0944f76afa32b7d62e9aedada35fe.png"/><Relationship Id="rId10" Type="http://schemas.openxmlformats.org/officeDocument/2006/relationships/image" Target="media/1bff74ef0a16e20d6c848a6bbb46f4e6992f7265.png"/><Relationship Id="rId11" Type="http://schemas.openxmlformats.org/officeDocument/2006/relationships/image" Target="media/62b628a4cbcca1cb2853d484d34d4db9dcbb6f80.png"/><Relationship Id="rId12" Type="http://schemas.openxmlformats.org/officeDocument/2006/relationships/image" Target="media/214bee8b0aa5e1b64295824d19497e3154a9f4f9.png"/><Relationship Id="rId13" Type="http://schemas.openxmlformats.org/officeDocument/2006/relationships/image" Target="media/c89439f48c65613140374b3151ccb1ccc15a8d4e.png"/><Relationship Id="rId14" Type="http://schemas.openxmlformats.org/officeDocument/2006/relationships/image" Target="media/eb3da4580d1d44d0b0f20ac3cc0be6dcdb5add2a.png"/><Relationship Id="rId15" Type="http://schemas.openxmlformats.org/officeDocument/2006/relationships/image" Target="media/fb430341a71b9d81e0be636254ab1cbe02c4cc33.png"/><Relationship Id="rId16" Type="http://schemas.openxmlformats.org/officeDocument/2006/relationships/image" Target="media/472d88a097f27eab661395aa0001458ab92fb959.png"/><Relationship Id="rId17" Type="http://schemas.openxmlformats.org/officeDocument/2006/relationships/image" Target="media/e623ea9b8421ce8b3cd9e87a62bac8e5bbe4e2d5.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Contrôle de gestion – cours complet</dc:title>
  <dc:creator>Cours de contrôle de gestion</dc:creator>
  <cp:lastModifiedBy>Un-named</cp:lastModifiedBy>
  <cp:revision>1</cp:revision>
  <dcterms:created xsi:type="dcterms:W3CDTF">2026-10-12T12:59:03.927Z</dcterms:created>
  <dcterms:modified xsi:type="dcterms:W3CDTF">2026-10-12T12:59:03.928Z</dcterms:modified>
</cp:coreProperties>
</file>

<file path=docProps/custom.xml><?xml version="1.0" encoding="utf-8"?>
<Properties xmlns="http://schemas.openxmlformats.org/officeDocument/2006/custom-properties" xmlns:vt="http://schemas.openxmlformats.org/officeDocument/2006/docPropsVTypes"/>
</file>