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0A4CA" w14:textId="77777777" w:rsidR="00514371" w:rsidRDefault="00000000">
      <w:pPr>
        <w:spacing w:line="480" w:lineRule="auto"/>
        <w:jc w:val="center"/>
      </w:pPr>
      <w:r>
        <w:br/>
      </w:r>
      <w:r>
        <w:br/>
      </w:r>
      <w:r>
        <w:br/>
      </w:r>
      <w:r>
        <w:br/>
        <w:t>Medical Terminology Identification Assignment</w:t>
      </w:r>
    </w:p>
    <w:p w14:paraId="6CFE9865" w14:textId="77777777" w:rsidR="00514371" w:rsidRDefault="00000000">
      <w:pPr>
        <w:spacing w:line="480" w:lineRule="auto"/>
        <w:jc w:val="center"/>
      </w:pPr>
      <w:r>
        <w:t>Annette Bazan</w:t>
      </w:r>
    </w:p>
    <w:p w14:paraId="7E2951AD" w14:textId="77777777" w:rsidR="00514371" w:rsidRDefault="00000000">
      <w:pPr>
        <w:spacing w:line="480" w:lineRule="auto"/>
        <w:jc w:val="center"/>
      </w:pPr>
      <w:r>
        <w:t>HCC</w:t>
      </w:r>
    </w:p>
    <w:p w14:paraId="19E24890" w14:textId="07EBFE16" w:rsidR="006E6ED0" w:rsidRDefault="00000000" w:rsidP="006E6ED0">
      <w:pPr>
        <w:spacing w:line="480" w:lineRule="auto"/>
        <w:jc w:val="center"/>
      </w:pPr>
      <w:r>
        <w:t>Medical Terminology</w:t>
      </w:r>
    </w:p>
    <w:p w14:paraId="599D2DC7" w14:textId="5927FCE5" w:rsidR="006E6ED0" w:rsidRDefault="006E6ED0">
      <w:pPr>
        <w:spacing w:line="480" w:lineRule="auto"/>
        <w:jc w:val="center"/>
      </w:pPr>
      <w:r>
        <w:t xml:space="preserve">Dr. Doreen </w:t>
      </w:r>
      <w:proofErr w:type="spellStart"/>
      <w:r>
        <w:t>Rosentrauch</w:t>
      </w:r>
      <w:proofErr w:type="spellEnd"/>
    </w:p>
    <w:p w14:paraId="2D164101" w14:textId="6AFF278D" w:rsidR="00514371" w:rsidRDefault="00000000">
      <w:pPr>
        <w:spacing w:line="480" w:lineRule="auto"/>
        <w:jc w:val="center"/>
      </w:pPr>
      <w:r>
        <w:t>January</w:t>
      </w:r>
      <w:r w:rsidR="006E6ED0">
        <w:t xml:space="preserve"> 26,</w:t>
      </w:r>
      <w:r>
        <w:t xml:space="preserve"> 2026</w:t>
      </w:r>
    </w:p>
    <w:p w14:paraId="49C89629" w14:textId="77777777" w:rsidR="00514371" w:rsidRDefault="00000000">
      <w:r>
        <w:br w:type="page"/>
      </w:r>
    </w:p>
    <w:p w14:paraId="2F3571B8" w14:textId="77777777" w:rsidR="00514371" w:rsidRDefault="00000000">
      <w:pPr>
        <w:spacing w:line="480" w:lineRule="auto"/>
      </w:pPr>
      <w:r>
        <w:lastRenderedPageBreak/>
        <w:t>Medical Terminology Identification Assignment</w:t>
      </w:r>
      <w:r>
        <w:br/>
      </w:r>
    </w:p>
    <w:p w14:paraId="30587CFB" w14:textId="77777777" w:rsidR="00514371" w:rsidRDefault="00000000" w:rsidP="006E6ED0">
      <w:pPr>
        <w:spacing w:line="480" w:lineRule="auto"/>
        <w:ind w:firstLine="720"/>
      </w:pPr>
      <w:r>
        <w:t xml:space="preserve">Medical terminology is essential for clear communication, accurate documentation, and effective clinical decision-making in healthcare. A strong understanding of professional medical language allows healthcare professionals to interpret research, collaborate across disciplines, and deliver safe, evidence-based care. For this assignment, three to five recent and credible sources published within the past five years were reviewed, including peer-reviewed medical journals and authoritative healthcare organizations such as the National Institutes of Health (NIH), JAMA, the Centers for Disease Control and Prevention (CDC), and reputable healthcare news outlets. The purpose of this paper is to identify and critically analyze key medical terms used in these sources </w:t>
      </w:r>
      <w:proofErr w:type="gramStart"/>
      <w:r>
        <w:t>in order to</w:t>
      </w:r>
      <w:proofErr w:type="gramEnd"/>
      <w:r>
        <w:t xml:space="preserve"> demonstrate understanding of their definitions, clinical context, and overall significance in modern healthcare practice.</w:t>
      </w:r>
    </w:p>
    <w:p w14:paraId="4DBF7A8E" w14:textId="77777777" w:rsidR="00514371" w:rsidRDefault="00000000">
      <w:pPr>
        <w:spacing w:line="480" w:lineRule="auto"/>
      </w:pPr>
      <w:r>
        <w:t>Term: Biomarker</w:t>
      </w:r>
    </w:p>
    <w:p w14:paraId="45CD7D77" w14:textId="77777777" w:rsidR="00514371" w:rsidRDefault="00000000">
      <w:pPr>
        <w:spacing w:line="480" w:lineRule="auto"/>
      </w:pPr>
      <w:r>
        <w:t>Definition: A biomarker is a measurable biological indicator, such as a molecule, gene, or enzyme, that reflects a normal biological process, a pathological condition, or a response to a therapeutic intervention.</w:t>
      </w:r>
    </w:p>
    <w:p w14:paraId="77531CF0" w14:textId="77777777" w:rsidR="00514371" w:rsidRDefault="00000000">
      <w:pPr>
        <w:spacing w:line="480" w:lineRule="auto"/>
      </w:pPr>
      <w:r>
        <w:t>Context: NIH researchers used circulating biomarkers to evaluate intestinal permeability and inflammatory responses in individuals with obesity (NIH, 2024).</w:t>
      </w:r>
    </w:p>
    <w:p w14:paraId="4A8A13CE" w14:textId="77777777" w:rsidR="00514371" w:rsidRDefault="00000000">
      <w:pPr>
        <w:spacing w:line="480" w:lineRule="auto"/>
      </w:pPr>
      <w:r>
        <w:t xml:space="preserve">Importance: Biomarkers are essential in modern medicine because they support early disease detection, accurate diagnosis, treatment selection, and monitoring of disease </w:t>
      </w:r>
      <w:r>
        <w:lastRenderedPageBreak/>
        <w:t>progression and therapeutic effectiveness.</w:t>
      </w:r>
      <w:r>
        <w:br/>
      </w:r>
    </w:p>
    <w:p w14:paraId="2E269FFA" w14:textId="77777777" w:rsidR="00514371" w:rsidRDefault="00000000">
      <w:pPr>
        <w:spacing w:line="480" w:lineRule="auto"/>
      </w:pPr>
      <w:r>
        <w:t>Term: GLP-1 Receptor Agonist</w:t>
      </w:r>
    </w:p>
    <w:p w14:paraId="1AD40101" w14:textId="77777777" w:rsidR="00514371" w:rsidRDefault="00000000">
      <w:pPr>
        <w:spacing w:line="480" w:lineRule="auto"/>
      </w:pPr>
      <w:r>
        <w:t>Definition: GLP-1 receptor agonists are medications that activate the glucagon-like peptide-1 receptor to enhance insulin secretion, regulate blood glucose levels, and reduce appetite.</w:t>
      </w:r>
    </w:p>
    <w:p w14:paraId="52374C45" w14:textId="77777777" w:rsidR="00514371" w:rsidRDefault="00000000">
      <w:pPr>
        <w:spacing w:line="480" w:lineRule="auto"/>
      </w:pPr>
      <w:r>
        <w:t xml:space="preserve">Context: GLP-1 receptor agonists are increasingly incorporated into cardiovascular risk reduction strategies (Suran &amp; </w:t>
      </w:r>
      <w:proofErr w:type="spellStart"/>
      <w:r>
        <w:t>Hswen</w:t>
      </w:r>
      <w:proofErr w:type="spellEnd"/>
      <w:r>
        <w:t>, 2024).</w:t>
      </w:r>
    </w:p>
    <w:p w14:paraId="2E75C2CB" w14:textId="77777777" w:rsidR="00514371" w:rsidRDefault="00000000">
      <w:pPr>
        <w:spacing w:line="480" w:lineRule="auto"/>
      </w:pPr>
      <w:r>
        <w:t>Importance: These medications are important because they are widely used to treat type 2 diabetes and obesity while also providing cardiovascular benefits.</w:t>
      </w:r>
      <w:r>
        <w:br/>
      </w:r>
    </w:p>
    <w:p w14:paraId="76BEA369" w14:textId="77777777" w:rsidR="00514371" w:rsidRDefault="00000000">
      <w:pPr>
        <w:spacing w:line="480" w:lineRule="auto"/>
      </w:pPr>
      <w:r>
        <w:t>Term: Severe Combined Immunodeficiency (SCID)</w:t>
      </w:r>
    </w:p>
    <w:p w14:paraId="0A8FDFCB" w14:textId="77777777" w:rsidR="00514371" w:rsidRDefault="00000000">
      <w:pPr>
        <w:spacing w:line="480" w:lineRule="auto"/>
      </w:pPr>
      <w:r>
        <w:t>Definition: Severe Combined Immunodeficiency is a rare genetic disorder characterized by severe impairment of both T-cell and B-cell immune function.</w:t>
      </w:r>
    </w:p>
    <w:p w14:paraId="4C8930E8" w14:textId="77777777" w:rsidR="00514371" w:rsidRDefault="00000000">
      <w:pPr>
        <w:spacing w:line="480" w:lineRule="auto"/>
      </w:pPr>
      <w:r>
        <w:t>Context: NIH studies examined thymic dysfunction and immune development in infants diagnosed with SCID (NIH, 2024).</w:t>
      </w:r>
    </w:p>
    <w:p w14:paraId="46261D08" w14:textId="77777777" w:rsidR="00514371" w:rsidRDefault="00000000">
      <w:pPr>
        <w:spacing w:line="480" w:lineRule="auto"/>
      </w:pPr>
      <w:r>
        <w:t xml:space="preserve">Importance: Understanding SCID is critical because early diagnosis </w:t>
      </w:r>
      <w:proofErr w:type="gramStart"/>
      <w:r>
        <w:t>allows for</w:t>
      </w:r>
      <w:proofErr w:type="gramEnd"/>
      <w:r>
        <w:t xml:space="preserve"> life-saving treatments such as bone marrow transplantation or gene therapy.</w:t>
      </w:r>
      <w:r>
        <w:br/>
      </w:r>
    </w:p>
    <w:p w14:paraId="3F349333" w14:textId="77777777" w:rsidR="00514371" w:rsidRDefault="00000000">
      <w:pPr>
        <w:spacing w:line="480" w:lineRule="auto"/>
      </w:pPr>
      <w:r>
        <w:t>Term: Lipopolysaccharide-Binding Protein (LBP)</w:t>
      </w:r>
    </w:p>
    <w:p w14:paraId="5EFFD674" w14:textId="77777777" w:rsidR="00514371" w:rsidRDefault="00000000">
      <w:pPr>
        <w:spacing w:line="480" w:lineRule="auto"/>
      </w:pPr>
      <w:r>
        <w:lastRenderedPageBreak/>
        <w:t>Definition: Lipopolysaccharide-binding protein is a plasma protein that serves as a biomarker of immune activation and intestinal barrier dysfunction.</w:t>
      </w:r>
    </w:p>
    <w:p w14:paraId="17D3128F" w14:textId="77777777" w:rsidR="00514371" w:rsidRDefault="00000000">
      <w:pPr>
        <w:spacing w:line="480" w:lineRule="auto"/>
      </w:pPr>
      <w:r>
        <w:t>Context: Elevated LBP levels were associated with increased inflammation linked to intestinal permeability (NIH, 2024).</w:t>
      </w:r>
    </w:p>
    <w:p w14:paraId="177BB970" w14:textId="77777777" w:rsidR="00514371" w:rsidRDefault="00000000">
      <w:pPr>
        <w:spacing w:line="480" w:lineRule="auto"/>
      </w:pPr>
      <w:r>
        <w:t>Importance: LBP is important in healthcare research because it helps explain the relationship between gut health, immune response, and chronic inflammatory diseases.</w:t>
      </w:r>
      <w:r>
        <w:br/>
      </w:r>
    </w:p>
    <w:p w14:paraId="0085CE17" w14:textId="77777777" w:rsidR="00514371" w:rsidRDefault="00000000">
      <w:pPr>
        <w:spacing w:line="480" w:lineRule="auto"/>
      </w:pPr>
      <w:r>
        <w:t>Term: Telemedicine</w:t>
      </w:r>
    </w:p>
    <w:p w14:paraId="283FF803" w14:textId="77777777" w:rsidR="00514371" w:rsidRDefault="00000000">
      <w:pPr>
        <w:spacing w:line="480" w:lineRule="auto"/>
      </w:pPr>
      <w:r>
        <w:t>Definition: Telemedicine is the delivery of healthcare services using telecommunications technology to support remote diagnosis, monitoring, and treatment.</w:t>
      </w:r>
    </w:p>
    <w:p w14:paraId="391A52A6" w14:textId="77777777" w:rsidR="00514371" w:rsidRDefault="00000000">
      <w:pPr>
        <w:spacing w:line="480" w:lineRule="auto"/>
      </w:pPr>
      <w:r>
        <w:t>Context: Telemedicine platforms increasingly rely on AI-driven symptom assessment tools (Financial Times, 2025).</w:t>
      </w:r>
    </w:p>
    <w:p w14:paraId="41E17B31" w14:textId="77777777" w:rsidR="00514371" w:rsidRDefault="00000000">
      <w:pPr>
        <w:spacing w:line="480" w:lineRule="auto"/>
      </w:pPr>
      <w:r>
        <w:t>Importance: Telemedicine is vital because it expands access to healthcare, especially for rural and underserved populations, while improving efficiency in care delivery.</w:t>
      </w:r>
      <w:r>
        <w:br/>
      </w:r>
    </w:p>
    <w:p w14:paraId="5B017A36" w14:textId="5EDDD810" w:rsidR="00514371" w:rsidRPr="000053EF" w:rsidRDefault="00400A4B">
      <w:pPr>
        <w:spacing w:line="480" w:lineRule="auto"/>
      </w:pPr>
      <w:r w:rsidRPr="00400A4B">
        <w:rPr>
          <w:b/>
          <w:bCs/>
        </w:rPr>
        <w:t>Term:</w:t>
      </w:r>
      <w:r w:rsidRPr="00400A4B">
        <w:t xml:space="preserve"> Pulmonary Embolism</w:t>
      </w:r>
      <w:r w:rsidRPr="00400A4B">
        <w:br/>
      </w:r>
      <w:r w:rsidRPr="00400A4B">
        <w:rPr>
          <w:b/>
          <w:bCs/>
        </w:rPr>
        <w:t>Definition:</w:t>
      </w:r>
      <w:r w:rsidRPr="00400A4B">
        <w:t xml:space="preserve"> Pulmonary embolism is a serious medical condition in which a blood clot blocks one of the arteries in the lungs, most commonly originating from a clot in the veins of the legs or pelvis.</w:t>
      </w:r>
      <w:r w:rsidRPr="00400A4B">
        <w:br/>
      </w:r>
      <w:r w:rsidRPr="00400A4B">
        <w:rPr>
          <w:b/>
          <w:bCs/>
        </w:rPr>
        <w:t>Context:</w:t>
      </w:r>
      <w:r w:rsidRPr="00400A4B">
        <w:t xml:space="preserve"> Pulmonary embolism occurs when a thrombus travels from the deep veins of the lower extremities and lodges in a pulmonary artery, restricting blood flow and </w:t>
      </w:r>
      <w:r w:rsidRPr="00400A4B">
        <w:lastRenderedPageBreak/>
        <w:t>potentially causing shortness of breath, chest pain, or cardiovascular compromise (Freund et al., 2024).</w:t>
      </w:r>
      <w:r w:rsidR="000053EF" w:rsidRPr="000053EF">
        <w:br/>
        <w:t>Importance: Pulmonary embolism is medically significant because it can rapidly impair oxygenation and blood flow, making prompt diagnosis and treatment critical for preventing serious complications such as shock, respiratory failure, or death. Understanding this term helps healthcare providers recognize the urgency of PE and apply evidence-based diagnostic and management strategies.</w:t>
      </w:r>
    </w:p>
    <w:p w14:paraId="62BA488D" w14:textId="77777777" w:rsidR="00514371" w:rsidRDefault="00000000">
      <w:pPr>
        <w:spacing w:line="480" w:lineRule="auto"/>
      </w:pPr>
      <w:r>
        <w:t>Term: Image-Guided Robotic Interventions</w:t>
      </w:r>
    </w:p>
    <w:p w14:paraId="1F7E2862" w14:textId="77777777" w:rsidR="00514371" w:rsidRDefault="00000000">
      <w:pPr>
        <w:spacing w:line="480" w:lineRule="auto"/>
      </w:pPr>
      <w:r>
        <w:t>Definition: Image-guided robotic interventions are minimally invasive procedures that use advanced medical imaging to guide robotic systems during clinical interventions.</w:t>
      </w:r>
    </w:p>
    <w:p w14:paraId="45E0054D" w14:textId="77777777" w:rsidR="00514371" w:rsidRDefault="00000000">
      <w:pPr>
        <w:spacing w:line="480" w:lineRule="auto"/>
      </w:pPr>
      <w:r>
        <w:t>Context: NIH researchers highlighted the clinical impact of image-guided robotic technologies in interventional medicine (NIH, 2024).</w:t>
      </w:r>
    </w:p>
    <w:p w14:paraId="3E3842AD" w14:textId="77777777" w:rsidR="00514371" w:rsidRDefault="00000000">
      <w:pPr>
        <w:spacing w:line="480" w:lineRule="auto"/>
      </w:pPr>
      <w:r>
        <w:t>Importance: These interventions improve procedural precision, reduce complications, and enhance patient safety and outcomes.</w:t>
      </w:r>
      <w:r>
        <w:br/>
      </w:r>
    </w:p>
    <w:p w14:paraId="0F62A950" w14:textId="77777777" w:rsidR="00514371" w:rsidRDefault="00000000">
      <w:pPr>
        <w:spacing w:line="480" w:lineRule="auto"/>
      </w:pPr>
      <w:r>
        <w:t>Term: Traumatic Brain Injury (TBI)</w:t>
      </w:r>
    </w:p>
    <w:p w14:paraId="570619F5" w14:textId="7CCAF3D9" w:rsidR="00514371" w:rsidRDefault="00000000">
      <w:pPr>
        <w:spacing w:line="480" w:lineRule="auto"/>
      </w:pPr>
      <w:r>
        <w:t xml:space="preserve">Definition: </w:t>
      </w:r>
      <w:r w:rsidR="00E7053B">
        <w:t>A t</w:t>
      </w:r>
      <w:r>
        <w:t>raumatic brain injury is a</w:t>
      </w:r>
      <w:r w:rsidR="000053EF">
        <w:t>n alteration</w:t>
      </w:r>
      <w:r w:rsidR="00E7053B">
        <w:t xml:space="preserve"> or </w:t>
      </w:r>
      <w:r w:rsidR="0009446B">
        <w:t>disturbance</w:t>
      </w:r>
      <w:r>
        <w:t xml:space="preserve"> of normal brain function</w:t>
      </w:r>
      <w:r w:rsidR="0009446B">
        <w:t xml:space="preserve"> </w:t>
      </w:r>
      <w:r>
        <w:t xml:space="preserve">caused by an external </w:t>
      </w:r>
      <w:r w:rsidR="0009446B">
        <w:t>factor</w:t>
      </w:r>
      <w:r>
        <w:t>, such as a blow to the head.</w:t>
      </w:r>
    </w:p>
    <w:p w14:paraId="201EB92D" w14:textId="77777777" w:rsidR="00514371" w:rsidRDefault="00000000">
      <w:pPr>
        <w:spacing w:line="480" w:lineRule="auto"/>
      </w:pPr>
      <w:r>
        <w:t>Context: Blood-based biomarkers were evaluated to monitor neurodegeneration following traumatic brain injury (NIH, 2024).</w:t>
      </w:r>
    </w:p>
    <w:p w14:paraId="55B2BFC6" w14:textId="77777777" w:rsidR="00514371" w:rsidRDefault="00000000">
      <w:pPr>
        <w:spacing w:line="480" w:lineRule="auto"/>
      </w:pPr>
      <w:r>
        <w:lastRenderedPageBreak/>
        <w:t>Importance: Understanding TBI is crucial due to its potential long-term cognitive, physical, and emotional consequences.</w:t>
      </w:r>
      <w:r>
        <w:br/>
      </w:r>
    </w:p>
    <w:p w14:paraId="4573F342" w14:textId="77777777" w:rsidR="00514371" w:rsidRDefault="00000000">
      <w:pPr>
        <w:spacing w:line="480" w:lineRule="auto"/>
      </w:pPr>
      <w:r>
        <w:t>Term: Post-Acute Sequelae of COVID-19 (PASC)</w:t>
      </w:r>
    </w:p>
    <w:p w14:paraId="0C480D23" w14:textId="77777777" w:rsidR="00514371" w:rsidRDefault="00000000">
      <w:pPr>
        <w:spacing w:line="480" w:lineRule="auto"/>
      </w:pPr>
      <w:r>
        <w:t xml:space="preserve">Definition: Post-acute sequelae of COVID-19 </w:t>
      </w:r>
      <w:proofErr w:type="gramStart"/>
      <w:r>
        <w:t>refer</w:t>
      </w:r>
      <w:proofErr w:type="gramEnd"/>
      <w:r>
        <w:t xml:space="preserve"> to persistent symptoms that continue after the acute phase of COVID-19 infection.</w:t>
      </w:r>
    </w:p>
    <w:p w14:paraId="432CA93E" w14:textId="77777777" w:rsidR="00514371" w:rsidRDefault="00000000">
      <w:pPr>
        <w:spacing w:line="480" w:lineRule="auto"/>
      </w:pPr>
      <w:r>
        <w:t>Context: Patients reported ongoing symptoms consistent with post-acute sequelae of COVID-19 (CDC, 2023).</w:t>
      </w:r>
    </w:p>
    <w:p w14:paraId="23658BD6" w14:textId="77777777" w:rsidR="00514371" w:rsidRDefault="00000000">
      <w:pPr>
        <w:spacing w:line="480" w:lineRule="auto"/>
      </w:pPr>
      <w:r>
        <w:t>Importance: Recognizing PASC is important for developing long-term treatment strategies and healthcare policies for affected individuals.</w:t>
      </w:r>
      <w:r>
        <w:br/>
      </w:r>
    </w:p>
    <w:p w14:paraId="09B26231" w14:textId="77777777" w:rsidR="00514371" w:rsidRDefault="00000000">
      <w:pPr>
        <w:spacing w:line="480" w:lineRule="auto"/>
      </w:pPr>
      <w:r>
        <w:t>Term: Cardiovascular Disease (CVD) Risk Calculator</w:t>
      </w:r>
    </w:p>
    <w:p w14:paraId="1B6DB64A" w14:textId="0CC29CD3" w:rsidR="00514371" w:rsidRDefault="00000000">
      <w:pPr>
        <w:spacing w:line="480" w:lineRule="auto"/>
      </w:pPr>
      <w:r>
        <w:t xml:space="preserve">Definition: A cardiovascular disease risk </w:t>
      </w:r>
      <w:proofErr w:type="gramStart"/>
      <w:r>
        <w:t>calculator</w:t>
      </w:r>
      <w:r w:rsidR="00E7053B">
        <w:t>,</w:t>
      </w:r>
      <w:r>
        <w:t xml:space="preserve">  a</w:t>
      </w:r>
      <w:proofErr w:type="gramEnd"/>
      <w:r>
        <w:t xml:space="preserve"> clinical tool</w:t>
      </w:r>
      <w:r w:rsidR="00E7053B">
        <w:t xml:space="preserve"> that is</w:t>
      </w:r>
      <w:r>
        <w:t xml:space="preserve"> used to estimate an individual’s likelihood of experiencing cardiovascular events such as heart attack or stroke.</w:t>
      </w:r>
    </w:p>
    <w:p w14:paraId="5AF6E91B" w14:textId="77777777" w:rsidR="00514371" w:rsidRDefault="00000000">
      <w:pPr>
        <w:spacing w:line="480" w:lineRule="auto"/>
      </w:pPr>
      <w:r>
        <w:t xml:space="preserve">Context: The PREVENT calculator was introduced to improve cardiovascular disease risk assessment (Suran &amp; </w:t>
      </w:r>
      <w:proofErr w:type="spellStart"/>
      <w:r>
        <w:t>Hswen</w:t>
      </w:r>
      <w:proofErr w:type="spellEnd"/>
      <w:r>
        <w:t>, 2024).</w:t>
      </w:r>
    </w:p>
    <w:p w14:paraId="4D59A1CD" w14:textId="77777777" w:rsidR="00514371" w:rsidRDefault="00000000">
      <w:pPr>
        <w:spacing w:line="480" w:lineRule="auto"/>
      </w:pPr>
      <w:r>
        <w:t>Importance: These tools support preventive healthcare by guiding clinical decision-making and early intervention strategies.</w:t>
      </w:r>
      <w:r>
        <w:br/>
      </w:r>
    </w:p>
    <w:p w14:paraId="02A10C05" w14:textId="77777777" w:rsidR="00514371" w:rsidRDefault="00000000">
      <w:pPr>
        <w:spacing w:line="480" w:lineRule="auto"/>
      </w:pPr>
      <w:r>
        <w:lastRenderedPageBreak/>
        <w:t>In conclusion, the medical terms examined in this assignment highlight the critical role that precise terminology plays in healthcare by supporting accurate diagnosis, guiding treatment decisions, advancing medical research, and enabling the responsible use of emerging technologies such as artificial intelligence in clinical practice.</w:t>
      </w:r>
    </w:p>
    <w:p w14:paraId="7756C76C" w14:textId="77777777" w:rsidR="00514371" w:rsidRDefault="00000000">
      <w:r>
        <w:br w:type="page"/>
      </w:r>
    </w:p>
    <w:p w14:paraId="572D6F80" w14:textId="77777777" w:rsidR="00514371" w:rsidRDefault="00000000">
      <w:pPr>
        <w:spacing w:line="480" w:lineRule="auto"/>
      </w:pPr>
      <w:r>
        <w:lastRenderedPageBreak/>
        <w:t>References</w:t>
      </w:r>
      <w:r>
        <w:br/>
      </w:r>
    </w:p>
    <w:p w14:paraId="051B563F" w14:textId="77777777" w:rsidR="00514371" w:rsidRDefault="00000000">
      <w:pPr>
        <w:spacing w:line="480" w:lineRule="auto"/>
      </w:pPr>
      <w:r>
        <w:t>Centers for Disease Control and Prevention. (2023). Long COVID or post-COVID conditions. https://www.cdc.gov/coronavirus/2019-ncov/long-term-effects/index.html</w:t>
      </w:r>
    </w:p>
    <w:p w14:paraId="04C87313" w14:textId="77777777" w:rsidR="00514371" w:rsidRDefault="00000000">
      <w:pPr>
        <w:spacing w:line="480" w:lineRule="auto"/>
      </w:pPr>
      <w:r>
        <w:t>Financial Times. (2025). AI medical tools downplay symptoms in women and ethnic minorities. https://www.ft.com</w:t>
      </w:r>
    </w:p>
    <w:p w14:paraId="18F35E9F" w14:textId="77777777" w:rsidR="00514371" w:rsidRDefault="00000000">
      <w:pPr>
        <w:spacing w:line="480" w:lineRule="auto"/>
      </w:pPr>
      <w:r>
        <w:t>National Institutes of Health. (2024). NIH Clinical Center research highlights. https://www.cc.nih.gov/research</w:t>
      </w:r>
    </w:p>
    <w:p w14:paraId="4B81AE83" w14:textId="44E7CD78" w:rsidR="00514371" w:rsidRDefault="00000000">
      <w:pPr>
        <w:spacing w:line="480" w:lineRule="auto"/>
      </w:pPr>
      <w:r>
        <w:t xml:space="preserve">Suran, M., &amp; </w:t>
      </w:r>
      <w:proofErr w:type="spellStart"/>
      <w:r>
        <w:t>Hswen</w:t>
      </w:r>
      <w:proofErr w:type="spellEnd"/>
      <w:r>
        <w:t xml:space="preserve">, Y. (2024). How to navigate the pitfalls of AI hype in health care. JAMA, 331(4). </w:t>
      </w:r>
      <w:hyperlink r:id="rId8" w:history="1">
        <w:r w:rsidR="000053EF" w:rsidRPr="00EB1914">
          <w:rPr>
            <w:rStyle w:val="Hyperlink"/>
          </w:rPr>
          <w:t>https://jamanetwork.com</w:t>
        </w:r>
      </w:hyperlink>
    </w:p>
    <w:p w14:paraId="188599AE" w14:textId="7507163B" w:rsidR="000053EF" w:rsidRDefault="000053EF">
      <w:pPr>
        <w:spacing w:line="480" w:lineRule="auto"/>
      </w:pPr>
      <w:r w:rsidRPr="000053EF">
        <w:t xml:space="preserve">Freund, Y., Cohen-Aubart, F., &amp; Bloom, B. (2024). </w:t>
      </w:r>
      <w:r w:rsidRPr="000053EF">
        <w:rPr>
          <w:i/>
          <w:iCs/>
        </w:rPr>
        <w:t>Acute pulmonary embolism: A review</w:t>
      </w:r>
      <w:r w:rsidRPr="000053EF">
        <w:t xml:space="preserve">. </w:t>
      </w:r>
      <w:r w:rsidRPr="000053EF">
        <w:rPr>
          <w:i/>
          <w:iCs/>
        </w:rPr>
        <w:t>JAMA</w:t>
      </w:r>
      <w:r w:rsidRPr="000053EF">
        <w:t xml:space="preserve">. </w:t>
      </w:r>
      <w:hyperlink r:id="rId9" w:tgtFrame="_new" w:history="1">
        <w:r w:rsidRPr="000053EF">
          <w:rPr>
            <w:rStyle w:val="Hyperlink"/>
          </w:rPr>
          <w:t>https://doi.org/10.1001/jama.2022.16815</w:t>
        </w:r>
      </w:hyperlink>
    </w:p>
    <w:sectPr w:rsidR="000053EF"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9A706" w14:textId="77777777" w:rsidR="00DD5E3B" w:rsidRDefault="00DD5E3B">
      <w:pPr>
        <w:spacing w:after="0" w:line="240" w:lineRule="auto"/>
      </w:pPr>
      <w:r>
        <w:separator/>
      </w:r>
    </w:p>
  </w:endnote>
  <w:endnote w:type="continuationSeparator" w:id="0">
    <w:p w14:paraId="26F441C3" w14:textId="77777777" w:rsidR="00DD5E3B" w:rsidRDefault="00DD5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DE5CE" w14:textId="77777777" w:rsidR="00DD5E3B" w:rsidRDefault="00DD5E3B">
      <w:pPr>
        <w:spacing w:after="0" w:line="240" w:lineRule="auto"/>
      </w:pPr>
      <w:r>
        <w:separator/>
      </w:r>
    </w:p>
  </w:footnote>
  <w:footnote w:type="continuationSeparator" w:id="0">
    <w:p w14:paraId="78FD8194" w14:textId="77777777" w:rsidR="00DD5E3B" w:rsidRDefault="00DD5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28F5" w14:textId="77777777" w:rsidR="00514371" w:rsidRDefault="00000000">
    <w:pPr>
      <w:pStyle w:val="Header"/>
    </w:pPr>
    <w:r>
      <w:t>Running head: MEDICAL TERMINOLOGY IDENTIFICATION ASSIGNMENT</w:t>
    </w:r>
    <w:r>
      <w:tab/>
    </w:r>
    <w:r>
      <w:fldChar w:fldCharType="begin"/>
    </w:r>
    <w:r>
      <w:instrText>PAGE</w:instrText>
    </w:r>
    <w:r>
      <w:fldChar w:fldCharType="separate"/>
    </w:r>
    <w:r w:rsidR="006E6ED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9363897">
    <w:abstractNumId w:val="8"/>
  </w:num>
  <w:num w:numId="2" w16cid:durableId="1523008337">
    <w:abstractNumId w:val="6"/>
  </w:num>
  <w:num w:numId="3" w16cid:durableId="1225219721">
    <w:abstractNumId w:val="5"/>
  </w:num>
  <w:num w:numId="4" w16cid:durableId="681976188">
    <w:abstractNumId w:val="4"/>
  </w:num>
  <w:num w:numId="5" w16cid:durableId="353503319">
    <w:abstractNumId w:val="7"/>
  </w:num>
  <w:num w:numId="6" w16cid:durableId="1438331972">
    <w:abstractNumId w:val="3"/>
  </w:num>
  <w:num w:numId="7" w16cid:durableId="1460799778">
    <w:abstractNumId w:val="2"/>
  </w:num>
  <w:num w:numId="8" w16cid:durableId="687223390">
    <w:abstractNumId w:val="1"/>
  </w:num>
  <w:num w:numId="9" w16cid:durableId="1725134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EF"/>
    <w:rsid w:val="00034616"/>
    <w:rsid w:val="0006063C"/>
    <w:rsid w:val="0009446B"/>
    <w:rsid w:val="0015074B"/>
    <w:rsid w:val="0029639D"/>
    <w:rsid w:val="00326F90"/>
    <w:rsid w:val="00362F99"/>
    <w:rsid w:val="00400A4B"/>
    <w:rsid w:val="00514371"/>
    <w:rsid w:val="005C335B"/>
    <w:rsid w:val="006E6ED0"/>
    <w:rsid w:val="00A36020"/>
    <w:rsid w:val="00AA1D8D"/>
    <w:rsid w:val="00B47730"/>
    <w:rsid w:val="00BB03FA"/>
    <w:rsid w:val="00CB0664"/>
    <w:rsid w:val="00DD5E3B"/>
    <w:rsid w:val="00E7053B"/>
    <w:rsid w:val="00E824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EDCF4"/>
  <w14:defaultImageDpi w14:val="300"/>
  <w15:docId w15:val="{89D129B5-DFE0-49B2-A7C0-DB7DEB5B2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E6ED0"/>
    <w:rPr>
      <w:color w:val="0000FF" w:themeColor="hyperlink"/>
      <w:u w:val="single"/>
    </w:rPr>
  </w:style>
  <w:style w:type="character" w:styleId="UnresolvedMention">
    <w:name w:val="Unresolved Mention"/>
    <w:basedOn w:val="DefaultParagraphFont"/>
    <w:uiPriority w:val="99"/>
    <w:semiHidden/>
    <w:unhideWhenUsed/>
    <w:rsid w:val="006E6E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manetwor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01/jama.2022.168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annette.bazan-W6150197</cp:lastModifiedBy>
  <cp:revision>5</cp:revision>
  <dcterms:created xsi:type="dcterms:W3CDTF">2013-12-23T23:15:00Z</dcterms:created>
  <dcterms:modified xsi:type="dcterms:W3CDTF">2026-01-26T22:23:00Z</dcterms:modified>
  <cp:category/>
</cp:coreProperties>
</file>