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2437" w14:textId="77777777" w:rsidR="000F5DD0" w:rsidRDefault="000F5DD0" w:rsidP="000F5DD0">
      <w:pPr>
        <w:spacing w:after="0"/>
        <w:jc w:val="center"/>
        <w:rPr>
          <w:rFonts w:ascii="Times New Roman" w:hAnsi="Times New Roman" w:cs="Times New Roman"/>
          <w:b/>
          <w:bCs/>
        </w:rPr>
      </w:pPr>
    </w:p>
    <w:p w14:paraId="14BDAAA9" w14:textId="77777777" w:rsidR="000F5DD0" w:rsidRDefault="000F5DD0" w:rsidP="000F5DD0">
      <w:pPr>
        <w:spacing w:after="0"/>
        <w:jc w:val="center"/>
        <w:rPr>
          <w:rFonts w:ascii="Times New Roman" w:hAnsi="Times New Roman" w:cs="Times New Roman"/>
          <w:b/>
          <w:bCs/>
        </w:rPr>
      </w:pPr>
    </w:p>
    <w:p w14:paraId="4584FFB2" w14:textId="77777777" w:rsidR="000F5DD0" w:rsidRDefault="000F5DD0" w:rsidP="000F5DD0">
      <w:pPr>
        <w:spacing w:after="0"/>
        <w:jc w:val="center"/>
        <w:rPr>
          <w:rFonts w:ascii="Times New Roman" w:hAnsi="Times New Roman" w:cs="Times New Roman"/>
          <w:b/>
          <w:bCs/>
        </w:rPr>
      </w:pPr>
    </w:p>
    <w:p w14:paraId="5E95F9F2" w14:textId="77777777" w:rsidR="000F5DD0" w:rsidRDefault="000F5DD0" w:rsidP="000F5DD0">
      <w:pPr>
        <w:spacing w:after="0"/>
        <w:jc w:val="center"/>
        <w:rPr>
          <w:rFonts w:ascii="Times New Roman" w:hAnsi="Times New Roman" w:cs="Times New Roman"/>
          <w:b/>
          <w:bCs/>
        </w:rPr>
      </w:pPr>
    </w:p>
    <w:p w14:paraId="0C126EB3" w14:textId="77777777" w:rsidR="000F5DD0" w:rsidRDefault="000F5DD0" w:rsidP="000F5DD0">
      <w:pPr>
        <w:spacing w:after="0"/>
        <w:jc w:val="center"/>
        <w:rPr>
          <w:rFonts w:ascii="Times New Roman" w:hAnsi="Times New Roman" w:cs="Times New Roman"/>
          <w:b/>
          <w:bCs/>
        </w:rPr>
      </w:pPr>
    </w:p>
    <w:p w14:paraId="7EE8A8B4" w14:textId="77777777" w:rsidR="000F5DD0" w:rsidRDefault="000F5DD0" w:rsidP="000F5DD0">
      <w:pPr>
        <w:spacing w:after="0"/>
        <w:jc w:val="center"/>
        <w:rPr>
          <w:rFonts w:ascii="Times New Roman" w:hAnsi="Times New Roman" w:cs="Times New Roman"/>
          <w:b/>
          <w:bCs/>
        </w:rPr>
      </w:pPr>
    </w:p>
    <w:p w14:paraId="1EC59A92" w14:textId="3A2D8233" w:rsidR="000F5DD0" w:rsidRPr="000F5DD0" w:rsidRDefault="000F5DD0" w:rsidP="000F5DD0">
      <w:pPr>
        <w:spacing w:after="0"/>
        <w:jc w:val="center"/>
        <w:rPr>
          <w:rFonts w:ascii="Times New Roman" w:hAnsi="Times New Roman" w:cs="Times New Roman"/>
          <w:b/>
          <w:bCs/>
        </w:rPr>
      </w:pPr>
      <w:r w:rsidRPr="000F5DD0">
        <w:rPr>
          <w:rFonts w:ascii="Times New Roman" w:hAnsi="Times New Roman" w:cs="Times New Roman"/>
          <w:b/>
          <w:bCs/>
        </w:rPr>
        <w:t>Exploring Non-Traditional Health Data: Genetic Testing Services</w:t>
      </w:r>
    </w:p>
    <w:p w14:paraId="1F9B0DA5" w14:textId="39865985" w:rsidR="000F5DD0" w:rsidRDefault="000F5DD0" w:rsidP="000F5DD0">
      <w:pPr>
        <w:spacing w:after="0"/>
        <w:jc w:val="center"/>
        <w:rPr>
          <w:rFonts w:ascii="Times New Roman" w:hAnsi="Times New Roman" w:cs="Times New Roman"/>
        </w:rPr>
      </w:pPr>
      <w:r w:rsidRPr="000F5DD0">
        <w:rPr>
          <w:rFonts w:ascii="Times New Roman" w:hAnsi="Times New Roman" w:cs="Times New Roman"/>
        </w:rPr>
        <w:t>Annette</w:t>
      </w:r>
      <w:r>
        <w:rPr>
          <w:rFonts w:ascii="Times New Roman" w:hAnsi="Times New Roman" w:cs="Times New Roman"/>
        </w:rPr>
        <w:t xml:space="preserve"> Bazan</w:t>
      </w:r>
      <w:r w:rsidRPr="000F5DD0">
        <w:rPr>
          <w:rFonts w:ascii="Times New Roman" w:hAnsi="Times New Roman" w:cs="Times New Roman"/>
        </w:rPr>
        <w:br/>
      </w:r>
      <w:r>
        <w:rPr>
          <w:rFonts w:ascii="Times New Roman" w:hAnsi="Times New Roman" w:cs="Times New Roman"/>
        </w:rPr>
        <w:t>AI in Healthcare ITAI 4375</w:t>
      </w:r>
      <w:r w:rsidRPr="000F5DD0">
        <w:rPr>
          <w:rFonts w:ascii="Times New Roman" w:hAnsi="Times New Roman" w:cs="Times New Roman"/>
        </w:rPr>
        <w:br/>
        <w:t xml:space="preserve">Dr. Rosenstrauch </w:t>
      </w:r>
    </w:p>
    <w:p w14:paraId="1DC79461" w14:textId="189D0BDA" w:rsidR="000F5DD0" w:rsidRPr="000F5DD0" w:rsidRDefault="000F5DD0" w:rsidP="000F5DD0">
      <w:pPr>
        <w:spacing w:after="0"/>
        <w:jc w:val="center"/>
        <w:rPr>
          <w:rFonts w:ascii="Times New Roman" w:hAnsi="Times New Roman" w:cs="Times New Roman"/>
        </w:rPr>
      </w:pPr>
      <w:r w:rsidRPr="000F5DD0">
        <w:rPr>
          <w:rFonts w:ascii="Times New Roman" w:hAnsi="Times New Roman" w:cs="Times New Roman"/>
        </w:rPr>
        <w:t>March 2, 2026</w:t>
      </w:r>
    </w:p>
    <w:p w14:paraId="0C940FB4" w14:textId="0C956862" w:rsidR="000F5DD0" w:rsidRPr="000F5DD0" w:rsidRDefault="000F5DD0" w:rsidP="000F5DD0">
      <w:pPr>
        <w:spacing w:after="0"/>
        <w:rPr>
          <w:rFonts w:ascii="Times New Roman" w:hAnsi="Times New Roman" w:cs="Times New Roman"/>
        </w:rPr>
      </w:pPr>
    </w:p>
    <w:p w14:paraId="4C58499A" w14:textId="77777777" w:rsidR="000F5DD0" w:rsidRDefault="000F5DD0" w:rsidP="000F5DD0">
      <w:pPr>
        <w:spacing w:after="0"/>
        <w:ind w:firstLine="720"/>
        <w:rPr>
          <w:rFonts w:ascii="Times New Roman" w:hAnsi="Times New Roman" w:cs="Times New Roman"/>
        </w:rPr>
      </w:pPr>
    </w:p>
    <w:p w14:paraId="61070CED" w14:textId="77777777" w:rsidR="000F5DD0" w:rsidRDefault="000F5DD0" w:rsidP="000F5DD0">
      <w:pPr>
        <w:spacing w:after="0"/>
        <w:ind w:firstLine="720"/>
        <w:rPr>
          <w:rFonts w:ascii="Times New Roman" w:hAnsi="Times New Roman" w:cs="Times New Roman"/>
        </w:rPr>
      </w:pPr>
    </w:p>
    <w:p w14:paraId="00BE34D0" w14:textId="77777777" w:rsidR="000F5DD0" w:rsidRDefault="000F5DD0" w:rsidP="000F5DD0">
      <w:pPr>
        <w:spacing w:after="0"/>
        <w:ind w:firstLine="720"/>
        <w:rPr>
          <w:rFonts w:ascii="Times New Roman" w:hAnsi="Times New Roman" w:cs="Times New Roman"/>
        </w:rPr>
      </w:pPr>
    </w:p>
    <w:p w14:paraId="47C54B7B" w14:textId="77777777" w:rsidR="000F5DD0" w:rsidRDefault="000F5DD0" w:rsidP="000F5DD0">
      <w:pPr>
        <w:spacing w:after="0"/>
        <w:ind w:firstLine="720"/>
        <w:rPr>
          <w:rFonts w:ascii="Times New Roman" w:hAnsi="Times New Roman" w:cs="Times New Roman"/>
        </w:rPr>
      </w:pPr>
    </w:p>
    <w:p w14:paraId="145EDFD5" w14:textId="77777777" w:rsidR="000F5DD0" w:rsidRDefault="000F5DD0" w:rsidP="000F5DD0">
      <w:pPr>
        <w:spacing w:after="0"/>
        <w:ind w:firstLine="720"/>
        <w:rPr>
          <w:rFonts w:ascii="Times New Roman" w:hAnsi="Times New Roman" w:cs="Times New Roman"/>
        </w:rPr>
      </w:pPr>
    </w:p>
    <w:p w14:paraId="03297207" w14:textId="77777777" w:rsidR="000F5DD0" w:rsidRDefault="000F5DD0" w:rsidP="000F5DD0">
      <w:pPr>
        <w:spacing w:after="0"/>
        <w:ind w:firstLine="720"/>
        <w:rPr>
          <w:rFonts w:ascii="Times New Roman" w:hAnsi="Times New Roman" w:cs="Times New Roman"/>
        </w:rPr>
      </w:pPr>
    </w:p>
    <w:p w14:paraId="271A8DE0" w14:textId="77777777" w:rsidR="000F5DD0" w:rsidRDefault="000F5DD0" w:rsidP="000F5DD0">
      <w:pPr>
        <w:spacing w:after="0"/>
        <w:ind w:firstLine="720"/>
        <w:rPr>
          <w:rFonts w:ascii="Times New Roman" w:hAnsi="Times New Roman" w:cs="Times New Roman"/>
        </w:rPr>
      </w:pPr>
    </w:p>
    <w:p w14:paraId="5CBD8692" w14:textId="77777777" w:rsidR="000F5DD0" w:rsidRDefault="000F5DD0" w:rsidP="000F5DD0">
      <w:pPr>
        <w:spacing w:after="0"/>
        <w:ind w:firstLine="720"/>
        <w:rPr>
          <w:rFonts w:ascii="Times New Roman" w:hAnsi="Times New Roman" w:cs="Times New Roman"/>
        </w:rPr>
      </w:pPr>
    </w:p>
    <w:p w14:paraId="5518D1ED" w14:textId="77777777" w:rsidR="000F5DD0" w:rsidRDefault="000F5DD0" w:rsidP="000F5DD0">
      <w:pPr>
        <w:spacing w:after="0"/>
        <w:ind w:firstLine="720"/>
        <w:rPr>
          <w:rFonts w:ascii="Times New Roman" w:hAnsi="Times New Roman" w:cs="Times New Roman"/>
        </w:rPr>
      </w:pPr>
    </w:p>
    <w:p w14:paraId="3D1BF1B1" w14:textId="0AF55829" w:rsidR="000F5DD0" w:rsidRPr="000F5DD0" w:rsidRDefault="000F5DD0" w:rsidP="000F5DD0">
      <w:pPr>
        <w:spacing w:after="0"/>
        <w:ind w:firstLine="720"/>
        <w:rPr>
          <w:rFonts w:ascii="Times New Roman" w:hAnsi="Times New Roman" w:cs="Times New Roman"/>
        </w:rPr>
      </w:pPr>
      <w:r w:rsidRPr="000F5DD0">
        <w:rPr>
          <w:rFonts w:ascii="Times New Roman" w:hAnsi="Times New Roman" w:cs="Times New Roman"/>
        </w:rPr>
        <w:lastRenderedPageBreak/>
        <w:t>Genetic testing services such as 23andMe provide individuals with information about their DNA using a saliva sample. These services analyze specific genetic variants to identify ancestry information, inherited traits, and</w:t>
      </w:r>
      <w:r w:rsidR="00D731C4">
        <w:rPr>
          <w:rFonts w:ascii="Times New Roman" w:hAnsi="Times New Roman" w:cs="Times New Roman"/>
        </w:rPr>
        <w:t xml:space="preserve"> any</w:t>
      </w:r>
      <w:r w:rsidRPr="000F5DD0">
        <w:rPr>
          <w:rFonts w:ascii="Times New Roman" w:hAnsi="Times New Roman" w:cs="Times New Roman"/>
        </w:rPr>
        <w:t xml:space="preserve"> potential health risks. According to the </w:t>
      </w:r>
      <w:r w:rsidR="00A7310A">
        <w:rPr>
          <w:rFonts w:ascii="Times New Roman" w:hAnsi="Times New Roman" w:cs="Times New Roman"/>
        </w:rPr>
        <w:t>CDC</w:t>
      </w:r>
      <w:r w:rsidR="00C3610A">
        <w:rPr>
          <w:rFonts w:ascii="Times New Roman" w:hAnsi="Times New Roman" w:cs="Times New Roman"/>
        </w:rPr>
        <w:t>,</w:t>
      </w:r>
      <w:r w:rsidRPr="000F5DD0">
        <w:rPr>
          <w:rFonts w:ascii="Times New Roman" w:hAnsi="Times New Roman" w:cs="Times New Roman"/>
        </w:rPr>
        <w:t xml:space="preserve"> genetic testing </w:t>
      </w:r>
      <w:r w:rsidR="00FC2F12">
        <w:rPr>
          <w:rFonts w:ascii="Times New Roman" w:hAnsi="Times New Roman" w:cs="Times New Roman"/>
        </w:rPr>
        <w:t>can be used to</w:t>
      </w:r>
      <w:r w:rsidRPr="000F5DD0">
        <w:rPr>
          <w:rFonts w:ascii="Times New Roman" w:hAnsi="Times New Roman" w:cs="Times New Roman"/>
        </w:rPr>
        <w:t xml:space="preserve"> identify changes in chromosomes, genes, or proteins that may indicate a risk for certain diseases (CDC, 2024). Companies like 23andMe offer direct-to-consumer testing, meaning individuals can access genetic insights without going through a healthcare provider.</w:t>
      </w:r>
    </w:p>
    <w:p w14:paraId="397AC6E6" w14:textId="5A5563BE" w:rsidR="000F5DD0" w:rsidRPr="000F5DD0" w:rsidRDefault="000F5DD0" w:rsidP="000F5DD0">
      <w:pPr>
        <w:spacing w:after="0"/>
        <w:ind w:firstLine="720"/>
        <w:rPr>
          <w:rFonts w:ascii="Times New Roman" w:hAnsi="Times New Roman" w:cs="Times New Roman"/>
        </w:rPr>
      </w:pPr>
      <w:r w:rsidRPr="000F5DD0">
        <w:rPr>
          <w:rFonts w:ascii="Times New Roman" w:hAnsi="Times New Roman" w:cs="Times New Roman"/>
        </w:rPr>
        <w:t>Genetic testing services analyze DNA to detect variants associated with conditions such as breast cancer, Parkinson’s disease, or cardiovascular disorders. Some tests also examine carrier status for inherited diseases and provide pharmacogenomic information, which helps determine how a person may respond to certain medications. Recent research highlights that genomic screening and polygenic risk assessment are becoming increasingly integrated into preventive medicine and population health strategies (Lewis &amp; Green, 2021; Wand et al., 2022). This type of data can improve health outcomes by enabling early detection of disease risk, encouraging preventive lifestyle changes, and supporting personalized medicine. For example, individuals who learn they have a higher genetic risk for certain cancers may pursue earlier or more frequent screenings.</w:t>
      </w:r>
      <w:r>
        <w:rPr>
          <w:rFonts w:ascii="Times New Roman" w:hAnsi="Times New Roman" w:cs="Times New Roman"/>
        </w:rPr>
        <w:t xml:space="preserve"> </w:t>
      </w:r>
      <w:r w:rsidRPr="000F5DD0">
        <w:rPr>
          <w:rFonts w:ascii="Times New Roman" w:hAnsi="Times New Roman" w:cs="Times New Roman"/>
        </w:rPr>
        <w:t xml:space="preserve">However, there are </w:t>
      </w:r>
      <w:r w:rsidRPr="000F5DD0">
        <w:rPr>
          <w:rFonts w:ascii="Times New Roman" w:hAnsi="Times New Roman" w:cs="Times New Roman"/>
        </w:rPr>
        <w:lastRenderedPageBreak/>
        <w:t xml:space="preserve">ethical concerns associated with genetic testing. </w:t>
      </w:r>
      <w:r w:rsidR="00CD45A0">
        <w:rPr>
          <w:rFonts w:ascii="Times New Roman" w:hAnsi="Times New Roman" w:cs="Times New Roman"/>
        </w:rPr>
        <w:t xml:space="preserve">Data </w:t>
      </w:r>
      <w:r w:rsidR="00130EAE">
        <w:rPr>
          <w:rFonts w:ascii="Times New Roman" w:hAnsi="Times New Roman" w:cs="Times New Roman"/>
        </w:rPr>
        <w:t xml:space="preserve">security </w:t>
      </w:r>
      <w:r w:rsidR="00CD45A0">
        <w:rPr>
          <w:rFonts w:ascii="Times New Roman" w:hAnsi="Times New Roman" w:cs="Times New Roman"/>
        </w:rPr>
        <w:t xml:space="preserve">and </w:t>
      </w:r>
      <w:r w:rsidR="00130EAE">
        <w:rPr>
          <w:rFonts w:ascii="Times New Roman" w:hAnsi="Times New Roman" w:cs="Times New Roman"/>
        </w:rPr>
        <w:t>p</w:t>
      </w:r>
      <w:r w:rsidR="00CD45A0">
        <w:rPr>
          <w:rFonts w:ascii="Times New Roman" w:hAnsi="Times New Roman" w:cs="Times New Roman"/>
        </w:rPr>
        <w:t>rivacy</w:t>
      </w:r>
      <w:r w:rsidRPr="000F5DD0">
        <w:rPr>
          <w:rFonts w:ascii="Times New Roman" w:hAnsi="Times New Roman" w:cs="Times New Roman"/>
        </w:rPr>
        <w:t xml:space="preserve"> </w:t>
      </w:r>
      <w:r w:rsidR="002A533E">
        <w:rPr>
          <w:rFonts w:ascii="Times New Roman" w:hAnsi="Times New Roman" w:cs="Times New Roman"/>
        </w:rPr>
        <w:t xml:space="preserve">have some </w:t>
      </w:r>
      <w:r w:rsidRPr="000F5DD0">
        <w:rPr>
          <w:rFonts w:ascii="Times New Roman" w:hAnsi="Times New Roman" w:cs="Times New Roman"/>
        </w:rPr>
        <w:t>major issues</w:t>
      </w:r>
      <w:r w:rsidR="002A533E">
        <w:rPr>
          <w:rFonts w:ascii="Times New Roman" w:hAnsi="Times New Roman" w:cs="Times New Roman"/>
        </w:rPr>
        <w:t>,</w:t>
      </w:r>
      <w:r w:rsidRPr="000F5DD0">
        <w:rPr>
          <w:rFonts w:ascii="Times New Roman" w:hAnsi="Times New Roman" w:cs="Times New Roman"/>
        </w:rPr>
        <w:t xml:space="preserve"> because genetic information is highly sensitive. There is also the potential for genetic </w:t>
      </w:r>
      <w:r w:rsidR="006D4E85">
        <w:rPr>
          <w:rFonts w:ascii="Times New Roman" w:hAnsi="Times New Roman" w:cs="Times New Roman"/>
        </w:rPr>
        <w:t>bias</w:t>
      </w:r>
      <w:r w:rsidRPr="000F5DD0">
        <w:rPr>
          <w:rFonts w:ascii="Times New Roman" w:hAnsi="Times New Roman" w:cs="Times New Roman"/>
        </w:rPr>
        <w:t xml:space="preserve"> by employers or insurance companies, even though laws like the Genetic Information Nondiscrimination Act offer some protection (Lewis &amp; Green, 2021). Additionally, genetic results can sometimes be misunderstood without proper counseling, leading to unnecessary anxiety or false reassurance.</w:t>
      </w:r>
    </w:p>
    <w:p w14:paraId="362D47C9" w14:textId="77777777" w:rsidR="000F5DD0" w:rsidRPr="000F5DD0" w:rsidRDefault="000F5DD0" w:rsidP="000F5DD0">
      <w:pPr>
        <w:spacing w:after="0"/>
        <w:ind w:firstLine="720"/>
        <w:rPr>
          <w:rFonts w:ascii="Times New Roman" w:hAnsi="Times New Roman" w:cs="Times New Roman"/>
        </w:rPr>
      </w:pPr>
      <w:r w:rsidRPr="000F5DD0">
        <w:rPr>
          <w:rFonts w:ascii="Times New Roman" w:hAnsi="Times New Roman" w:cs="Times New Roman"/>
        </w:rPr>
        <w:t>In conclusion, genetic testing represents an important form of non-traditional health data that can significantly improve personalized healthcare and disease prevention. While the benefits are promising, strong ethical guidelines, privacy protections, and proper medical guidance are essential to ensure this data is used responsibly. As technology advances, genetic testing will likely play an increasingly important role in shaping precision medicine and improving long-term health outcomes.</w:t>
      </w:r>
    </w:p>
    <w:p w14:paraId="0227C8E2" w14:textId="18E1360B" w:rsidR="000F5DD0" w:rsidRPr="000F5DD0" w:rsidRDefault="000F5DD0" w:rsidP="000F5DD0">
      <w:pPr>
        <w:spacing w:after="0"/>
        <w:rPr>
          <w:rFonts w:ascii="Times New Roman" w:hAnsi="Times New Roman" w:cs="Times New Roman"/>
        </w:rPr>
      </w:pPr>
    </w:p>
    <w:p w14:paraId="2881AB87" w14:textId="77777777" w:rsidR="000F5DD0" w:rsidRPr="000F5DD0" w:rsidRDefault="000F5DD0" w:rsidP="000F5DD0">
      <w:pPr>
        <w:spacing w:after="0"/>
        <w:rPr>
          <w:rFonts w:ascii="Times New Roman" w:hAnsi="Times New Roman" w:cs="Times New Roman"/>
          <w:b/>
          <w:bCs/>
        </w:rPr>
      </w:pPr>
    </w:p>
    <w:p w14:paraId="79D51DD4" w14:textId="77777777" w:rsidR="000F5DD0" w:rsidRPr="000F5DD0" w:rsidRDefault="000F5DD0" w:rsidP="000F5DD0">
      <w:pPr>
        <w:spacing w:after="0"/>
        <w:rPr>
          <w:rFonts w:ascii="Times New Roman" w:hAnsi="Times New Roman" w:cs="Times New Roman"/>
          <w:b/>
          <w:bCs/>
        </w:rPr>
      </w:pPr>
    </w:p>
    <w:p w14:paraId="3E0C31DB" w14:textId="77777777" w:rsidR="000F5DD0" w:rsidRPr="000F5DD0" w:rsidRDefault="000F5DD0" w:rsidP="000F5DD0">
      <w:pPr>
        <w:spacing w:after="0"/>
        <w:rPr>
          <w:rFonts w:ascii="Times New Roman" w:hAnsi="Times New Roman" w:cs="Times New Roman"/>
          <w:b/>
          <w:bCs/>
        </w:rPr>
      </w:pPr>
    </w:p>
    <w:p w14:paraId="4BAFA8F4" w14:textId="77777777" w:rsidR="000F5DD0" w:rsidRDefault="000F5DD0" w:rsidP="000F5DD0">
      <w:pPr>
        <w:spacing w:after="0"/>
        <w:rPr>
          <w:rFonts w:ascii="Times New Roman" w:hAnsi="Times New Roman" w:cs="Times New Roman"/>
          <w:b/>
          <w:bCs/>
        </w:rPr>
      </w:pPr>
    </w:p>
    <w:p w14:paraId="3DC68EED" w14:textId="77777777" w:rsidR="000F5DD0" w:rsidRDefault="000F5DD0" w:rsidP="000F5DD0">
      <w:pPr>
        <w:spacing w:after="0"/>
        <w:rPr>
          <w:rFonts w:ascii="Times New Roman" w:hAnsi="Times New Roman" w:cs="Times New Roman"/>
          <w:b/>
          <w:bCs/>
        </w:rPr>
      </w:pPr>
    </w:p>
    <w:p w14:paraId="23276C78" w14:textId="77777777" w:rsidR="00C3610A" w:rsidRDefault="00C3610A" w:rsidP="000F5DD0">
      <w:pPr>
        <w:spacing w:after="0"/>
        <w:rPr>
          <w:rFonts w:ascii="Times New Roman" w:hAnsi="Times New Roman" w:cs="Times New Roman"/>
          <w:b/>
          <w:bCs/>
        </w:rPr>
      </w:pPr>
    </w:p>
    <w:p w14:paraId="4B5237EE" w14:textId="0143DAA4" w:rsidR="000F5DD0" w:rsidRPr="000F5DD0" w:rsidRDefault="000F5DD0" w:rsidP="000F5DD0">
      <w:pPr>
        <w:spacing w:after="0"/>
        <w:rPr>
          <w:rFonts w:ascii="Times New Roman" w:hAnsi="Times New Roman" w:cs="Times New Roman"/>
          <w:b/>
          <w:bCs/>
        </w:rPr>
      </w:pPr>
      <w:r w:rsidRPr="000F5DD0">
        <w:rPr>
          <w:rFonts w:ascii="Times New Roman" w:hAnsi="Times New Roman" w:cs="Times New Roman"/>
          <w:b/>
          <w:bCs/>
        </w:rPr>
        <w:lastRenderedPageBreak/>
        <w:t>References</w:t>
      </w:r>
    </w:p>
    <w:p w14:paraId="2C387749" w14:textId="73AF5D49" w:rsidR="000F5DD0" w:rsidRPr="000F5DD0" w:rsidRDefault="00C3610A" w:rsidP="000F5DD0">
      <w:pPr>
        <w:spacing w:after="0"/>
        <w:rPr>
          <w:rFonts w:ascii="Times New Roman" w:hAnsi="Times New Roman" w:cs="Times New Roman"/>
        </w:rPr>
      </w:pPr>
      <w:r>
        <w:rPr>
          <w:rFonts w:ascii="Times New Roman" w:hAnsi="Times New Roman" w:cs="Times New Roman"/>
        </w:rPr>
        <w:t>CDC</w:t>
      </w:r>
      <w:r w:rsidR="000F5DD0" w:rsidRPr="000F5DD0">
        <w:rPr>
          <w:rFonts w:ascii="Times New Roman" w:hAnsi="Times New Roman" w:cs="Times New Roman"/>
        </w:rPr>
        <w:t xml:space="preserve"> (2024). </w:t>
      </w:r>
      <w:r w:rsidR="000F5DD0" w:rsidRPr="000F5DD0">
        <w:rPr>
          <w:rFonts w:ascii="Times New Roman" w:hAnsi="Times New Roman" w:cs="Times New Roman"/>
          <w:i/>
          <w:iCs/>
        </w:rPr>
        <w:t>Genetic testing</w:t>
      </w:r>
      <w:r w:rsidR="000F5DD0" w:rsidRPr="000F5DD0">
        <w:rPr>
          <w:rFonts w:ascii="Times New Roman" w:hAnsi="Times New Roman" w:cs="Times New Roman"/>
        </w:rPr>
        <w:t xml:space="preserve">. U.S. Department of Health and Human Services. </w:t>
      </w:r>
      <w:hyperlink r:id="rId6" w:tgtFrame="_new" w:history="1">
        <w:r w:rsidR="000F5DD0" w:rsidRPr="000F5DD0">
          <w:rPr>
            <w:rStyle w:val="Hyperlink"/>
            <w:rFonts w:ascii="Times New Roman" w:hAnsi="Times New Roman" w:cs="Times New Roman"/>
          </w:rPr>
          <w:t>https://www.cdc.gov/genomics-and-health/counseling-testing/genetic-testing.html</w:t>
        </w:r>
      </w:hyperlink>
    </w:p>
    <w:p w14:paraId="0D45037D" w14:textId="645C58F7" w:rsidR="000F5DD0" w:rsidRPr="000F5DD0" w:rsidRDefault="000F5DD0" w:rsidP="000F5DD0">
      <w:pPr>
        <w:spacing w:after="0"/>
        <w:rPr>
          <w:rFonts w:ascii="Times New Roman" w:hAnsi="Times New Roman" w:cs="Times New Roman"/>
        </w:rPr>
      </w:pPr>
      <w:r w:rsidRPr="000F5DD0">
        <w:rPr>
          <w:rFonts w:ascii="Times New Roman" w:hAnsi="Times New Roman" w:cs="Times New Roman"/>
        </w:rPr>
        <w:t xml:space="preserve">Lewis, M. H., &amp; Green, R. C. (2021). </w:t>
      </w:r>
      <w:hyperlink r:id="rId7" w:history="1">
        <w:r w:rsidRPr="000F5DD0">
          <w:rPr>
            <w:rStyle w:val="Hyperlink"/>
            <w:rFonts w:ascii="Times New Roman" w:hAnsi="Times New Roman" w:cs="Times New Roman"/>
          </w:rPr>
          <w:t>Polygenic risk scores in the clinic: new perspectives needed on familiar ethical issues | Genome Medicine | Springer Nature Link</w:t>
        </w:r>
      </w:hyperlink>
    </w:p>
    <w:p w14:paraId="2BA38F54" w14:textId="1BAD0C4F" w:rsidR="000F5DD0" w:rsidRPr="000F5DD0" w:rsidRDefault="000F5DD0" w:rsidP="000F5DD0">
      <w:pPr>
        <w:spacing w:after="0"/>
        <w:rPr>
          <w:rFonts w:ascii="Times New Roman" w:hAnsi="Times New Roman" w:cs="Times New Roman"/>
        </w:rPr>
      </w:pPr>
      <w:r w:rsidRPr="000F5DD0">
        <w:rPr>
          <w:rFonts w:ascii="Times New Roman" w:hAnsi="Times New Roman" w:cs="Times New Roman"/>
        </w:rPr>
        <w:t xml:space="preserve">Wand, H., Lambert, S. A., Tamburro, C., Iacocca, M. A., O’Sullivan, J. W., </w:t>
      </w:r>
      <w:proofErr w:type="spellStart"/>
      <w:r w:rsidRPr="000F5DD0">
        <w:rPr>
          <w:rFonts w:ascii="Times New Roman" w:hAnsi="Times New Roman" w:cs="Times New Roman"/>
        </w:rPr>
        <w:t>Sillari</w:t>
      </w:r>
      <w:proofErr w:type="spellEnd"/>
      <w:r w:rsidRPr="000F5DD0">
        <w:rPr>
          <w:rFonts w:ascii="Times New Roman" w:hAnsi="Times New Roman" w:cs="Times New Roman"/>
        </w:rPr>
        <w:t>, C., Kullo, I. J., Rowley, R., Dron, J. S., Brockman, D., Patel, A. P., &amp; Khera, A. V. (2022</w:t>
      </w:r>
      <w:r w:rsidR="0076131B">
        <w:rPr>
          <w:rFonts w:ascii="Times New Roman" w:hAnsi="Times New Roman" w:cs="Times New Roman"/>
        </w:rPr>
        <w:t xml:space="preserve">) </w:t>
      </w:r>
      <w:hyperlink r:id="rId8" w:history="1">
        <w:r w:rsidRPr="000F5DD0">
          <w:rPr>
            <w:rStyle w:val="Hyperlink"/>
            <w:rFonts w:ascii="Times New Roman" w:hAnsi="Times New Roman" w:cs="Times New Roman"/>
          </w:rPr>
          <w:t>Improving reporting standards for polygenic scores in risk prediction studies | Nature</w:t>
        </w:r>
      </w:hyperlink>
    </w:p>
    <w:p w14:paraId="326C192E" w14:textId="77777777" w:rsidR="005F7E79" w:rsidRPr="000F5DD0" w:rsidRDefault="005F7E79" w:rsidP="000F5DD0">
      <w:pPr>
        <w:spacing w:after="0"/>
        <w:rPr>
          <w:rFonts w:ascii="Times New Roman" w:hAnsi="Times New Roman" w:cs="Times New Roman"/>
        </w:rPr>
      </w:pPr>
    </w:p>
    <w:sectPr w:rsidR="005F7E79" w:rsidRPr="000F5DD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6D17" w14:textId="77777777" w:rsidR="00980884" w:rsidRDefault="00980884" w:rsidP="000F5DD0">
      <w:pPr>
        <w:spacing w:after="0" w:line="240" w:lineRule="auto"/>
      </w:pPr>
      <w:r>
        <w:separator/>
      </w:r>
    </w:p>
  </w:endnote>
  <w:endnote w:type="continuationSeparator" w:id="0">
    <w:p w14:paraId="2021CABA" w14:textId="77777777" w:rsidR="00980884" w:rsidRDefault="00980884" w:rsidP="000F5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8FA3F" w14:textId="77777777" w:rsidR="00980884" w:rsidRDefault="00980884" w:rsidP="000F5DD0">
      <w:pPr>
        <w:spacing w:after="0" w:line="240" w:lineRule="auto"/>
      </w:pPr>
      <w:r>
        <w:separator/>
      </w:r>
    </w:p>
  </w:footnote>
  <w:footnote w:type="continuationSeparator" w:id="0">
    <w:p w14:paraId="09DBE7A6" w14:textId="77777777" w:rsidR="00980884" w:rsidRDefault="00980884" w:rsidP="000F5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3DAA" w14:textId="5FCDEAB4" w:rsidR="000F5DD0" w:rsidRDefault="000F5DD0" w:rsidP="000F5DD0">
    <w:pPr>
      <w:pStyle w:val="Header"/>
      <w:ind w:left="0"/>
    </w:pPr>
    <w:r>
      <w:t xml:space="preserve">A </w:t>
    </w:r>
    <w:r w:rsidR="00AC1313">
      <w:t>0</w:t>
    </w:r>
    <w:r>
      <w:t>6</w:t>
    </w:r>
    <w:r w:rsidR="00C902EB">
      <w:t xml:space="preserve">                                                                                                                                   </w:t>
    </w:r>
    <w:r w:rsidR="00AC1313">
      <w:t xml:space="preserve">                   </w:t>
    </w:r>
    <w:sdt>
      <w:sdtPr>
        <w:id w:val="-57419738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69FB69A" w14:textId="7BA0CB54" w:rsidR="000F5DD0" w:rsidRDefault="000F5DD0" w:rsidP="000F5DD0">
    <w:pPr>
      <w:pStyle w:val="Header"/>
      <w:ind w:left="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D0"/>
    <w:rsid w:val="000F5DD0"/>
    <w:rsid w:val="00130EAE"/>
    <w:rsid w:val="00286CFA"/>
    <w:rsid w:val="002A533E"/>
    <w:rsid w:val="005F7E79"/>
    <w:rsid w:val="006D4E85"/>
    <w:rsid w:val="0076131B"/>
    <w:rsid w:val="00786871"/>
    <w:rsid w:val="00980884"/>
    <w:rsid w:val="00A06542"/>
    <w:rsid w:val="00A7310A"/>
    <w:rsid w:val="00A849FB"/>
    <w:rsid w:val="00AC1313"/>
    <w:rsid w:val="00B54D74"/>
    <w:rsid w:val="00BF6A3A"/>
    <w:rsid w:val="00C3610A"/>
    <w:rsid w:val="00C902EB"/>
    <w:rsid w:val="00CD45A0"/>
    <w:rsid w:val="00D731C4"/>
    <w:rsid w:val="00FC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DE63"/>
  <w15:chartTrackingRefBased/>
  <w15:docId w15:val="{7332669A-F232-47FD-A777-F7245828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D0"/>
    <w:rPr>
      <w:rFonts w:eastAsiaTheme="majorEastAsia" w:cstheme="majorBidi"/>
      <w:color w:val="272727" w:themeColor="text1" w:themeTint="D8"/>
    </w:rPr>
  </w:style>
  <w:style w:type="paragraph" w:styleId="Title">
    <w:name w:val="Title"/>
    <w:basedOn w:val="Normal"/>
    <w:next w:val="Normal"/>
    <w:link w:val="TitleChar"/>
    <w:uiPriority w:val="10"/>
    <w:qFormat/>
    <w:rsid w:val="000F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D0"/>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D0"/>
    <w:pPr>
      <w:spacing w:before="160"/>
      <w:jc w:val="center"/>
    </w:pPr>
    <w:rPr>
      <w:i/>
      <w:iCs/>
      <w:color w:val="404040" w:themeColor="text1" w:themeTint="BF"/>
    </w:rPr>
  </w:style>
  <w:style w:type="character" w:customStyle="1" w:styleId="QuoteChar">
    <w:name w:val="Quote Char"/>
    <w:basedOn w:val="DefaultParagraphFont"/>
    <w:link w:val="Quote"/>
    <w:uiPriority w:val="29"/>
    <w:rsid w:val="000F5DD0"/>
    <w:rPr>
      <w:i/>
      <w:iCs/>
      <w:color w:val="404040" w:themeColor="text1" w:themeTint="BF"/>
    </w:rPr>
  </w:style>
  <w:style w:type="paragraph" w:styleId="ListParagraph">
    <w:name w:val="List Paragraph"/>
    <w:basedOn w:val="Normal"/>
    <w:uiPriority w:val="34"/>
    <w:qFormat/>
    <w:rsid w:val="000F5DD0"/>
    <w:pPr>
      <w:ind w:left="720"/>
      <w:contextualSpacing/>
    </w:pPr>
  </w:style>
  <w:style w:type="character" w:styleId="IntenseEmphasis">
    <w:name w:val="Intense Emphasis"/>
    <w:basedOn w:val="DefaultParagraphFont"/>
    <w:uiPriority w:val="21"/>
    <w:qFormat/>
    <w:rsid w:val="000F5DD0"/>
    <w:rPr>
      <w:i/>
      <w:iCs/>
      <w:color w:val="0F4761" w:themeColor="accent1" w:themeShade="BF"/>
    </w:rPr>
  </w:style>
  <w:style w:type="paragraph" w:styleId="IntenseQuote">
    <w:name w:val="Intense Quote"/>
    <w:basedOn w:val="Normal"/>
    <w:next w:val="Normal"/>
    <w:link w:val="IntenseQuoteChar"/>
    <w:uiPriority w:val="30"/>
    <w:qFormat/>
    <w:rsid w:val="000F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D0"/>
    <w:rPr>
      <w:i/>
      <w:iCs/>
      <w:color w:val="0F4761" w:themeColor="accent1" w:themeShade="BF"/>
    </w:rPr>
  </w:style>
  <w:style w:type="character" w:styleId="IntenseReference">
    <w:name w:val="Intense Reference"/>
    <w:basedOn w:val="DefaultParagraphFont"/>
    <w:uiPriority w:val="32"/>
    <w:qFormat/>
    <w:rsid w:val="000F5DD0"/>
    <w:rPr>
      <w:b/>
      <w:bCs/>
      <w:smallCaps/>
      <w:color w:val="0F4761" w:themeColor="accent1" w:themeShade="BF"/>
      <w:spacing w:val="5"/>
    </w:rPr>
  </w:style>
  <w:style w:type="character" w:styleId="Hyperlink">
    <w:name w:val="Hyperlink"/>
    <w:basedOn w:val="DefaultParagraphFont"/>
    <w:uiPriority w:val="99"/>
    <w:unhideWhenUsed/>
    <w:rsid w:val="000F5DD0"/>
    <w:rPr>
      <w:color w:val="467886" w:themeColor="hyperlink"/>
      <w:u w:val="single"/>
    </w:rPr>
  </w:style>
  <w:style w:type="character" w:styleId="UnresolvedMention">
    <w:name w:val="Unresolved Mention"/>
    <w:basedOn w:val="DefaultParagraphFont"/>
    <w:uiPriority w:val="99"/>
    <w:semiHidden/>
    <w:unhideWhenUsed/>
    <w:rsid w:val="000F5DD0"/>
    <w:rPr>
      <w:color w:val="605E5C"/>
      <w:shd w:val="clear" w:color="auto" w:fill="E1DFDD"/>
    </w:rPr>
  </w:style>
  <w:style w:type="paragraph" w:styleId="Header">
    <w:name w:val="header"/>
    <w:basedOn w:val="Normal"/>
    <w:link w:val="HeaderChar"/>
    <w:uiPriority w:val="99"/>
    <w:unhideWhenUsed/>
    <w:rsid w:val="000F5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DD0"/>
  </w:style>
  <w:style w:type="paragraph" w:styleId="Footer">
    <w:name w:val="footer"/>
    <w:basedOn w:val="Normal"/>
    <w:link w:val="FooterChar"/>
    <w:uiPriority w:val="99"/>
    <w:unhideWhenUsed/>
    <w:rsid w:val="000F5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6-021-03243-6" TargetMode="External"/><Relationship Id="rId3" Type="http://schemas.openxmlformats.org/officeDocument/2006/relationships/webSettings" Target="webSettings.xml"/><Relationship Id="rId7" Type="http://schemas.openxmlformats.org/officeDocument/2006/relationships/hyperlink" Target="https://link.springer.com/article/10.1186/s13073-021-00829-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genomics-and-health/counseling-testing/genetic-testing.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12</cp:revision>
  <dcterms:created xsi:type="dcterms:W3CDTF">2026-03-03T00:19:00Z</dcterms:created>
  <dcterms:modified xsi:type="dcterms:W3CDTF">2026-03-03T00:42:00Z</dcterms:modified>
</cp:coreProperties>
</file>