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92F93" w14:textId="77777777" w:rsidR="004B228D" w:rsidRDefault="004B228D" w:rsidP="000E3998">
      <w:pPr>
        <w:spacing w:line="480" w:lineRule="auto"/>
        <w:ind w:right="1440"/>
        <w:rPr>
          <w:rFonts w:ascii="Times New Roman" w:hAnsi="Times New Roman" w:cs="Times New Roman"/>
          <w:b/>
          <w:bCs/>
          <w:sz w:val="24"/>
          <w:szCs w:val="24"/>
        </w:rPr>
      </w:pPr>
    </w:p>
    <w:p w14:paraId="7872E985" w14:textId="77777777" w:rsidR="004B228D" w:rsidRDefault="004B228D" w:rsidP="00E16062">
      <w:pPr>
        <w:spacing w:line="480" w:lineRule="auto"/>
        <w:ind w:left="1440" w:right="1440"/>
        <w:jc w:val="center"/>
        <w:rPr>
          <w:rFonts w:ascii="Times New Roman" w:hAnsi="Times New Roman" w:cs="Times New Roman"/>
          <w:b/>
          <w:bCs/>
          <w:sz w:val="24"/>
          <w:szCs w:val="24"/>
        </w:rPr>
      </w:pPr>
    </w:p>
    <w:p w14:paraId="3F35BC74" w14:textId="5D624F44" w:rsidR="00994A91" w:rsidRDefault="00522698" w:rsidP="00E16062">
      <w:pPr>
        <w:spacing w:line="480" w:lineRule="auto"/>
        <w:ind w:left="1440" w:right="1440"/>
        <w:jc w:val="center"/>
        <w:rPr>
          <w:rFonts w:ascii="Times New Roman" w:hAnsi="Times New Roman" w:cs="Times New Roman"/>
          <w:b/>
          <w:bCs/>
          <w:sz w:val="24"/>
          <w:szCs w:val="24"/>
        </w:rPr>
      </w:pPr>
      <w:r>
        <w:rPr>
          <w:rFonts w:ascii="Times New Roman" w:hAnsi="Times New Roman" w:cs="Times New Roman"/>
          <w:b/>
          <w:bCs/>
          <w:sz w:val="24"/>
          <w:szCs w:val="24"/>
        </w:rPr>
        <w:t>“</w:t>
      </w:r>
      <w:r w:rsidR="008B7D67" w:rsidRPr="000E3998">
        <w:rPr>
          <w:rFonts w:ascii="Times New Roman" w:hAnsi="Times New Roman" w:cs="Times New Roman"/>
          <w:b/>
          <w:bCs/>
          <w:sz w:val="24"/>
          <w:szCs w:val="24"/>
        </w:rPr>
        <w:t xml:space="preserve">An autopsied case of a 10-month-old baby with hepatosplenomegaly, high fever and a necrotizing </w:t>
      </w:r>
      <w:r w:rsidR="004B228D" w:rsidRPr="000E3998">
        <w:rPr>
          <w:rFonts w:ascii="Times New Roman" w:hAnsi="Times New Roman" w:cs="Times New Roman"/>
          <w:b/>
          <w:bCs/>
          <w:sz w:val="24"/>
          <w:szCs w:val="24"/>
        </w:rPr>
        <w:t>encephalopathy.</w:t>
      </w:r>
      <w:r>
        <w:rPr>
          <w:rFonts w:ascii="Times New Roman" w:hAnsi="Times New Roman" w:cs="Times New Roman"/>
          <w:b/>
          <w:bCs/>
          <w:sz w:val="24"/>
          <w:szCs w:val="24"/>
        </w:rPr>
        <w:t>”</w:t>
      </w:r>
    </w:p>
    <w:p w14:paraId="379C7D9D" w14:textId="647F6810" w:rsidR="005D03AB" w:rsidRPr="00245D4E" w:rsidRDefault="00245D4E" w:rsidP="00E16062">
      <w:pPr>
        <w:spacing w:line="480" w:lineRule="auto"/>
        <w:ind w:left="1440" w:right="1440"/>
        <w:jc w:val="center"/>
        <w:rPr>
          <w:rFonts w:ascii="Times New Roman" w:hAnsi="Times New Roman" w:cs="Times New Roman"/>
          <w:sz w:val="24"/>
          <w:szCs w:val="24"/>
        </w:rPr>
      </w:pPr>
      <w:r w:rsidRPr="00245D4E">
        <w:rPr>
          <w:rFonts w:ascii="Times New Roman" w:hAnsi="Times New Roman" w:cs="Times New Roman"/>
          <w:sz w:val="24"/>
          <w:szCs w:val="24"/>
        </w:rPr>
        <w:t>Nobutaka Arai</w:t>
      </w:r>
      <w:r w:rsidR="006272B0">
        <w:rPr>
          <w:rFonts w:ascii="Times New Roman" w:hAnsi="Times New Roman" w:cs="Times New Roman"/>
          <w:sz w:val="24"/>
          <w:szCs w:val="24"/>
        </w:rPr>
        <w:t>, Tatsuya Takahashi, and Yoshiaki Inayama</w:t>
      </w:r>
    </w:p>
    <w:p w14:paraId="540555B1" w14:textId="77777777" w:rsidR="00134059" w:rsidRDefault="000E3998" w:rsidP="000D42C5">
      <w:pPr>
        <w:spacing w:line="480" w:lineRule="auto"/>
        <w:ind w:left="1440" w:right="1440"/>
        <w:jc w:val="center"/>
        <w:rPr>
          <w:rFonts w:ascii="Times New Roman" w:hAnsi="Times New Roman" w:cs="Times New Roman"/>
          <w:sz w:val="24"/>
          <w:szCs w:val="24"/>
        </w:rPr>
      </w:pPr>
      <w:r w:rsidRPr="005D03AB">
        <w:rPr>
          <w:rFonts w:ascii="Times New Roman" w:hAnsi="Times New Roman" w:cs="Times New Roman"/>
          <w:b/>
          <w:bCs/>
          <w:sz w:val="24"/>
          <w:szCs w:val="24"/>
        </w:rPr>
        <w:t>Author Note</w:t>
      </w:r>
      <w:r w:rsidRPr="000E3998">
        <w:rPr>
          <w:rFonts w:ascii="Times New Roman" w:hAnsi="Times New Roman" w:cs="Times New Roman"/>
          <w:sz w:val="24"/>
          <w:szCs w:val="24"/>
        </w:rPr>
        <w:br/>
        <w:t xml:space="preserve">Nobutaka Arai </w:t>
      </w:r>
      <w:r w:rsidR="000D42C5">
        <w:rPr>
          <w:rFonts w:ascii="Times New Roman" w:hAnsi="Times New Roman" w:cs="Times New Roman"/>
          <w:sz w:val="24"/>
          <w:szCs w:val="24"/>
        </w:rPr>
        <w:t>-Department of Clinical Neuropathology, Tokyo Metropolitan Institute for Neuroscience, Tokyo, Japan.</w:t>
      </w:r>
    </w:p>
    <w:p w14:paraId="50BA18FB" w14:textId="77777777" w:rsidR="00134059" w:rsidRDefault="000E3998" w:rsidP="000D42C5">
      <w:pPr>
        <w:spacing w:line="480" w:lineRule="auto"/>
        <w:ind w:left="1440" w:right="1440"/>
        <w:jc w:val="center"/>
        <w:rPr>
          <w:rFonts w:ascii="Times New Roman" w:hAnsi="Times New Roman" w:cs="Times New Roman"/>
          <w:sz w:val="24"/>
          <w:szCs w:val="24"/>
        </w:rPr>
      </w:pPr>
      <w:r w:rsidRPr="000E3998">
        <w:rPr>
          <w:rFonts w:ascii="Times New Roman" w:hAnsi="Times New Roman" w:cs="Times New Roman"/>
          <w:sz w:val="24"/>
          <w:szCs w:val="24"/>
        </w:rPr>
        <w:t xml:space="preserve">Tatsuya Takahashi </w:t>
      </w:r>
      <w:r w:rsidR="000D42C5">
        <w:rPr>
          <w:rFonts w:ascii="Times New Roman" w:hAnsi="Times New Roman" w:cs="Times New Roman"/>
          <w:sz w:val="24"/>
          <w:szCs w:val="24"/>
        </w:rPr>
        <w:t xml:space="preserve">- </w:t>
      </w:r>
      <w:r w:rsidRPr="000E3998">
        <w:rPr>
          <w:rFonts w:ascii="Times New Roman" w:hAnsi="Times New Roman" w:cs="Times New Roman"/>
          <w:sz w:val="24"/>
          <w:szCs w:val="24"/>
        </w:rPr>
        <w:t>Department of Clinical Neuropathology, Tokyo Metropolitan Institute for Neuroscience, Tokyo, Japan.</w:t>
      </w:r>
      <w:r w:rsidR="00134059">
        <w:rPr>
          <w:rFonts w:ascii="Times New Roman" w:hAnsi="Times New Roman" w:cs="Times New Roman"/>
          <w:sz w:val="24"/>
          <w:szCs w:val="24"/>
        </w:rPr>
        <w:t xml:space="preserve"> </w:t>
      </w:r>
    </w:p>
    <w:p w14:paraId="1810CDFF" w14:textId="7E60556C" w:rsidR="004B228D" w:rsidRPr="008B28FB" w:rsidRDefault="000E3998" w:rsidP="000D42C5">
      <w:pPr>
        <w:spacing w:line="480" w:lineRule="auto"/>
        <w:ind w:left="1440" w:right="1440"/>
        <w:jc w:val="center"/>
        <w:rPr>
          <w:rFonts w:ascii="Times New Roman" w:hAnsi="Times New Roman" w:cs="Times New Roman"/>
          <w:sz w:val="24"/>
          <w:szCs w:val="24"/>
        </w:rPr>
      </w:pPr>
      <w:r w:rsidRPr="000E3998">
        <w:rPr>
          <w:rFonts w:ascii="Times New Roman" w:hAnsi="Times New Roman" w:cs="Times New Roman"/>
          <w:sz w:val="24"/>
          <w:szCs w:val="24"/>
        </w:rPr>
        <w:t xml:space="preserve">Yoshiaki Inayama </w:t>
      </w:r>
      <w:r w:rsidR="00134059">
        <w:rPr>
          <w:rFonts w:ascii="Times New Roman" w:hAnsi="Times New Roman" w:cs="Times New Roman"/>
          <w:sz w:val="24"/>
          <w:szCs w:val="24"/>
        </w:rPr>
        <w:t xml:space="preserve">- </w:t>
      </w:r>
      <w:r w:rsidRPr="000E3998">
        <w:rPr>
          <w:rFonts w:ascii="Times New Roman" w:hAnsi="Times New Roman" w:cs="Times New Roman"/>
          <w:sz w:val="24"/>
          <w:szCs w:val="24"/>
        </w:rPr>
        <w:t>Department of Pathology and Laboratory Medicine, Yokohama City University, Yokohama, Japan.</w:t>
      </w:r>
      <w:r w:rsidRPr="000E3998">
        <w:rPr>
          <w:rFonts w:ascii="Times New Roman" w:hAnsi="Times New Roman" w:cs="Times New Roman"/>
          <w:sz w:val="24"/>
          <w:szCs w:val="24"/>
        </w:rPr>
        <w:br/>
        <w:t>No conflicts of interest are declared.</w:t>
      </w:r>
    </w:p>
    <w:p w14:paraId="0B8B77A6" w14:textId="5F652DA9" w:rsidR="00994A91" w:rsidRPr="008B28FB" w:rsidRDefault="008B28FB" w:rsidP="00E16062">
      <w:pPr>
        <w:spacing w:line="480" w:lineRule="auto"/>
        <w:ind w:left="1440" w:right="1440"/>
        <w:jc w:val="center"/>
        <w:rPr>
          <w:rFonts w:ascii="Times New Roman" w:hAnsi="Times New Roman" w:cs="Times New Roman"/>
          <w:sz w:val="24"/>
          <w:szCs w:val="24"/>
        </w:rPr>
      </w:pPr>
      <w:r>
        <w:rPr>
          <w:rFonts w:ascii="Times New Roman" w:hAnsi="Times New Roman" w:cs="Times New Roman"/>
          <w:sz w:val="24"/>
          <w:szCs w:val="24"/>
        </w:rPr>
        <w:t>Annette Bazan</w:t>
      </w:r>
    </w:p>
    <w:p w14:paraId="0079E184" w14:textId="377147F3" w:rsidR="00994A91" w:rsidRPr="008B28FB" w:rsidRDefault="00B637BD" w:rsidP="00E16062">
      <w:pPr>
        <w:spacing w:line="480" w:lineRule="auto"/>
        <w:ind w:left="1440" w:right="1440"/>
        <w:jc w:val="center"/>
        <w:rPr>
          <w:rFonts w:ascii="Times New Roman" w:hAnsi="Times New Roman" w:cs="Times New Roman"/>
          <w:sz w:val="24"/>
          <w:szCs w:val="24"/>
        </w:rPr>
      </w:pPr>
      <w:r>
        <w:rPr>
          <w:rFonts w:ascii="Times New Roman" w:hAnsi="Times New Roman" w:cs="Times New Roman"/>
          <w:sz w:val="24"/>
          <w:szCs w:val="24"/>
        </w:rPr>
        <w:t>ITAI 4375 AI in Healthcare</w:t>
      </w:r>
    </w:p>
    <w:p w14:paraId="5ECD3FFF" w14:textId="27E58A6D" w:rsidR="00994A91" w:rsidRPr="008B28FB" w:rsidRDefault="00615B41" w:rsidP="00E16062">
      <w:pPr>
        <w:spacing w:line="480" w:lineRule="auto"/>
        <w:ind w:left="1440" w:right="1440"/>
        <w:jc w:val="center"/>
        <w:rPr>
          <w:rFonts w:ascii="Times New Roman" w:hAnsi="Times New Roman" w:cs="Times New Roman"/>
          <w:sz w:val="24"/>
          <w:szCs w:val="24"/>
        </w:rPr>
      </w:pPr>
      <w:r>
        <w:rPr>
          <w:rFonts w:ascii="Times New Roman" w:hAnsi="Times New Roman" w:cs="Times New Roman"/>
          <w:sz w:val="24"/>
          <w:szCs w:val="24"/>
        </w:rPr>
        <w:t>Dr. Ro</w:t>
      </w:r>
      <w:r w:rsidR="001B7384">
        <w:rPr>
          <w:rFonts w:ascii="Times New Roman" w:hAnsi="Times New Roman" w:cs="Times New Roman"/>
          <w:sz w:val="24"/>
          <w:szCs w:val="24"/>
        </w:rPr>
        <w:t>senstrauch</w:t>
      </w:r>
    </w:p>
    <w:p w14:paraId="031CF893" w14:textId="39464B73" w:rsidR="00994A91" w:rsidRPr="008B28FB" w:rsidRDefault="007110BA" w:rsidP="00E16062">
      <w:pPr>
        <w:spacing w:line="480" w:lineRule="auto"/>
        <w:ind w:left="1440" w:right="1440"/>
        <w:jc w:val="center"/>
        <w:rPr>
          <w:rFonts w:ascii="Times New Roman" w:hAnsi="Times New Roman" w:cs="Times New Roman"/>
          <w:sz w:val="24"/>
          <w:szCs w:val="24"/>
        </w:rPr>
      </w:pPr>
      <w:r>
        <w:rPr>
          <w:rFonts w:ascii="Times New Roman" w:hAnsi="Times New Roman" w:cs="Times New Roman"/>
          <w:sz w:val="24"/>
          <w:szCs w:val="24"/>
        </w:rPr>
        <w:t>March</w:t>
      </w:r>
      <w:r w:rsidRPr="008B28FB">
        <w:rPr>
          <w:rFonts w:ascii="Times New Roman" w:hAnsi="Times New Roman" w:cs="Times New Roman"/>
          <w:sz w:val="24"/>
          <w:szCs w:val="24"/>
        </w:rPr>
        <w:t xml:space="preserve"> 1</w:t>
      </w:r>
      <w:r>
        <w:rPr>
          <w:rFonts w:ascii="Times New Roman" w:hAnsi="Times New Roman" w:cs="Times New Roman"/>
          <w:sz w:val="24"/>
          <w:szCs w:val="24"/>
        </w:rPr>
        <w:t>7</w:t>
      </w:r>
      <w:r w:rsidRPr="008B28FB">
        <w:rPr>
          <w:rFonts w:ascii="Times New Roman" w:hAnsi="Times New Roman" w:cs="Times New Roman"/>
          <w:sz w:val="24"/>
          <w:szCs w:val="24"/>
        </w:rPr>
        <w:t>, 2026</w:t>
      </w:r>
    </w:p>
    <w:p w14:paraId="0978E3AA" w14:textId="77777777" w:rsidR="00994A91" w:rsidRPr="008B28FB" w:rsidRDefault="005C0B91" w:rsidP="00E16062">
      <w:pPr>
        <w:spacing w:line="480" w:lineRule="auto"/>
        <w:ind w:left="1440" w:right="1440"/>
        <w:rPr>
          <w:rFonts w:ascii="Times New Roman" w:hAnsi="Times New Roman" w:cs="Times New Roman"/>
          <w:sz w:val="24"/>
          <w:szCs w:val="24"/>
        </w:rPr>
      </w:pPr>
      <w:r w:rsidRPr="008B28FB">
        <w:rPr>
          <w:rFonts w:ascii="Times New Roman" w:hAnsi="Times New Roman" w:cs="Times New Roman"/>
          <w:sz w:val="24"/>
          <w:szCs w:val="24"/>
        </w:rPr>
        <w:br w:type="page"/>
      </w:r>
    </w:p>
    <w:p w14:paraId="38AF9888" w14:textId="13839A68" w:rsidR="00766656" w:rsidRPr="00766656" w:rsidRDefault="00766656" w:rsidP="00766656">
      <w:pPr>
        <w:spacing w:line="480" w:lineRule="auto"/>
        <w:ind w:right="1440" w:firstLine="720"/>
        <w:jc w:val="both"/>
        <w:rPr>
          <w:rFonts w:ascii="Times New Roman" w:hAnsi="Times New Roman" w:cs="Times New Roman"/>
          <w:sz w:val="24"/>
          <w:szCs w:val="24"/>
        </w:rPr>
      </w:pPr>
      <w:r w:rsidRPr="00766656">
        <w:rPr>
          <w:rFonts w:ascii="Times New Roman" w:hAnsi="Times New Roman" w:cs="Times New Roman"/>
          <w:sz w:val="24"/>
          <w:szCs w:val="24"/>
        </w:rPr>
        <w:lastRenderedPageBreak/>
        <w:t>This case study describes a 10-month-old infant</w:t>
      </w:r>
      <w:r w:rsidR="00224884">
        <w:rPr>
          <w:rFonts w:ascii="Times New Roman" w:hAnsi="Times New Roman" w:cs="Times New Roman"/>
          <w:sz w:val="24"/>
          <w:szCs w:val="24"/>
        </w:rPr>
        <w:t>,</w:t>
      </w:r>
      <w:r w:rsidRPr="00766656">
        <w:rPr>
          <w:rFonts w:ascii="Times New Roman" w:hAnsi="Times New Roman" w:cs="Times New Roman"/>
          <w:sz w:val="24"/>
          <w:szCs w:val="24"/>
        </w:rPr>
        <w:t xml:space="preserve"> who</w:t>
      </w:r>
      <w:r w:rsidR="00224884">
        <w:rPr>
          <w:rFonts w:ascii="Times New Roman" w:hAnsi="Times New Roman" w:cs="Times New Roman"/>
          <w:sz w:val="24"/>
          <w:szCs w:val="24"/>
        </w:rPr>
        <w:t xml:space="preserve"> has</w:t>
      </w:r>
      <w:r w:rsidRPr="00766656">
        <w:rPr>
          <w:rFonts w:ascii="Times New Roman" w:hAnsi="Times New Roman" w:cs="Times New Roman"/>
          <w:sz w:val="24"/>
          <w:szCs w:val="24"/>
        </w:rPr>
        <w:t xml:space="preserve"> </w:t>
      </w:r>
      <w:r w:rsidR="00224884" w:rsidRPr="00766656">
        <w:rPr>
          <w:rFonts w:ascii="Times New Roman" w:hAnsi="Times New Roman" w:cs="Times New Roman"/>
          <w:sz w:val="24"/>
          <w:szCs w:val="24"/>
        </w:rPr>
        <w:t>presented</w:t>
      </w:r>
      <w:r w:rsidRPr="00766656">
        <w:rPr>
          <w:rFonts w:ascii="Times New Roman" w:hAnsi="Times New Roman" w:cs="Times New Roman"/>
          <w:sz w:val="24"/>
          <w:szCs w:val="24"/>
        </w:rPr>
        <w:t xml:space="preserve"> </w:t>
      </w:r>
      <w:r w:rsidR="00224884">
        <w:rPr>
          <w:rFonts w:ascii="Times New Roman" w:hAnsi="Times New Roman" w:cs="Times New Roman"/>
          <w:sz w:val="24"/>
          <w:szCs w:val="24"/>
        </w:rPr>
        <w:t xml:space="preserve">with </w:t>
      </w:r>
      <w:r w:rsidRPr="00766656">
        <w:rPr>
          <w:rFonts w:ascii="Times New Roman" w:hAnsi="Times New Roman" w:cs="Times New Roman"/>
          <w:sz w:val="24"/>
          <w:szCs w:val="24"/>
        </w:rPr>
        <w:t>severe medical complications, including high fever, hepatosplenomegaly (enlarged liver and spleen), and neurological symptoms. The patient was initially diagnosed with erythrophagocytic syndrome, a form of hemophagocytic lymphohistiocytosis (HLH), which affects the immune system. Despite treatment, the infant’s condition worsened, leading to significant brain damage and ultimately death due to intracerebral hemorrhage (Arai, Takahashi, &amp; Inayama, 2006).</w:t>
      </w:r>
    </w:p>
    <w:p w14:paraId="437B616A" w14:textId="77777777" w:rsidR="00766656" w:rsidRPr="00766656" w:rsidRDefault="00766656" w:rsidP="00766656">
      <w:pPr>
        <w:spacing w:line="480" w:lineRule="auto"/>
        <w:ind w:right="1440" w:firstLine="720"/>
        <w:jc w:val="both"/>
        <w:rPr>
          <w:rFonts w:ascii="Times New Roman" w:hAnsi="Times New Roman" w:cs="Times New Roman"/>
          <w:sz w:val="24"/>
          <w:szCs w:val="24"/>
        </w:rPr>
      </w:pPr>
      <w:r w:rsidRPr="00766656">
        <w:rPr>
          <w:rFonts w:ascii="Times New Roman" w:hAnsi="Times New Roman" w:cs="Times New Roman"/>
          <w:sz w:val="24"/>
          <w:szCs w:val="24"/>
        </w:rPr>
        <w:t>The first major risk is immune system</w:t>
      </w:r>
      <w:r w:rsidRPr="00766656">
        <w:rPr>
          <w:rFonts w:ascii="Times New Roman" w:hAnsi="Times New Roman" w:cs="Times New Roman"/>
          <w:b/>
          <w:bCs/>
          <w:sz w:val="24"/>
          <w:szCs w:val="24"/>
        </w:rPr>
        <w:t xml:space="preserve"> </w:t>
      </w:r>
      <w:r w:rsidRPr="00766656">
        <w:rPr>
          <w:rFonts w:ascii="Times New Roman" w:hAnsi="Times New Roman" w:cs="Times New Roman"/>
          <w:sz w:val="24"/>
          <w:szCs w:val="24"/>
        </w:rPr>
        <w:t>dysregulation. In this condition, the immune system becomes overactive and begins attacking the body’s own healthy tissues. This is especially dangerous because it can lead to widespread inflammation and damage to multiple organs. If not treated promptly, this can result in organ failure, systemic inflammation, and ultimately death (Arai, Takahashi, &amp; Inayama, 2006).</w:t>
      </w:r>
    </w:p>
    <w:p w14:paraId="6F54E856" w14:textId="77777777" w:rsidR="00766656" w:rsidRPr="00766656" w:rsidRDefault="00766656" w:rsidP="00766656">
      <w:pPr>
        <w:spacing w:line="480" w:lineRule="auto"/>
        <w:ind w:right="1440" w:firstLine="720"/>
        <w:jc w:val="both"/>
        <w:rPr>
          <w:rFonts w:ascii="Times New Roman" w:hAnsi="Times New Roman" w:cs="Times New Roman"/>
          <w:sz w:val="24"/>
          <w:szCs w:val="24"/>
        </w:rPr>
      </w:pPr>
      <w:r w:rsidRPr="00766656">
        <w:rPr>
          <w:rFonts w:ascii="Times New Roman" w:hAnsi="Times New Roman" w:cs="Times New Roman"/>
          <w:sz w:val="24"/>
          <w:szCs w:val="24"/>
        </w:rPr>
        <w:t>Another significant risk is severe neurological damage. The patient developed necrotizing encephalopathy, which causes the destruction of brain tissue. This is critical because the brain controls essential functions such as movement, breathing, and cognition. If this condition is not addressed, it can lead to permanent brain damage, seizures, loss of motor function, and fatal complications, as seen in this case (Arai, Takahashi, &amp; Inayama, 2006).</w:t>
      </w:r>
    </w:p>
    <w:p w14:paraId="27621A5D" w14:textId="21A5525F" w:rsidR="00766656" w:rsidRPr="00766656" w:rsidRDefault="00766656" w:rsidP="00766656">
      <w:pPr>
        <w:spacing w:line="480" w:lineRule="auto"/>
        <w:ind w:right="1440" w:firstLine="720"/>
        <w:jc w:val="both"/>
        <w:rPr>
          <w:rFonts w:ascii="Times New Roman" w:hAnsi="Times New Roman" w:cs="Times New Roman"/>
          <w:sz w:val="24"/>
          <w:szCs w:val="24"/>
        </w:rPr>
      </w:pPr>
      <w:r w:rsidRPr="00766656">
        <w:rPr>
          <w:rFonts w:ascii="Times New Roman" w:hAnsi="Times New Roman" w:cs="Times New Roman"/>
          <w:sz w:val="24"/>
          <w:szCs w:val="24"/>
        </w:rPr>
        <w:lastRenderedPageBreak/>
        <w:t xml:space="preserve">A third major risk is blood cell depletion (cytopenia). The patient had </w:t>
      </w:r>
      <w:r w:rsidR="00803FE7">
        <w:rPr>
          <w:rFonts w:ascii="Times New Roman" w:hAnsi="Times New Roman" w:cs="Times New Roman"/>
          <w:sz w:val="24"/>
          <w:szCs w:val="24"/>
        </w:rPr>
        <w:t xml:space="preserve">very </w:t>
      </w:r>
      <w:r w:rsidR="0023365F">
        <w:rPr>
          <w:rFonts w:ascii="Times New Roman" w:hAnsi="Times New Roman" w:cs="Times New Roman"/>
          <w:sz w:val="24"/>
          <w:szCs w:val="24"/>
        </w:rPr>
        <w:t>reduced amounts</w:t>
      </w:r>
      <w:r w:rsidR="002F2078">
        <w:rPr>
          <w:rFonts w:ascii="Times New Roman" w:hAnsi="Times New Roman" w:cs="Times New Roman"/>
          <w:sz w:val="24"/>
          <w:szCs w:val="24"/>
        </w:rPr>
        <w:t xml:space="preserve"> </w:t>
      </w:r>
      <w:r w:rsidRPr="00766656">
        <w:rPr>
          <w:rFonts w:ascii="Times New Roman" w:hAnsi="Times New Roman" w:cs="Times New Roman"/>
          <w:sz w:val="24"/>
          <w:szCs w:val="24"/>
        </w:rPr>
        <w:t xml:space="preserve">of </w:t>
      </w:r>
      <w:r w:rsidR="007248B3">
        <w:rPr>
          <w:rFonts w:ascii="Times New Roman" w:hAnsi="Times New Roman" w:cs="Times New Roman"/>
          <w:sz w:val="24"/>
          <w:szCs w:val="24"/>
        </w:rPr>
        <w:t xml:space="preserve">red </w:t>
      </w:r>
      <w:r w:rsidRPr="00766656">
        <w:rPr>
          <w:rFonts w:ascii="Times New Roman" w:hAnsi="Times New Roman" w:cs="Times New Roman"/>
          <w:sz w:val="24"/>
          <w:szCs w:val="24"/>
        </w:rPr>
        <w:t xml:space="preserve">blood cells and </w:t>
      </w:r>
      <w:r w:rsidR="007248B3">
        <w:rPr>
          <w:rFonts w:ascii="Times New Roman" w:hAnsi="Times New Roman" w:cs="Times New Roman"/>
          <w:sz w:val="24"/>
          <w:szCs w:val="24"/>
        </w:rPr>
        <w:t>white</w:t>
      </w:r>
      <w:r w:rsidRPr="00766656">
        <w:rPr>
          <w:rFonts w:ascii="Times New Roman" w:hAnsi="Times New Roman" w:cs="Times New Roman"/>
          <w:sz w:val="24"/>
          <w:szCs w:val="24"/>
        </w:rPr>
        <w:t xml:space="preserve"> blood cells, </w:t>
      </w:r>
      <w:r w:rsidR="0023365F">
        <w:rPr>
          <w:rFonts w:ascii="Times New Roman" w:hAnsi="Times New Roman" w:cs="Times New Roman"/>
          <w:sz w:val="24"/>
          <w:szCs w:val="24"/>
        </w:rPr>
        <w:t xml:space="preserve">vital </w:t>
      </w:r>
      <w:r w:rsidRPr="00766656">
        <w:rPr>
          <w:rFonts w:ascii="Times New Roman" w:hAnsi="Times New Roman" w:cs="Times New Roman"/>
          <w:sz w:val="24"/>
          <w:szCs w:val="24"/>
        </w:rPr>
        <w:t>for fighting infections and transporting oxygen throughout the body. This is important because low white blood cell counts increase susceptibility to severe infections, while low red blood cell counts can lead to anemia and reduced oxygen delivery to vital organs. If left untreated, this can result in life-threatening infections, extreme fatigue, organ dysfunction, and increased mortality risk (Arai, Takahashi, &amp; Inayama, 2006).</w:t>
      </w:r>
    </w:p>
    <w:p w14:paraId="799A23A5" w14:textId="1B817035" w:rsidR="00766656" w:rsidRPr="00766656" w:rsidRDefault="00766656" w:rsidP="00766656">
      <w:pPr>
        <w:spacing w:line="480" w:lineRule="auto"/>
        <w:ind w:right="1440" w:firstLine="720"/>
        <w:jc w:val="both"/>
        <w:rPr>
          <w:rFonts w:ascii="Times New Roman" w:hAnsi="Times New Roman" w:cs="Times New Roman"/>
          <w:sz w:val="24"/>
          <w:szCs w:val="24"/>
        </w:rPr>
      </w:pPr>
      <w:r w:rsidRPr="00766656">
        <w:rPr>
          <w:rFonts w:ascii="Times New Roman" w:hAnsi="Times New Roman" w:cs="Times New Roman"/>
          <w:sz w:val="24"/>
          <w:szCs w:val="24"/>
        </w:rPr>
        <w:t xml:space="preserve">The patient’s </w:t>
      </w:r>
      <w:r w:rsidR="00145E62">
        <w:rPr>
          <w:rFonts w:ascii="Times New Roman" w:hAnsi="Times New Roman" w:cs="Times New Roman"/>
          <w:sz w:val="24"/>
          <w:szCs w:val="24"/>
        </w:rPr>
        <w:t xml:space="preserve">very </w:t>
      </w:r>
      <w:r w:rsidRPr="00766656">
        <w:rPr>
          <w:rFonts w:ascii="Times New Roman" w:hAnsi="Times New Roman" w:cs="Times New Roman"/>
          <w:sz w:val="24"/>
          <w:szCs w:val="24"/>
        </w:rPr>
        <w:t>young age also increases the severity of these risks. As a 10-month-old infant, the patient had an underdeveloped immune system, making it more difficult to fight infections and respond to disease effectively. Additionally, infants are more vulnerable to rapid disease progression, meaning that conditions like hemophagocytic lymphohistiocytosis can worsen quickly and become life-threatening in a short period of time (Arai, Takahashi, &amp; Inayama, 2006). The treatments used, such as immunosuppressive medications, may also increase the risk of infections by weakening the immune system further.</w:t>
      </w:r>
    </w:p>
    <w:p w14:paraId="2956642F" w14:textId="23C8770C" w:rsidR="00766656" w:rsidRPr="00766656" w:rsidRDefault="00766656" w:rsidP="00766656">
      <w:pPr>
        <w:spacing w:line="480" w:lineRule="auto"/>
        <w:ind w:right="1440" w:firstLine="720"/>
        <w:jc w:val="both"/>
        <w:rPr>
          <w:rFonts w:ascii="Times New Roman" w:hAnsi="Times New Roman" w:cs="Times New Roman"/>
          <w:sz w:val="24"/>
          <w:szCs w:val="24"/>
        </w:rPr>
      </w:pPr>
      <w:r w:rsidRPr="00766656">
        <w:rPr>
          <w:rFonts w:ascii="Times New Roman" w:hAnsi="Times New Roman" w:cs="Times New Roman"/>
          <w:sz w:val="24"/>
          <w:szCs w:val="24"/>
        </w:rPr>
        <w:t xml:space="preserve">These risks could be better managed or reduced </w:t>
      </w:r>
      <w:r w:rsidR="000D47A7" w:rsidRPr="00766656">
        <w:rPr>
          <w:rFonts w:ascii="Times New Roman" w:hAnsi="Times New Roman" w:cs="Times New Roman"/>
          <w:sz w:val="24"/>
          <w:szCs w:val="24"/>
        </w:rPr>
        <w:t>using</w:t>
      </w:r>
      <w:r w:rsidRPr="00766656">
        <w:rPr>
          <w:rFonts w:ascii="Times New Roman" w:hAnsi="Times New Roman" w:cs="Times New Roman"/>
          <w:sz w:val="24"/>
          <w:szCs w:val="24"/>
        </w:rPr>
        <w:t xml:space="preserve"> artificial intelligence (AI) technologies. AI-powered diagnostic systems can analyze patient data, such as lab results and symptoms, to detect early warning signs of conditions like hemophagocytic lymphohistiocytosis more quickly than traditional methods. </w:t>
      </w:r>
      <w:r w:rsidR="004B4888">
        <w:rPr>
          <w:rFonts w:ascii="Times New Roman" w:hAnsi="Times New Roman" w:cs="Times New Roman"/>
          <w:sz w:val="24"/>
          <w:szCs w:val="24"/>
        </w:rPr>
        <w:t xml:space="preserve">Which I’ve written about in another paper using </w:t>
      </w:r>
      <w:r w:rsidR="00F66246">
        <w:rPr>
          <w:rFonts w:ascii="Times New Roman" w:hAnsi="Times New Roman" w:cs="Times New Roman"/>
          <w:sz w:val="24"/>
          <w:szCs w:val="24"/>
        </w:rPr>
        <w:t>blood</w:t>
      </w:r>
      <w:r w:rsidR="004B4888">
        <w:rPr>
          <w:rFonts w:ascii="Times New Roman" w:hAnsi="Times New Roman" w:cs="Times New Roman"/>
          <w:sz w:val="24"/>
          <w:szCs w:val="24"/>
        </w:rPr>
        <w:t xml:space="preserve"> to help identify cancers or other illnesses. </w:t>
      </w:r>
      <w:r w:rsidRPr="00766656">
        <w:rPr>
          <w:rFonts w:ascii="Times New Roman" w:hAnsi="Times New Roman" w:cs="Times New Roman"/>
          <w:sz w:val="24"/>
          <w:szCs w:val="24"/>
        </w:rPr>
        <w:t xml:space="preserve">Additionally, machine learning models can predict disease </w:t>
      </w:r>
      <w:r w:rsidRPr="00766656">
        <w:rPr>
          <w:rFonts w:ascii="Times New Roman" w:hAnsi="Times New Roman" w:cs="Times New Roman"/>
          <w:sz w:val="24"/>
          <w:szCs w:val="24"/>
        </w:rPr>
        <w:lastRenderedPageBreak/>
        <w:t xml:space="preserve">progression and help clinicians make more informed treatment decisions. AI can also assist in analyzing medical imaging, allowing for earlier detection of brain abnormalities and preventing severe neurological damage. </w:t>
      </w:r>
      <w:r w:rsidR="002F553C">
        <w:rPr>
          <w:rFonts w:ascii="Times New Roman" w:hAnsi="Times New Roman" w:cs="Times New Roman"/>
          <w:sz w:val="24"/>
          <w:szCs w:val="24"/>
        </w:rPr>
        <w:t xml:space="preserve">Early identification and intervention are </w:t>
      </w:r>
      <w:r w:rsidR="00D76FE5">
        <w:rPr>
          <w:rFonts w:ascii="Times New Roman" w:hAnsi="Times New Roman" w:cs="Times New Roman"/>
          <w:sz w:val="24"/>
          <w:szCs w:val="24"/>
        </w:rPr>
        <w:t xml:space="preserve">essential and important in HLH cases due to their rapid progression and high </w:t>
      </w:r>
      <w:r w:rsidR="00D76FE5" w:rsidRPr="00E25FCE">
        <w:rPr>
          <w:rFonts w:ascii="Times New Roman" w:hAnsi="Times New Roman" w:cs="Times New Roman"/>
          <w:sz w:val="24"/>
          <w:szCs w:val="24"/>
        </w:rPr>
        <w:t>mortality rate (Niizato</w:t>
      </w:r>
      <w:r w:rsidR="0015183F" w:rsidRPr="00E25FCE">
        <w:rPr>
          <w:rFonts w:ascii="Times New Roman" w:hAnsi="Times New Roman" w:cs="Times New Roman"/>
          <w:sz w:val="24"/>
          <w:szCs w:val="24"/>
        </w:rPr>
        <w:t>, Isoda</w:t>
      </w:r>
      <w:r w:rsidR="004B47D3" w:rsidRPr="00E25FCE">
        <w:rPr>
          <w:rFonts w:ascii="Times New Roman" w:hAnsi="Times New Roman" w:cs="Times New Roman"/>
          <w:sz w:val="24"/>
          <w:szCs w:val="24"/>
        </w:rPr>
        <w:t>,</w:t>
      </w:r>
      <w:r w:rsidR="0015183F" w:rsidRPr="00E25FCE">
        <w:rPr>
          <w:rFonts w:ascii="Times New Roman" w:hAnsi="Times New Roman" w:cs="Times New Roman"/>
          <w:sz w:val="24"/>
          <w:szCs w:val="24"/>
        </w:rPr>
        <w:t xml:space="preserve"> Mitsuiki, Kaneko</w:t>
      </w:r>
      <w:r w:rsidR="00396536">
        <w:rPr>
          <w:rFonts w:ascii="Times New Roman" w:hAnsi="Times New Roman" w:cs="Times New Roman"/>
          <w:sz w:val="24"/>
          <w:szCs w:val="24"/>
        </w:rPr>
        <w:t xml:space="preserve"> et al.,</w:t>
      </w:r>
      <w:r w:rsidR="004B47D3" w:rsidRPr="00E25FCE">
        <w:rPr>
          <w:rFonts w:ascii="Times New Roman" w:hAnsi="Times New Roman" w:cs="Times New Roman"/>
          <w:sz w:val="24"/>
          <w:szCs w:val="24"/>
        </w:rPr>
        <w:t xml:space="preserve"> 2022</w:t>
      </w:r>
      <w:r w:rsidR="00D76FE5" w:rsidRPr="00E25FCE">
        <w:rPr>
          <w:rFonts w:ascii="Times New Roman" w:hAnsi="Times New Roman" w:cs="Times New Roman"/>
          <w:sz w:val="24"/>
          <w:szCs w:val="24"/>
        </w:rPr>
        <w:t>).</w:t>
      </w:r>
      <w:r w:rsidR="00F66246" w:rsidRPr="00E25FCE">
        <w:rPr>
          <w:rFonts w:ascii="Times New Roman" w:hAnsi="Times New Roman" w:cs="Times New Roman"/>
          <w:sz w:val="24"/>
          <w:szCs w:val="24"/>
        </w:rPr>
        <w:t xml:space="preserve"> </w:t>
      </w:r>
      <w:r w:rsidR="00E25FCE" w:rsidRPr="00E25FCE">
        <w:rPr>
          <w:rFonts w:ascii="Times New Roman" w:hAnsi="Times New Roman" w:cs="Times New Roman"/>
          <w:sz w:val="24"/>
          <w:szCs w:val="24"/>
        </w:rPr>
        <w:t xml:space="preserve">In the case described by Niizato, Isoda, Mitsuiki, Kaneko, Tomomasa, Kamiya, Takagi, Imai, Kajiwara, Shimizu, Morio, </w:t>
      </w:r>
      <w:r w:rsidR="00803FE7">
        <w:rPr>
          <w:rFonts w:ascii="Times New Roman" w:hAnsi="Times New Roman" w:cs="Times New Roman"/>
          <w:sz w:val="24"/>
          <w:szCs w:val="24"/>
        </w:rPr>
        <w:t>&amp;</w:t>
      </w:r>
      <w:r w:rsidR="00E25FCE" w:rsidRPr="00E25FCE">
        <w:rPr>
          <w:rFonts w:ascii="Times New Roman" w:hAnsi="Times New Roman" w:cs="Times New Roman"/>
          <w:sz w:val="24"/>
          <w:szCs w:val="24"/>
        </w:rPr>
        <w:t xml:space="preserve"> Kanegane (2022), the infant was diagnosed with familial hemophagocytic lymphohistiocytosis and received targeted treatment using ruxolitinib, which helped control the excessive immune response and improve clinical outcomes. In contrast, the case presented by Arai, Takahashi, and Inayama (2006) showed a more severe progression, where standard treatments such as steroids and immunotherapy were not effective, ultimately leading to fatal complications. This comparison highlights how advances in treatment and earlier diagnosis can significantly impact survival rates in HLH patients.</w:t>
      </w:r>
      <w:r w:rsidR="00396536">
        <w:rPr>
          <w:rFonts w:ascii="Times New Roman" w:hAnsi="Times New Roman" w:cs="Times New Roman"/>
          <w:sz w:val="24"/>
          <w:szCs w:val="24"/>
        </w:rPr>
        <w:t xml:space="preserve"> D</w:t>
      </w:r>
      <w:r w:rsidR="00396536" w:rsidRPr="00396536">
        <w:rPr>
          <w:rFonts w:ascii="Times New Roman" w:hAnsi="Times New Roman" w:cs="Times New Roman"/>
          <w:sz w:val="24"/>
          <w:szCs w:val="24"/>
        </w:rPr>
        <w:t>emonstrat</w:t>
      </w:r>
      <w:r w:rsidR="00396536">
        <w:rPr>
          <w:rFonts w:ascii="Times New Roman" w:hAnsi="Times New Roman" w:cs="Times New Roman"/>
          <w:sz w:val="24"/>
          <w:szCs w:val="24"/>
        </w:rPr>
        <w:t>ing</w:t>
      </w:r>
      <w:r w:rsidR="00396536" w:rsidRPr="00396536">
        <w:rPr>
          <w:rFonts w:ascii="Times New Roman" w:hAnsi="Times New Roman" w:cs="Times New Roman"/>
          <w:sz w:val="24"/>
          <w:szCs w:val="24"/>
        </w:rPr>
        <w:t xml:space="preserve"> the importance of integrating modern diagnostic tools and therapies, as delayed or ineffective treatment can rapidly lead to fatal outcomes in infants with HLH.</w:t>
      </w:r>
      <w:r w:rsidR="00E25FCE" w:rsidRPr="00E25FCE">
        <w:rPr>
          <w:rFonts w:ascii="Times New Roman" w:hAnsi="Times New Roman" w:cs="Times New Roman"/>
          <w:sz w:val="24"/>
          <w:szCs w:val="24"/>
        </w:rPr>
        <w:t xml:space="preserve"> AI technologies could further enhance this process by identifying patterns in patient data earlier and recommending more effective, personalized treatment strategies.</w:t>
      </w:r>
      <w:r w:rsidR="00E25FCE">
        <w:rPr>
          <w:rFonts w:ascii="Times New Roman" w:hAnsi="Times New Roman" w:cs="Times New Roman"/>
          <w:sz w:val="24"/>
          <w:szCs w:val="24"/>
        </w:rPr>
        <w:t xml:space="preserve"> It also shows the imp</w:t>
      </w:r>
      <w:r w:rsidR="00010EEF">
        <w:rPr>
          <w:rFonts w:ascii="Times New Roman" w:hAnsi="Times New Roman" w:cs="Times New Roman"/>
          <w:sz w:val="24"/>
          <w:szCs w:val="24"/>
        </w:rPr>
        <w:t>rovements made in the medical field since the cases are 14 years apart.</w:t>
      </w:r>
    </w:p>
    <w:p w14:paraId="724E20A2" w14:textId="5D15EE42" w:rsidR="00766656" w:rsidRPr="00766656" w:rsidRDefault="00766656" w:rsidP="00766656">
      <w:pPr>
        <w:spacing w:line="480" w:lineRule="auto"/>
        <w:ind w:right="1440" w:firstLine="720"/>
        <w:jc w:val="both"/>
        <w:rPr>
          <w:rFonts w:ascii="Times New Roman" w:hAnsi="Times New Roman" w:cs="Times New Roman"/>
          <w:sz w:val="24"/>
          <w:szCs w:val="24"/>
        </w:rPr>
      </w:pPr>
      <w:r w:rsidRPr="00766656">
        <w:rPr>
          <w:rFonts w:ascii="Times New Roman" w:hAnsi="Times New Roman" w:cs="Times New Roman"/>
          <w:sz w:val="24"/>
          <w:szCs w:val="24"/>
        </w:rPr>
        <w:t xml:space="preserve">In conclusion, identifying potential health risks is a critical part of healthcare because it allows for early intervention and better patient outcomes. </w:t>
      </w:r>
      <w:r w:rsidRPr="00766656">
        <w:rPr>
          <w:rFonts w:ascii="Times New Roman" w:hAnsi="Times New Roman" w:cs="Times New Roman"/>
          <w:sz w:val="24"/>
          <w:szCs w:val="24"/>
        </w:rPr>
        <w:lastRenderedPageBreak/>
        <w:t>Recognizing serious risks such as immune dysfunction, neurological damage, and blood abnormalities can help prevent complications and improve survival rates. Furthermore, integrating AI into healthcare can enhance the ability to detect and manage these risks more effectively. Overall, risk identification plays a</w:t>
      </w:r>
      <w:r w:rsidR="00A55DDC">
        <w:rPr>
          <w:rFonts w:ascii="Times New Roman" w:hAnsi="Times New Roman" w:cs="Times New Roman"/>
          <w:sz w:val="24"/>
          <w:szCs w:val="24"/>
        </w:rPr>
        <w:t xml:space="preserve">n important </w:t>
      </w:r>
      <w:r w:rsidR="00495409">
        <w:rPr>
          <w:rFonts w:ascii="Times New Roman" w:hAnsi="Times New Roman" w:cs="Times New Roman"/>
          <w:sz w:val="24"/>
          <w:szCs w:val="24"/>
        </w:rPr>
        <w:t>step</w:t>
      </w:r>
      <w:r w:rsidRPr="00766656">
        <w:rPr>
          <w:rFonts w:ascii="Times New Roman" w:hAnsi="Times New Roman" w:cs="Times New Roman"/>
          <w:sz w:val="24"/>
          <w:szCs w:val="24"/>
        </w:rPr>
        <w:t xml:space="preserve"> </w:t>
      </w:r>
      <w:r w:rsidR="00495409">
        <w:rPr>
          <w:rFonts w:ascii="Times New Roman" w:hAnsi="Times New Roman" w:cs="Times New Roman"/>
          <w:sz w:val="24"/>
          <w:szCs w:val="24"/>
        </w:rPr>
        <w:t>to</w:t>
      </w:r>
      <w:r w:rsidRPr="00766656">
        <w:rPr>
          <w:rFonts w:ascii="Times New Roman" w:hAnsi="Times New Roman" w:cs="Times New Roman"/>
          <w:sz w:val="24"/>
          <w:szCs w:val="24"/>
        </w:rPr>
        <w:t xml:space="preserve"> ensur</w:t>
      </w:r>
      <w:r w:rsidR="00495409">
        <w:rPr>
          <w:rFonts w:ascii="Times New Roman" w:hAnsi="Times New Roman" w:cs="Times New Roman"/>
          <w:sz w:val="24"/>
          <w:szCs w:val="24"/>
        </w:rPr>
        <w:t>e</w:t>
      </w:r>
      <w:r w:rsidRPr="00766656">
        <w:rPr>
          <w:rFonts w:ascii="Times New Roman" w:hAnsi="Times New Roman" w:cs="Times New Roman"/>
          <w:sz w:val="24"/>
          <w:szCs w:val="24"/>
        </w:rPr>
        <w:t xml:space="preserve"> patient safety</w:t>
      </w:r>
      <w:r w:rsidR="007B5EBF">
        <w:rPr>
          <w:rFonts w:ascii="Times New Roman" w:hAnsi="Times New Roman" w:cs="Times New Roman"/>
          <w:sz w:val="24"/>
          <w:szCs w:val="24"/>
        </w:rPr>
        <w:t>,</w:t>
      </w:r>
      <w:r w:rsidRPr="00766656">
        <w:rPr>
          <w:rFonts w:ascii="Times New Roman" w:hAnsi="Times New Roman" w:cs="Times New Roman"/>
          <w:sz w:val="24"/>
          <w:szCs w:val="24"/>
        </w:rPr>
        <w:t xml:space="preserve"> improving quality of care</w:t>
      </w:r>
      <w:r w:rsidR="007B5EBF">
        <w:rPr>
          <w:rFonts w:ascii="Times New Roman" w:hAnsi="Times New Roman" w:cs="Times New Roman"/>
          <w:sz w:val="24"/>
          <w:szCs w:val="24"/>
        </w:rPr>
        <w:t xml:space="preserve">, and hopefully the mortality rate in infants </w:t>
      </w:r>
      <w:r w:rsidR="009F057B">
        <w:rPr>
          <w:rFonts w:ascii="Times New Roman" w:hAnsi="Times New Roman" w:cs="Times New Roman"/>
          <w:sz w:val="24"/>
          <w:szCs w:val="24"/>
        </w:rPr>
        <w:t>who may suffer from these blood abnormalities</w:t>
      </w:r>
      <w:r w:rsidRPr="00766656">
        <w:rPr>
          <w:rFonts w:ascii="Times New Roman" w:hAnsi="Times New Roman" w:cs="Times New Roman"/>
          <w:sz w:val="24"/>
          <w:szCs w:val="24"/>
        </w:rPr>
        <w:t>.</w:t>
      </w:r>
    </w:p>
    <w:p w14:paraId="4F7FD0EE" w14:textId="0C03B33C" w:rsidR="00994A91" w:rsidRDefault="00994A91" w:rsidP="00396536">
      <w:pPr>
        <w:spacing w:line="480" w:lineRule="auto"/>
        <w:ind w:right="1440"/>
        <w:jc w:val="both"/>
        <w:rPr>
          <w:rFonts w:ascii="Times New Roman" w:hAnsi="Times New Roman" w:cs="Times New Roman"/>
          <w:sz w:val="24"/>
          <w:szCs w:val="24"/>
        </w:rPr>
      </w:pPr>
    </w:p>
    <w:p w14:paraId="631352AB" w14:textId="77777777" w:rsidR="00396536" w:rsidRDefault="00396536" w:rsidP="00396536">
      <w:pPr>
        <w:spacing w:line="480" w:lineRule="auto"/>
        <w:ind w:right="1440"/>
        <w:jc w:val="both"/>
        <w:rPr>
          <w:rFonts w:ascii="Times New Roman" w:hAnsi="Times New Roman" w:cs="Times New Roman"/>
          <w:sz w:val="24"/>
          <w:szCs w:val="24"/>
        </w:rPr>
      </w:pPr>
    </w:p>
    <w:p w14:paraId="69EE0501" w14:textId="77777777" w:rsidR="00396536" w:rsidRDefault="00396536" w:rsidP="00396536">
      <w:pPr>
        <w:spacing w:line="480" w:lineRule="auto"/>
        <w:ind w:right="1440"/>
        <w:jc w:val="both"/>
        <w:rPr>
          <w:rFonts w:ascii="Times New Roman" w:hAnsi="Times New Roman" w:cs="Times New Roman"/>
          <w:sz w:val="24"/>
          <w:szCs w:val="24"/>
        </w:rPr>
      </w:pPr>
    </w:p>
    <w:p w14:paraId="7E2400C4" w14:textId="77777777" w:rsidR="00396536" w:rsidRDefault="00396536" w:rsidP="00396536">
      <w:pPr>
        <w:spacing w:line="480" w:lineRule="auto"/>
        <w:ind w:right="1440"/>
        <w:jc w:val="both"/>
        <w:rPr>
          <w:rFonts w:ascii="Times New Roman" w:hAnsi="Times New Roman" w:cs="Times New Roman"/>
          <w:sz w:val="24"/>
          <w:szCs w:val="24"/>
        </w:rPr>
      </w:pPr>
    </w:p>
    <w:p w14:paraId="6012FF38" w14:textId="77777777" w:rsidR="00396536" w:rsidRDefault="00396536" w:rsidP="00396536">
      <w:pPr>
        <w:spacing w:line="480" w:lineRule="auto"/>
        <w:ind w:right="1440"/>
        <w:jc w:val="both"/>
        <w:rPr>
          <w:rFonts w:ascii="Times New Roman" w:hAnsi="Times New Roman" w:cs="Times New Roman"/>
          <w:sz w:val="24"/>
          <w:szCs w:val="24"/>
        </w:rPr>
      </w:pPr>
    </w:p>
    <w:p w14:paraId="513AA214" w14:textId="77777777" w:rsidR="00396536" w:rsidRDefault="00396536" w:rsidP="00396536">
      <w:pPr>
        <w:spacing w:line="480" w:lineRule="auto"/>
        <w:ind w:right="1440"/>
        <w:jc w:val="both"/>
        <w:rPr>
          <w:rFonts w:ascii="Times New Roman" w:hAnsi="Times New Roman" w:cs="Times New Roman"/>
          <w:sz w:val="24"/>
          <w:szCs w:val="24"/>
        </w:rPr>
      </w:pPr>
    </w:p>
    <w:p w14:paraId="3A91AEA0" w14:textId="77777777" w:rsidR="00396536" w:rsidRDefault="00396536" w:rsidP="00396536">
      <w:pPr>
        <w:spacing w:line="480" w:lineRule="auto"/>
        <w:ind w:right="1440"/>
        <w:jc w:val="both"/>
        <w:rPr>
          <w:rFonts w:ascii="Times New Roman" w:hAnsi="Times New Roman" w:cs="Times New Roman"/>
          <w:sz w:val="24"/>
          <w:szCs w:val="24"/>
        </w:rPr>
      </w:pPr>
    </w:p>
    <w:p w14:paraId="49C7C565" w14:textId="77777777" w:rsidR="00396536" w:rsidRDefault="00396536" w:rsidP="00396536">
      <w:pPr>
        <w:spacing w:line="480" w:lineRule="auto"/>
        <w:ind w:right="1440"/>
        <w:jc w:val="both"/>
        <w:rPr>
          <w:rFonts w:ascii="Times New Roman" w:hAnsi="Times New Roman" w:cs="Times New Roman"/>
          <w:sz w:val="24"/>
          <w:szCs w:val="24"/>
        </w:rPr>
      </w:pPr>
    </w:p>
    <w:p w14:paraId="01ADDB32" w14:textId="77777777" w:rsidR="00396536" w:rsidRDefault="00396536" w:rsidP="00396536">
      <w:pPr>
        <w:spacing w:line="480" w:lineRule="auto"/>
        <w:ind w:right="1440"/>
        <w:jc w:val="both"/>
        <w:rPr>
          <w:rFonts w:ascii="Times New Roman" w:hAnsi="Times New Roman" w:cs="Times New Roman"/>
          <w:sz w:val="24"/>
          <w:szCs w:val="24"/>
        </w:rPr>
      </w:pPr>
    </w:p>
    <w:p w14:paraId="03165811" w14:textId="77777777" w:rsidR="00396536" w:rsidRDefault="00396536" w:rsidP="00396536">
      <w:pPr>
        <w:spacing w:line="480" w:lineRule="auto"/>
        <w:ind w:right="1440"/>
        <w:jc w:val="both"/>
        <w:rPr>
          <w:rFonts w:ascii="Times New Roman" w:hAnsi="Times New Roman" w:cs="Times New Roman"/>
          <w:sz w:val="24"/>
          <w:szCs w:val="24"/>
        </w:rPr>
      </w:pPr>
    </w:p>
    <w:p w14:paraId="446D2FCD" w14:textId="77777777" w:rsidR="00396536" w:rsidRDefault="00396536" w:rsidP="00396536">
      <w:pPr>
        <w:spacing w:line="480" w:lineRule="auto"/>
        <w:ind w:right="1440"/>
        <w:jc w:val="both"/>
        <w:rPr>
          <w:rFonts w:ascii="Times New Roman" w:hAnsi="Times New Roman" w:cs="Times New Roman"/>
          <w:sz w:val="24"/>
          <w:szCs w:val="24"/>
        </w:rPr>
      </w:pPr>
    </w:p>
    <w:p w14:paraId="583025D8" w14:textId="77777777" w:rsidR="00396536" w:rsidRDefault="00396536" w:rsidP="00396536">
      <w:pPr>
        <w:spacing w:line="480" w:lineRule="auto"/>
        <w:ind w:right="1440"/>
        <w:jc w:val="both"/>
        <w:rPr>
          <w:rFonts w:ascii="Times New Roman" w:hAnsi="Times New Roman" w:cs="Times New Roman"/>
          <w:sz w:val="24"/>
          <w:szCs w:val="24"/>
        </w:rPr>
      </w:pPr>
    </w:p>
    <w:p w14:paraId="17892FA1" w14:textId="77777777" w:rsidR="00396536" w:rsidRDefault="00396536" w:rsidP="00396536">
      <w:pPr>
        <w:spacing w:line="480" w:lineRule="auto"/>
        <w:ind w:right="1440"/>
        <w:jc w:val="both"/>
        <w:rPr>
          <w:rFonts w:ascii="Times New Roman" w:hAnsi="Times New Roman" w:cs="Times New Roman"/>
          <w:sz w:val="24"/>
          <w:szCs w:val="24"/>
        </w:rPr>
      </w:pPr>
    </w:p>
    <w:p w14:paraId="5415B3CB" w14:textId="2BD9AA00" w:rsidR="002C1C46" w:rsidRPr="008B28FB" w:rsidRDefault="00E40188" w:rsidP="002C1C46">
      <w:pPr>
        <w:spacing w:line="480" w:lineRule="auto"/>
        <w:ind w:right="1440"/>
        <w:jc w:val="both"/>
        <w:rPr>
          <w:rFonts w:ascii="Times New Roman" w:hAnsi="Times New Roman" w:cs="Times New Roman"/>
          <w:sz w:val="24"/>
          <w:szCs w:val="24"/>
        </w:rPr>
      </w:pPr>
      <w:r>
        <w:rPr>
          <w:rFonts w:ascii="Times New Roman" w:hAnsi="Times New Roman" w:cs="Times New Roman"/>
          <w:sz w:val="24"/>
          <w:szCs w:val="24"/>
        </w:rPr>
        <w:t>References</w:t>
      </w:r>
    </w:p>
    <w:p w14:paraId="07ED124E" w14:textId="37C399A4" w:rsidR="00B01353" w:rsidRDefault="00FD57F4" w:rsidP="002C1C46">
      <w:pPr>
        <w:spacing w:line="480" w:lineRule="auto"/>
        <w:ind w:right="1440"/>
        <w:jc w:val="both"/>
        <w:rPr>
          <w:rFonts w:ascii="Times New Roman" w:hAnsi="Times New Roman" w:cs="Times New Roman"/>
          <w:sz w:val="24"/>
          <w:szCs w:val="24"/>
        </w:rPr>
      </w:pPr>
      <w:r w:rsidRPr="00FD57F4">
        <w:rPr>
          <w:rFonts w:ascii="Times New Roman" w:hAnsi="Times New Roman" w:cs="Times New Roman"/>
          <w:sz w:val="24"/>
          <w:szCs w:val="24"/>
        </w:rPr>
        <w:t xml:space="preserve">Arai, N., Takahashi, T., &amp; Inayama, Y. (2006). An autopsied case of a 10-month-old baby with hepatosplenomegaly, high fever and necrotizing encephalopathy. </w:t>
      </w:r>
      <w:r w:rsidRPr="00FD57F4">
        <w:rPr>
          <w:rFonts w:ascii="Times New Roman" w:hAnsi="Times New Roman" w:cs="Times New Roman"/>
          <w:i/>
          <w:iCs/>
          <w:sz w:val="24"/>
          <w:szCs w:val="24"/>
        </w:rPr>
        <w:t>Neuropathology, 26</w:t>
      </w:r>
      <w:r w:rsidRPr="00FD57F4">
        <w:rPr>
          <w:rFonts w:ascii="Times New Roman" w:hAnsi="Times New Roman" w:cs="Times New Roman"/>
          <w:sz w:val="24"/>
          <w:szCs w:val="24"/>
        </w:rPr>
        <w:t>(5), 498–500</w:t>
      </w:r>
      <w:r w:rsidR="00B01353">
        <w:rPr>
          <w:rFonts w:ascii="Times New Roman" w:hAnsi="Times New Roman" w:cs="Times New Roman"/>
          <w:sz w:val="24"/>
          <w:szCs w:val="24"/>
        </w:rPr>
        <w:t xml:space="preserve"> </w:t>
      </w:r>
      <w:hyperlink r:id="rId8" w:history="1">
        <w:r w:rsidR="00B01353" w:rsidRPr="00B01353">
          <w:rPr>
            <w:rStyle w:val="Hyperlink"/>
            <w:rFonts w:ascii="Times New Roman" w:hAnsi="Times New Roman" w:cs="Times New Roman"/>
            <w:sz w:val="24"/>
            <w:szCs w:val="24"/>
          </w:rPr>
          <w:t>An autopsied case of a 10-month-old baby with hepatosplenomegaly, high fever and necrotizing encephalopathy. - EBSCO</w:t>
        </w:r>
      </w:hyperlink>
    </w:p>
    <w:p w14:paraId="63C87A9A" w14:textId="28D1EA1E" w:rsidR="0097582D" w:rsidRDefault="0097582D" w:rsidP="002C1C46">
      <w:pPr>
        <w:spacing w:line="480" w:lineRule="auto"/>
        <w:ind w:right="1440"/>
        <w:jc w:val="both"/>
        <w:rPr>
          <w:rFonts w:ascii="Times New Roman" w:hAnsi="Times New Roman" w:cs="Times New Roman"/>
          <w:sz w:val="24"/>
          <w:szCs w:val="24"/>
        </w:rPr>
      </w:pPr>
      <w:r w:rsidRPr="0097582D">
        <w:rPr>
          <w:rFonts w:ascii="Times New Roman" w:hAnsi="Times New Roman" w:cs="Times New Roman"/>
          <w:sz w:val="24"/>
          <w:szCs w:val="24"/>
        </w:rPr>
        <w:t xml:space="preserve">Esteva, A., Chou, K., Yeung, S., Naik, N., Madani, A., Mottaghi, A., Liu, Y., Topol, E. J., Dean, J., &amp; Socher, R. (2021). Deep learning-enabled medical computer vision. </w:t>
      </w:r>
      <w:r w:rsidRPr="0097582D">
        <w:rPr>
          <w:rFonts w:ascii="Times New Roman" w:hAnsi="Times New Roman" w:cs="Times New Roman"/>
          <w:i/>
          <w:iCs/>
          <w:sz w:val="24"/>
          <w:szCs w:val="24"/>
        </w:rPr>
        <w:t>NPJ Digital Medicine, 4</w:t>
      </w:r>
      <w:r w:rsidRPr="0097582D">
        <w:rPr>
          <w:rFonts w:ascii="Times New Roman" w:hAnsi="Times New Roman" w:cs="Times New Roman"/>
          <w:sz w:val="24"/>
          <w:szCs w:val="24"/>
        </w:rPr>
        <w:t>(1), 5.</w:t>
      </w:r>
      <w:r w:rsidR="0043784F">
        <w:rPr>
          <w:rFonts w:ascii="Times New Roman" w:hAnsi="Times New Roman" w:cs="Times New Roman"/>
          <w:sz w:val="24"/>
          <w:szCs w:val="24"/>
        </w:rPr>
        <w:t xml:space="preserve"> </w:t>
      </w:r>
      <w:hyperlink r:id="rId9" w:history="1">
        <w:r w:rsidR="0043784F" w:rsidRPr="0043784F">
          <w:rPr>
            <w:rStyle w:val="Hyperlink"/>
            <w:rFonts w:ascii="Times New Roman" w:hAnsi="Times New Roman" w:cs="Times New Roman"/>
            <w:sz w:val="24"/>
            <w:szCs w:val="24"/>
          </w:rPr>
          <w:t>Deep learning-enabled medical computer vision | npj Digital Medicine</w:t>
        </w:r>
      </w:hyperlink>
    </w:p>
    <w:p w14:paraId="521F51C4" w14:textId="5C18CEA2" w:rsidR="00994A91" w:rsidRPr="008B28FB" w:rsidRDefault="0041157D" w:rsidP="002C1C46">
      <w:pPr>
        <w:spacing w:line="480" w:lineRule="auto"/>
        <w:ind w:right="1440"/>
        <w:jc w:val="both"/>
        <w:rPr>
          <w:rFonts w:ascii="Times New Roman" w:hAnsi="Times New Roman" w:cs="Times New Roman"/>
          <w:sz w:val="24"/>
          <w:szCs w:val="24"/>
        </w:rPr>
      </w:pPr>
      <w:r w:rsidRPr="0041157D">
        <w:rPr>
          <w:rFonts w:ascii="Times New Roman" w:hAnsi="Times New Roman" w:cs="Times New Roman"/>
          <w:sz w:val="24"/>
          <w:szCs w:val="24"/>
        </w:rPr>
        <w:t xml:space="preserve">Niizato, D., Isoda, T., Mitsuiki, N., Kaneko, S., Tomomasa, D., Kamiya, T., Takagi, M., Imai, K., Kajiwara, M., Shimizu, M., Morio, T., &amp; Kanegane, H. (2022). Optimized ruxolitinib-based therapy in an infant with familial hemophagocytic lymphohistiocytosis type 3. </w:t>
      </w:r>
      <w:r w:rsidRPr="0041157D">
        <w:rPr>
          <w:rFonts w:ascii="Times New Roman" w:hAnsi="Times New Roman" w:cs="Times New Roman"/>
          <w:i/>
          <w:iCs/>
          <w:sz w:val="24"/>
          <w:szCs w:val="24"/>
        </w:rPr>
        <w:t>Frontiers in Immunology, 13</w:t>
      </w:r>
      <w:r w:rsidRPr="0041157D">
        <w:rPr>
          <w:rFonts w:ascii="Times New Roman" w:hAnsi="Times New Roman" w:cs="Times New Roman"/>
          <w:sz w:val="24"/>
          <w:szCs w:val="24"/>
        </w:rPr>
        <w:t>, 977463.</w:t>
      </w:r>
      <w:r>
        <w:rPr>
          <w:rFonts w:ascii="Times New Roman" w:hAnsi="Times New Roman" w:cs="Times New Roman"/>
          <w:sz w:val="24"/>
          <w:szCs w:val="24"/>
        </w:rPr>
        <w:t xml:space="preserve"> </w:t>
      </w:r>
      <w:hyperlink r:id="rId10" w:history="1">
        <w:r w:rsidR="00AE0058" w:rsidRPr="00AE0058">
          <w:rPr>
            <w:rStyle w:val="Hyperlink"/>
            <w:rFonts w:ascii="Times New Roman" w:hAnsi="Times New Roman" w:cs="Times New Roman"/>
            <w:sz w:val="24"/>
            <w:szCs w:val="24"/>
          </w:rPr>
          <w:t>Frontiers | Case report: Optimized ruxolitinib-based therapy in an infant with familial hemophagocytic lymphohistiocytosis type 3</w:t>
        </w:r>
      </w:hyperlink>
    </w:p>
    <w:sectPr w:rsidR="00994A91" w:rsidRPr="008B28FB" w:rsidSect="008B7D67">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1B6E8" w14:textId="77777777" w:rsidR="00241454" w:rsidRDefault="00241454" w:rsidP="00E0662F">
      <w:pPr>
        <w:spacing w:after="0" w:line="240" w:lineRule="auto"/>
      </w:pPr>
      <w:r>
        <w:separator/>
      </w:r>
    </w:p>
  </w:endnote>
  <w:endnote w:type="continuationSeparator" w:id="0">
    <w:p w14:paraId="5B6AEF6C" w14:textId="77777777" w:rsidR="00241454" w:rsidRDefault="00241454" w:rsidP="00E06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82F6F" w14:textId="77777777" w:rsidR="00241454" w:rsidRDefault="00241454" w:rsidP="00E0662F">
      <w:pPr>
        <w:spacing w:after="0" w:line="240" w:lineRule="auto"/>
      </w:pPr>
      <w:r>
        <w:separator/>
      </w:r>
    </w:p>
  </w:footnote>
  <w:footnote w:type="continuationSeparator" w:id="0">
    <w:p w14:paraId="4528CD7D" w14:textId="77777777" w:rsidR="00241454" w:rsidRDefault="00241454" w:rsidP="00E06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95231469"/>
      <w:docPartObj>
        <w:docPartGallery w:val="Page Numbers (Top of Page)"/>
        <w:docPartUnique/>
      </w:docPartObj>
    </w:sdtPr>
    <w:sdtEndPr>
      <w:rPr>
        <w:noProof/>
      </w:rPr>
    </w:sdtEndPr>
    <w:sdtContent>
      <w:p w14:paraId="2AFA9246" w14:textId="5AD1AA35" w:rsidR="008C484D" w:rsidRPr="007110BA" w:rsidRDefault="008C484D">
        <w:pPr>
          <w:pStyle w:val="Header"/>
          <w:jc w:val="right"/>
          <w:rPr>
            <w:rFonts w:ascii="Times New Roman" w:hAnsi="Times New Roman" w:cs="Times New Roman"/>
          </w:rPr>
        </w:pPr>
        <w:r w:rsidRPr="007110BA">
          <w:rPr>
            <w:rFonts w:ascii="Times New Roman" w:hAnsi="Times New Roman" w:cs="Times New Roman"/>
          </w:rPr>
          <w:fldChar w:fldCharType="begin"/>
        </w:r>
        <w:r w:rsidRPr="007110BA">
          <w:rPr>
            <w:rFonts w:ascii="Times New Roman" w:hAnsi="Times New Roman" w:cs="Times New Roman"/>
          </w:rPr>
          <w:instrText xml:space="preserve"> PAGE   \* MERGEFORMAT </w:instrText>
        </w:r>
        <w:r w:rsidRPr="007110BA">
          <w:rPr>
            <w:rFonts w:ascii="Times New Roman" w:hAnsi="Times New Roman" w:cs="Times New Roman"/>
          </w:rPr>
          <w:fldChar w:fldCharType="separate"/>
        </w:r>
        <w:r w:rsidRPr="007110BA">
          <w:rPr>
            <w:rFonts w:ascii="Times New Roman" w:hAnsi="Times New Roman" w:cs="Times New Roman"/>
            <w:noProof/>
          </w:rPr>
          <w:t>2</w:t>
        </w:r>
        <w:r w:rsidRPr="007110BA">
          <w:rPr>
            <w:rFonts w:ascii="Times New Roman" w:hAnsi="Times New Roman" w:cs="Times New Roman"/>
            <w:noProof/>
          </w:rPr>
          <w:fldChar w:fldCharType="end"/>
        </w:r>
      </w:p>
    </w:sdtContent>
  </w:sdt>
  <w:p w14:paraId="11B905A1" w14:textId="6697999D" w:rsidR="007110BA" w:rsidRPr="007110BA" w:rsidRDefault="007110BA" w:rsidP="007110BA">
    <w:pPr>
      <w:spacing w:line="480" w:lineRule="auto"/>
      <w:ind w:right="1440"/>
      <w:rPr>
        <w:rFonts w:ascii="Times New Roman" w:hAnsi="Times New Roman" w:cs="Times New Roman"/>
        <w:sz w:val="24"/>
        <w:szCs w:val="24"/>
      </w:rPr>
    </w:pPr>
    <w:r w:rsidRPr="007110BA">
      <w:rPr>
        <w:rFonts w:ascii="Times New Roman" w:hAnsi="Times New Roman" w:cs="Times New Roman"/>
        <w:sz w:val="24"/>
        <w:szCs w:val="24"/>
      </w:rPr>
      <w:t>A</w:t>
    </w:r>
    <w:r w:rsidR="00A55DDC">
      <w:rPr>
        <w:rFonts w:ascii="Times New Roman" w:hAnsi="Times New Roman" w:cs="Times New Roman"/>
        <w:sz w:val="24"/>
        <w:szCs w:val="24"/>
      </w:rPr>
      <w:t>0</w:t>
    </w:r>
    <w:r w:rsidRPr="007110BA">
      <w:rPr>
        <w:rFonts w:ascii="Times New Roman" w:hAnsi="Times New Roman" w:cs="Times New Roman"/>
        <w:sz w:val="24"/>
        <w:szCs w:val="24"/>
      </w:rPr>
      <w:t>7</w:t>
    </w:r>
    <w:r w:rsidR="004E4DC4">
      <w:rPr>
        <w:rFonts w:ascii="Times New Roman" w:hAnsi="Times New Roman" w:cs="Times New Roman"/>
        <w:sz w:val="24"/>
        <w:szCs w:val="24"/>
      </w:rPr>
      <w:t xml:space="preserve"> </w:t>
    </w:r>
    <w:r w:rsidR="000D42C5">
      <w:rPr>
        <w:rFonts w:ascii="Times New Roman" w:hAnsi="Times New Roman" w:cs="Times New Roman"/>
        <w:sz w:val="24"/>
        <w:szCs w:val="24"/>
      </w:rPr>
      <w:t xml:space="preserve">Leveraging </w:t>
    </w:r>
  </w:p>
  <w:p w14:paraId="2CB3B7FB" w14:textId="68F81E8D" w:rsidR="00E0662F" w:rsidRDefault="00E0662F" w:rsidP="007110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0F3125"/>
    <w:multiLevelType w:val="multilevel"/>
    <w:tmpl w:val="4C16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261332">
    <w:abstractNumId w:val="8"/>
  </w:num>
  <w:num w:numId="2" w16cid:durableId="2071028414">
    <w:abstractNumId w:val="6"/>
  </w:num>
  <w:num w:numId="3" w16cid:durableId="36248548">
    <w:abstractNumId w:val="5"/>
  </w:num>
  <w:num w:numId="4" w16cid:durableId="903102457">
    <w:abstractNumId w:val="4"/>
  </w:num>
  <w:num w:numId="5" w16cid:durableId="143355012">
    <w:abstractNumId w:val="7"/>
  </w:num>
  <w:num w:numId="6" w16cid:durableId="522087120">
    <w:abstractNumId w:val="3"/>
  </w:num>
  <w:num w:numId="7" w16cid:durableId="656105759">
    <w:abstractNumId w:val="2"/>
  </w:num>
  <w:num w:numId="8" w16cid:durableId="1386222590">
    <w:abstractNumId w:val="1"/>
  </w:num>
  <w:num w:numId="9" w16cid:durableId="1524438472">
    <w:abstractNumId w:val="0"/>
  </w:num>
  <w:num w:numId="10" w16cid:durableId="12099961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EEF"/>
    <w:rsid w:val="00034616"/>
    <w:rsid w:val="0006063C"/>
    <w:rsid w:val="000D42C5"/>
    <w:rsid w:val="000D47A7"/>
    <w:rsid w:val="000E3998"/>
    <w:rsid w:val="00114B0D"/>
    <w:rsid w:val="00134059"/>
    <w:rsid w:val="00145E62"/>
    <w:rsid w:val="0015074B"/>
    <w:rsid w:val="0015183F"/>
    <w:rsid w:val="0016515B"/>
    <w:rsid w:val="001B7384"/>
    <w:rsid w:val="001D60F8"/>
    <w:rsid w:val="00224884"/>
    <w:rsid w:val="0023365F"/>
    <w:rsid w:val="00241454"/>
    <w:rsid w:val="00245D4E"/>
    <w:rsid w:val="0025237D"/>
    <w:rsid w:val="0029639D"/>
    <w:rsid w:val="002C1C46"/>
    <w:rsid w:val="002E0529"/>
    <w:rsid w:val="002F2078"/>
    <w:rsid w:val="002F553C"/>
    <w:rsid w:val="00326F90"/>
    <w:rsid w:val="00396536"/>
    <w:rsid w:val="003A3C86"/>
    <w:rsid w:val="0041157D"/>
    <w:rsid w:val="0043784F"/>
    <w:rsid w:val="00495409"/>
    <w:rsid w:val="004976E2"/>
    <w:rsid w:val="004B228D"/>
    <w:rsid w:val="004B47D3"/>
    <w:rsid w:val="004B4888"/>
    <w:rsid w:val="004E4DC4"/>
    <w:rsid w:val="00522698"/>
    <w:rsid w:val="00551A18"/>
    <w:rsid w:val="00597D91"/>
    <w:rsid w:val="005A520F"/>
    <w:rsid w:val="005C0B91"/>
    <w:rsid w:val="005C4978"/>
    <w:rsid w:val="005D03AB"/>
    <w:rsid w:val="00615B41"/>
    <w:rsid w:val="006272B0"/>
    <w:rsid w:val="007110BA"/>
    <w:rsid w:val="007248B3"/>
    <w:rsid w:val="00766656"/>
    <w:rsid w:val="007813C9"/>
    <w:rsid w:val="007B5EBF"/>
    <w:rsid w:val="007C0F2B"/>
    <w:rsid w:val="00803FE7"/>
    <w:rsid w:val="0083352D"/>
    <w:rsid w:val="008B28FB"/>
    <w:rsid w:val="008B7D67"/>
    <w:rsid w:val="008C484D"/>
    <w:rsid w:val="0097582D"/>
    <w:rsid w:val="00980FCE"/>
    <w:rsid w:val="00994A91"/>
    <w:rsid w:val="009E7DEC"/>
    <w:rsid w:val="009F057B"/>
    <w:rsid w:val="00A55DDC"/>
    <w:rsid w:val="00A92CEE"/>
    <w:rsid w:val="00AA1D8D"/>
    <w:rsid w:val="00AE0058"/>
    <w:rsid w:val="00B01353"/>
    <w:rsid w:val="00B47730"/>
    <w:rsid w:val="00B637BD"/>
    <w:rsid w:val="00B7366B"/>
    <w:rsid w:val="00C1393A"/>
    <w:rsid w:val="00C275CA"/>
    <w:rsid w:val="00C53543"/>
    <w:rsid w:val="00C606E6"/>
    <w:rsid w:val="00CB0664"/>
    <w:rsid w:val="00D210D2"/>
    <w:rsid w:val="00D45B7D"/>
    <w:rsid w:val="00D76FE5"/>
    <w:rsid w:val="00D77D37"/>
    <w:rsid w:val="00DB65DD"/>
    <w:rsid w:val="00E05C2D"/>
    <w:rsid w:val="00E0662F"/>
    <w:rsid w:val="00E14351"/>
    <w:rsid w:val="00E16062"/>
    <w:rsid w:val="00E22623"/>
    <w:rsid w:val="00E25FCE"/>
    <w:rsid w:val="00E40188"/>
    <w:rsid w:val="00E6722F"/>
    <w:rsid w:val="00E74753"/>
    <w:rsid w:val="00E9012E"/>
    <w:rsid w:val="00E959E6"/>
    <w:rsid w:val="00F56D65"/>
    <w:rsid w:val="00F66246"/>
    <w:rsid w:val="00F7614D"/>
    <w:rsid w:val="00FA3733"/>
    <w:rsid w:val="00FC693F"/>
    <w:rsid w:val="00FD57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0FD595"/>
  <w14:defaultImageDpi w14:val="300"/>
  <w15:docId w15:val="{4E6C6D85-1BC7-428A-BF31-A8B5933C0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606E6"/>
    <w:rPr>
      <w:color w:val="0000FF" w:themeColor="hyperlink"/>
      <w:u w:val="single"/>
    </w:rPr>
  </w:style>
  <w:style w:type="character" w:styleId="UnresolvedMention">
    <w:name w:val="Unresolved Mention"/>
    <w:basedOn w:val="DefaultParagraphFont"/>
    <w:uiPriority w:val="99"/>
    <w:semiHidden/>
    <w:unhideWhenUsed/>
    <w:rsid w:val="00C606E6"/>
    <w:rPr>
      <w:color w:val="605E5C"/>
      <w:shd w:val="clear" w:color="auto" w:fill="E1DFDD"/>
    </w:rPr>
  </w:style>
  <w:style w:type="paragraph" w:styleId="FootnoteText">
    <w:name w:val="footnote text"/>
    <w:basedOn w:val="Normal"/>
    <w:link w:val="FootnoteTextChar"/>
    <w:uiPriority w:val="99"/>
    <w:semiHidden/>
    <w:unhideWhenUsed/>
    <w:rsid w:val="005A520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520F"/>
    <w:rPr>
      <w:sz w:val="20"/>
      <w:szCs w:val="20"/>
    </w:rPr>
  </w:style>
  <w:style w:type="character" w:styleId="FootnoteReference">
    <w:name w:val="footnote reference"/>
    <w:basedOn w:val="DefaultParagraphFont"/>
    <w:uiPriority w:val="99"/>
    <w:semiHidden/>
    <w:unhideWhenUsed/>
    <w:rsid w:val="005A520F"/>
    <w:rPr>
      <w:vertAlign w:val="superscript"/>
    </w:rPr>
  </w:style>
  <w:style w:type="paragraph" w:styleId="EndnoteText">
    <w:name w:val="endnote text"/>
    <w:basedOn w:val="Normal"/>
    <w:link w:val="EndnoteTextChar"/>
    <w:uiPriority w:val="99"/>
    <w:semiHidden/>
    <w:unhideWhenUsed/>
    <w:rsid w:val="003A3C8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A3C86"/>
    <w:rPr>
      <w:sz w:val="20"/>
      <w:szCs w:val="20"/>
    </w:rPr>
  </w:style>
  <w:style w:type="character" w:styleId="EndnoteReference">
    <w:name w:val="endnote reference"/>
    <w:basedOn w:val="DefaultParagraphFont"/>
    <w:uiPriority w:val="99"/>
    <w:semiHidden/>
    <w:unhideWhenUsed/>
    <w:rsid w:val="003A3C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ebsco.com/c/kxplbw/viewer/pdf/ycmb4wkyov"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frontiersin.org/journals/immunology/articles/10.3389/fimmu.2022.977463/full" TargetMode="External"/><Relationship Id="rId4" Type="http://schemas.openxmlformats.org/officeDocument/2006/relationships/settings" Target="settings.xml"/><Relationship Id="rId9" Type="http://schemas.openxmlformats.org/officeDocument/2006/relationships/hyperlink" Target="https://www.nature.com/articles/s41746-020-0037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Pages>
  <Words>1063</Words>
  <Characters>6063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annette.bazan-W6150197</cp:lastModifiedBy>
  <cp:revision>53</cp:revision>
  <dcterms:created xsi:type="dcterms:W3CDTF">2026-03-18T03:12:00Z</dcterms:created>
  <dcterms:modified xsi:type="dcterms:W3CDTF">2026-03-18T04:25:00Z</dcterms:modified>
  <cp:category/>
</cp:coreProperties>
</file>