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814" w:val="clear"/>
            <w:tcMar>
              <w:top w:type="dxa" w:w="160"/>
              <w:left w:type="dxa" w:w="200"/>
              <w:bottom w:type="dxa" w:w="160"/>
              <w:right w:type="dxa" w:w="200"/>
            </w:tcMar>
          </w:tcPr>
          <w:p>
            <w:pPr>
              <w:spacing w:after="80" w:before="120"/>
              <w:jc w:val="center"/>
            </w:pPr>
            <w:r>
              <w:rPr>
                <w:rFonts w:ascii="Arial" w:cs="Arial" w:eastAsia="Arial" w:hAnsi="Arial"/>
                <w:b/>
                <w:bCs/>
                <w:color w:val="AAAAAA"/>
                <w:sz w:val="20"/>
                <w:szCs w:val="20"/>
              </w:rPr>
              <w:t xml:space="preserve">RETENTION PLAYBOOK</w:t>
            </w:r>
          </w:p>
          <w:p>
            <w:pPr>
              <w:spacing w:after="80" w:before="0"/>
              <w:jc w:val="center"/>
            </w:pPr>
            <w:r>
              <w:rPr>
                <w:rFonts w:ascii="Arial" w:cs="Arial" w:eastAsia="Arial" w:hAnsi="Arial"/>
                <w:b/>
                <w:bCs/>
                <w:color w:val="FFFFFF"/>
                <w:sz w:val="48"/>
                <w:szCs w:val="48"/>
              </w:rPr>
              <w:t xml:space="preserve">Decoding Customer Value:</w:t>
            </w:r>
          </w:p>
          <w:p>
            <w:pPr>
              <w:spacing w:after="160" w:before="0"/>
              <w:jc w:val="center"/>
            </w:pPr>
            <w:r>
              <w:rPr>
                <w:rFonts w:ascii="Arial" w:cs="Arial" w:eastAsia="Arial" w:hAnsi="Arial"/>
                <w:color w:val="AAAAAA"/>
                <w:sz w:val="32"/>
                <w:szCs w:val="32"/>
              </w:rPr>
              <w:t xml:space="preserve">Promotional Sunset Plan + Ideal Customer Profile</w:t>
            </w:r>
          </w:p>
          <w:p>
            <w:pPr>
              <w:spacing w:after="120" w:before="0"/>
              <w:jc w:val="center"/>
            </w:pPr>
            <w:r>
              <w:rPr>
                <w:rFonts w:ascii="Arial" w:cs="Arial" w:eastAsia="Arial" w:hAnsi="Arial"/>
                <w:i/>
                <w:iCs/>
                <w:color w:val="888888"/>
                <w:sz w:val="18"/>
                <w:szCs w:val="18"/>
              </w:rPr>
              <w:t xml:space="preserve">Based on analysis of 3,900 customers  ·  18 behavioural variables  ·  4 value tiers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825" w:val="clear"/>
            <w:tcMar>
              <w:top w:type="dxa" w:w="160"/>
              <w:left w:type="dxa" w:w="200"/>
              <w:bottom w:type="dxa" w:w="160"/>
              <w:right w:type="dxa" w:w="200"/>
            </w:tcMar>
          </w:tcPr>
          <w:p>
            <w:pPr>
              <w:spacing w:after="80" w:before="0"/>
            </w:pPr>
            <w:r>
              <w:rPr>
                <w:rFonts w:ascii="Arial" w:cs="Arial" w:eastAsia="Arial" w:hAnsi="Arial"/>
                <w:b/>
                <w:bCs/>
                <w:color w:val="BA7517"/>
                <w:sz w:val="22"/>
                <w:szCs w:val="22"/>
              </w:rPr>
              <w:t xml:space="preserve">Strategic Context</w:t>
            </w:r>
          </w:p>
          <w:p>
            <w:pPr>
              <w:spacing w:after="60" w:before="0"/>
            </w:pPr>
            <w:r>
              <w:rPr>
                <w:rFonts w:ascii="Arial" w:cs="Arial" w:eastAsia="Arial" w:hAnsi="Arial"/>
                <w:color w:val="EEEEEE"/>
                <w:sz w:val="19"/>
                <w:szCs w:val="19"/>
              </w:rPr>
              <w:t xml:space="preserve">The brand generates 57.3% of its revenue organically — without any discount or promo code. This proves genuine brand pull exists. However, 42.7% of revenue is promo-driven, and critically, the promo dependency rate is highest among Platinum customers (44.5%), the brand's top-value segment. This means the brand's best buyers have been conditioned to expect incentives they do not need to buy.</w:t>
            </w:r>
          </w:p>
          <w:p>
            <w:pPr>
              <w:spacing w:after="0" w:before="80"/>
            </w:pPr>
            <w:r>
              <w:rPr>
                <w:rFonts w:ascii="Arial" w:cs="Arial" w:eastAsia="Arial" w:hAnsi="Arial"/>
                <w:i/>
                <w:iCs/>
                <w:color w:val="AAAAAA"/>
                <w:sz w:val="19"/>
                <w:szCs w:val="19"/>
              </w:rPr>
              <w:t xml:space="preserve">This playbook defines exactly what to do about it — and what it costs to get it wrong.</w:t>
            </w:r>
          </w:p>
        </w:tc>
      </w:tr>
    </w:tbl>
    <w:p>
      <w:pPr>
        <w:spacing w:after="0" w:before="200"/>
      </w:pPr>
      <w:r>
        <w:t xml:space="preserve"/>
      </w:r>
    </w:p>
    <w:p>
      <w:pPr>
        <w:pBdr>
          <w:bottom w:val="single" w:color="1a1814" w:sz="8" w:space="4"/>
        </w:pBdr>
        <w:spacing w:after="160" w:before="400"/>
      </w:pPr>
      <w:r>
        <w:rPr>
          <w:rFonts w:ascii="Arial" w:cs="Arial" w:eastAsia="Arial" w:hAnsi="Arial"/>
          <w:b/>
          <w:bCs/>
          <w:color w:val="1a1814"/>
          <w:sz w:val="36"/>
          <w:szCs w:val="36"/>
        </w:rPr>
        <w:t xml:space="preserve">Output 1: Promotional Sunset Plan</w:t>
      </w:r>
    </w:p>
    <w:p>
      <w:pPr>
        <w:spacing w:after="60" w:before="60"/>
        <w:jc w:val="left"/>
      </w:pPr>
      <w:r>
        <w:rPr>
          <w:rFonts w:ascii="Arial" w:cs="Arial" w:eastAsia="Arial" w:hAnsi="Arial"/>
          <w:b w:val="false"/>
          <w:bCs w:val="false"/>
          <w:i w:val="false"/>
          <w:iCs w:val="false"/>
          <w:color w:val="333333"/>
          <w:sz w:val="20"/>
          <w:szCs w:val="20"/>
        </w:rPr>
        <w:t xml:space="preserve">A phased rollback of discount and promo-code programs, sequenced by segment risk. Each phase names the segment, the specific trigger behaviour that unlocks the rollback, the timeline, and the single metric that confirms it is working.</w:t>
      </w:r>
    </w:p>
    <w:p>
      <w:pPr>
        <w:spacing w:after="0" w:before="160"/>
      </w:pPr>
      <w:r>
        <w:t xml:space="preserve"/>
      </w:r>
    </w:p>
    <w:p>
      <w:pPr>
        <w:spacing w:after="120" w:before="320"/>
      </w:pPr>
      <w:r>
        <w:rPr>
          <w:rFonts w:ascii="Arial" w:cs="Arial" w:eastAsia="Arial" w:hAnsi="Arial"/>
          <w:b/>
          <w:bCs/>
          <w:color w:val="533AB7"/>
          <w:sz w:val="26"/>
          <w:szCs w:val="26"/>
        </w:rPr>
        <w:t xml:space="preserve">Tier Baseline: Where Promos Stand Today</w:t>
      </w:r>
    </w:p>
    <w:p>
      <w:pPr>
        <w:spacing w:after="60" w:before="60"/>
        <w:jc w:val="left"/>
      </w:pPr>
      <w:r>
        <w:rPr>
          <w:rFonts w:ascii="Arial" w:cs="Arial" w:eastAsia="Arial" w:hAnsi="Arial"/>
          <w:b w:val="false"/>
          <w:bCs w:val="false"/>
          <w:i w:val="false"/>
          <w:iCs w:val="false"/>
          <w:color w:val="333333"/>
          <w:sz w:val="20"/>
          <w:szCs w:val="20"/>
        </w:rPr>
        <w:t xml:space="preserve">Before defining the sunset sequence, this is the current promo dependency picture by value tier: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560"/>
        <w:gridCol w:w="1100"/>
        <w:gridCol w:w="1100"/>
        <w:gridCol w:w="1900"/>
      </w:tblGrid>
      <w:tr>
        <w:trPr>
          <w:tblHeader/>
        </w:trPr>
        <w:tc>
          <w:tcPr>
            <w:tcW w:type="dxa" w:w="15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w:t>
            </w:r>
          </w:p>
        </w:tc>
        <w:tc>
          <w:tcPr>
            <w:tcW w:type="dxa" w:w="11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Customers</w:t>
            </w:r>
          </w:p>
        </w:tc>
        <w:tc>
          <w:tcPr>
            <w:tcW w:type="dxa" w:w="11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Avg Spend</w:t>
            </w:r>
          </w:p>
        </w:tc>
        <w:tc>
          <w:tcPr>
            <w:tcW w:type="dxa" w:w="156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Avg Prev. Purchases</w:t>
            </w:r>
          </w:p>
        </w:tc>
        <w:tc>
          <w:tcPr>
            <w:tcW w:type="dxa" w:w="11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Promo Rate</w:t>
            </w:r>
          </w:p>
        </w:tc>
        <w:tc>
          <w:tcPr>
            <w:tcW w:type="dxa" w:w="11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Churn Risk</w:t>
            </w:r>
          </w:p>
        </w:tc>
        <w:tc>
          <w:tcPr>
            <w:tcW w:type="dxa" w:w="19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Sunset Priority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33AB7"/>
                <w:sz w:val="18"/>
                <w:szCs w:val="18"/>
              </w:rPr>
              <w:t xml:space="preserve">Platinum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968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$77.69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38.6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85A30"/>
                <w:sz w:val="18"/>
                <w:szCs w:val="18"/>
              </w:rPr>
              <w:t xml:space="preserve">44.5%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9E75"/>
                <w:sz w:val="18"/>
                <w:szCs w:val="18"/>
              </w:rPr>
              <w:t xml:space="preserve">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Phase 2 — Loyalty Lock</w:t>
            </w:r>
          </w:p>
        </w:tc>
      </w:tr>
      <w:tr>
        <w:tc>
          <w:tcPr>
            <w:tcW w:type="dxa" w:w="15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bCs/>
                <w:color w:val="5E5EC7"/>
                <w:sz w:val="18"/>
                <w:szCs w:val="18"/>
              </w:rPr>
              <w:t xml:space="preserve">Gold</w:t>
            </w:r>
          </w:p>
        </w:tc>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976</w:t>
            </w:r>
          </w:p>
        </w:tc>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$63.34</w:t>
            </w:r>
          </w:p>
        </w:tc>
        <w:tc>
          <w:tcPr>
            <w:tcW w:type="dxa" w:w="15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30.1</w:t>
            </w:r>
          </w:p>
        </w:tc>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BA7517"/>
                <w:sz w:val="18"/>
                <w:szCs w:val="18"/>
              </w:rPr>
              <w:t xml:space="preserve">41.8%</w:t>
            </w:r>
          </w:p>
        </w:tc>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1D9E75"/>
                <w:sz w:val="18"/>
                <w:szCs w:val="18"/>
              </w:rPr>
              <w:t xml:space="preserve">0.1%</w:t>
            </w:r>
          </w:p>
        </w:tc>
        <w:tc>
          <w:tcPr>
            <w:tcW w:type="dxa" w:w="1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Phase 1 — First Mover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Silver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978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$56.38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21.1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A7517"/>
                <w:sz w:val="18"/>
                <w:szCs w:val="18"/>
              </w:rPr>
              <w:t xml:space="preserve">43.1%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A7517"/>
                <w:sz w:val="18"/>
                <w:szCs w:val="18"/>
              </w:rPr>
              <w:t xml:space="preserve">4.5%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Phase 3 — With Safety Net</w:t>
            </w:r>
          </w:p>
        </w:tc>
      </w:tr>
      <w:tr>
        <w:tc>
          <w:tcPr>
            <w:tcW w:type="dxa" w:w="15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bCs/>
                <w:color w:val="888888"/>
                <w:sz w:val="18"/>
                <w:szCs w:val="18"/>
              </w:rPr>
              <w:t xml:space="preserve">Bronze</w:t>
            </w:r>
          </w:p>
        </w:tc>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978</w:t>
            </w:r>
          </w:p>
        </w:tc>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$41.84</w:t>
            </w:r>
          </w:p>
        </w:tc>
        <w:tc>
          <w:tcPr>
            <w:tcW w:type="dxa" w:w="15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11.8</w:t>
            </w:r>
          </w:p>
        </w:tc>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BA7517"/>
                <w:sz w:val="18"/>
                <w:szCs w:val="18"/>
              </w:rPr>
              <w:t xml:space="preserve">42.5%</w:t>
            </w:r>
          </w:p>
        </w:tc>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D85A30"/>
                <w:sz w:val="18"/>
                <w:szCs w:val="18"/>
              </w:rPr>
              <w:t xml:space="preserve">14.2%</w:t>
            </w:r>
          </w:p>
        </w:tc>
        <w:tc>
          <w:tcPr>
            <w:tcW w:type="dxa" w:w="1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Hold — Do Not Sunset</w:t>
            </w:r>
          </w:p>
        </w:tc>
      </w:tr>
    </w:tbl>
    <w:p>
      <w:pPr>
        <w:spacing w:after="0" w:before="200"/>
      </w:pPr>
      <w:r>
        <w:t xml:space="preserve"/>
      </w:r>
    </w:p>
    <w:p>
      <w:pPr>
        <w:spacing w:after="120" w:before="320"/>
      </w:pPr>
      <w:r>
        <w:rPr>
          <w:rFonts w:ascii="Arial" w:cs="Arial" w:eastAsia="Arial" w:hAnsi="Arial"/>
          <w:b/>
          <w:bCs/>
          <w:color w:val="533AB7"/>
          <w:sz w:val="26"/>
          <w:szCs w:val="26"/>
        </w:rPr>
        <w:t xml:space="preserve">Revenue at Stake per Phase</w:t>
      </w:r>
    </w:p>
    <w:p>
      <w:pPr>
        <w:spacing w:after="60" w:before="60"/>
        <w:jc w:val="left"/>
      </w:pPr>
      <w:r>
        <w:rPr>
          <w:rFonts w:ascii="Arial" w:cs="Arial" w:eastAsia="Arial" w:hAnsi="Arial"/>
          <w:b w:val="false"/>
          <w:bCs w:val="false"/>
          <w:i w:val="false"/>
          <w:iCs w:val="false"/>
          <w:color w:val="333333"/>
          <w:sz w:val="20"/>
          <w:szCs w:val="20"/>
        </w:rPr>
        <w:t xml:space="preserve">The estimated margin recovery assumes an average discount depth of 15% across promo transactions: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160"/>
        <w:gridCol w:w="2200"/>
      </w:tblGrid>
      <w:tr>
        <w:trPr>
          <w:tblHeader/>
        </w:trPr>
        <w:tc>
          <w:tcPr>
            <w:tcW w:type="dxa" w:w="18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w:t>
            </w:r>
          </w:p>
        </w:tc>
        <w:tc>
          <w:tcPr>
            <w:tcW w:type="dxa" w:w="14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Revenue</w:t>
            </w:r>
          </w:p>
        </w:tc>
        <w:tc>
          <w:tcPr>
            <w:tcW w:type="dxa" w:w="14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Promo Revenue</w:t>
            </w:r>
          </w:p>
        </w:tc>
        <w:tc>
          <w:tcPr>
            <w:tcW w:type="dxa" w:w="14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Organic Revenue</w:t>
            </w:r>
          </w:p>
        </w:tc>
        <w:tc>
          <w:tcPr>
            <w:tcW w:type="dxa" w:w="116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Promo %</w:t>
            </w:r>
          </w:p>
        </w:tc>
        <w:tc>
          <w:tcPr>
            <w:tcW w:type="dxa" w:w="22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Margin Recovery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Gold (Phase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$61,818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85A30"/>
                <w:sz w:val="18"/>
                <w:szCs w:val="18"/>
              </w:rPr>
              <w:t xml:space="preserve">$25,730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9E75"/>
                <w:sz w:val="18"/>
                <w:szCs w:val="18"/>
              </w:rPr>
              <w:t xml:space="preserve">$36,088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D9E75"/>
                <w:sz w:val="18"/>
                <w:szCs w:val="18"/>
              </w:rPr>
              <w:t xml:space="preserve">~$3,860</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Platinum (Phase 2)</w:t>
            </w:r>
          </w:p>
        </w:tc>
        <w:tc>
          <w:tcPr>
            <w:tcW w:type="dxa" w:w="1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$75,201</w:t>
            </w:r>
          </w:p>
        </w:tc>
        <w:tc>
          <w:tcPr>
            <w:tcW w:type="dxa" w:w="1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D85A30"/>
                <w:sz w:val="18"/>
                <w:szCs w:val="18"/>
              </w:rPr>
              <w:t xml:space="preserve">$33,136</w:t>
            </w:r>
          </w:p>
        </w:tc>
        <w:tc>
          <w:tcPr>
            <w:tcW w:type="dxa" w:w="1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1D9E75"/>
                <w:sz w:val="18"/>
                <w:szCs w:val="18"/>
              </w:rPr>
              <w:t xml:space="preserve">$42,065</w:t>
            </w:r>
          </w:p>
        </w:tc>
        <w:tc>
          <w:tcPr>
            <w:tcW w:type="dxa" w:w="1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44.1%</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bCs/>
                <w:color w:val="1D9E75"/>
                <w:sz w:val="18"/>
                <w:szCs w:val="18"/>
              </w:rPr>
              <w:t xml:space="preserve">~$4,970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Silver (Phase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$55,142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85A30"/>
                <w:sz w:val="18"/>
                <w:szCs w:val="18"/>
              </w:rPr>
              <w:t xml:space="preserve">$23,085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9E75"/>
                <w:sz w:val="18"/>
                <w:szCs w:val="18"/>
              </w:rPr>
              <w:t xml:space="preserve">$32,057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D9E75"/>
                <w:sz w:val="18"/>
                <w:szCs w:val="18"/>
              </w:rPr>
              <w:t xml:space="preserve">~$3,463</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bCs/>
                <w:color w:val="888888"/>
                <w:sz w:val="18"/>
                <w:szCs w:val="18"/>
              </w:rPr>
              <w:t xml:space="preserve">Bronze (Hold)</w:t>
            </w:r>
          </w:p>
        </w:tc>
        <w:tc>
          <w:tcPr>
            <w:tcW w:type="dxa" w:w="1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$40,920</w:t>
            </w:r>
          </w:p>
        </w:tc>
        <w:tc>
          <w:tcPr>
            <w:tcW w:type="dxa" w:w="1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$17,460</w:t>
            </w:r>
          </w:p>
        </w:tc>
        <w:tc>
          <w:tcPr>
            <w:tcW w:type="dxa" w:w="1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$23,460</w:t>
            </w:r>
          </w:p>
        </w:tc>
        <w:tc>
          <w:tcPr>
            <w:tcW w:type="dxa" w:w="1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42.7%</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33AB7"/>
                <w:sz w:val="18"/>
                <w:szCs w:val="18"/>
              </w:rPr>
              <w:t xml:space="preserve">TOTAL (if all 3 phases)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$192,161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$81,951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$110,210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33AB7"/>
                <w:sz w:val="18"/>
                <w:szCs w:val="18"/>
              </w:rPr>
              <w:t xml:space="preserve">~$12,293</w:t>
            </w:r>
          </w:p>
        </w:tc>
      </w:tr>
    </w:tbl>
    <w:p>
      <w:pPr>
        <w:spacing w:after="0" w:before="280"/>
      </w:pPr>
      <w:r>
        <w:t xml:space="preserve"/>
      </w:r>
    </w:p>
    <w:p>
      <w:pPr>
        <w:spacing w:after="120" w:before="320"/>
      </w:pPr>
      <w:r>
        <w:rPr>
          <w:rFonts w:ascii="Arial" w:cs="Arial" w:eastAsia="Arial" w:hAnsi="Arial"/>
          <w:b/>
          <w:bCs/>
          <w:color w:val="533AB7"/>
          <w:sz w:val="26"/>
          <w:szCs w:val="26"/>
        </w:rPr>
        <w:t xml:space="preserve">The Sunset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33AB7" w:val="clear"/>
            <w:tcMar>
              <w:top w:type="dxa" w:w="160"/>
              <w:left w:type="dxa" w:w="160"/>
              <w:bottom w:type="dxa" w:w="160"/>
              <w:right w:type="dxa" w:w="160"/>
            </w:tcMar>
            <w:vAlign w:val="center"/>
          </w:tcPr>
          <w:p>
            <w:pPr>
              <w:jc w:val="center"/>
            </w:pPr>
            <w:r>
              <w:rPr>
                <w:rFonts w:ascii="Arial" w:cs="Arial" w:eastAsia="Arial" w:hAnsi="Arial"/>
                <w:color w:val="FFFFFF"/>
                <w:sz w:val="16"/>
                <w:szCs w:val="16"/>
              </w:rPr>
              <w:t xml:space="preserve">Phase</w:t>
            </w:r>
          </w:p>
          <w:p>
            <w:pPr>
              <w:jc w:val="center"/>
            </w:pPr>
            <w:r>
              <w:rPr>
                <w:rFonts w:ascii="Arial" w:cs="Arial" w:eastAsia="Arial" w:hAnsi="Arial"/>
                <w:b/>
                <w:bCs/>
                <w:color w:val="FFFFFF"/>
                <w:sz w:val="48"/>
                <w:szCs w:val="48"/>
              </w:rPr>
              <w:t xml:space="preserve">1</w:t>
            </w:r>
          </w:p>
        </w:tc>
        <w:tc>
          <w:tcPr>
            <w:tcW w:type="dxa" w:w="81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r>
              <w:rPr>
                <w:rFonts w:ascii="Arial" w:cs="Arial" w:eastAsia="Arial" w:hAnsi="Arial"/>
                <w:b/>
                <w:bCs/>
                <w:color w:val="533AB7"/>
                <w:sz w:val="24"/>
                <w:szCs w:val="24"/>
              </w:rPr>
              <w:t xml:space="preserve">Gold Tier — First Mover Test</w:t>
            </w:r>
          </w:p>
          <w:p>
            <w:pPr>
              <w:spacing w:before="80"/>
            </w:pPr>
            <w:r>
              <w:rPr>
                <w:rFonts w:ascii="Arial" w:cs="Arial" w:eastAsia="Arial" w:hAnsi="Arial"/>
                <w:b/>
                <w:bCs/>
                <w:color w:val="1a1814"/>
                <w:sz w:val="18"/>
                <w:szCs w:val="18"/>
              </w:rPr>
              <w:t xml:space="preserve">Segment: </w:t>
            </w:r>
            <w:r>
              <w:rPr>
                <w:rFonts w:ascii="Arial" w:cs="Arial" w:eastAsia="Arial" w:hAnsi="Arial"/>
                <w:color w:val="444444"/>
                <w:sz w:val="18"/>
                <w:szCs w:val="18"/>
              </w:rPr>
              <w:t xml:space="preserve">Gold customers: 976 customers, 30.1 avg previous purchases, 68% with 25+ purchase history, 0.1% churn risk.</w:t>
            </w:r>
          </w:p>
          <w:p>
            <w:pPr>
              <w:spacing w:before="60"/>
            </w:pPr>
            <w:r>
              <w:rPr>
                <w:rFonts w:ascii="Arial" w:cs="Arial" w:eastAsia="Arial" w:hAnsi="Arial"/>
                <w:b/>
                <w:bCs/>
                <w:color w:val="1a1814"/>
                <w:sz w:val="18"/>
                <w:szCs w:val="18"/>
              </w:rPr>
              <w:t xml:space="preserve">Trigger Behaviour: </w:t>
            </w:r>
            <w:r>
              <w:rPr>
                <w:rFonts w:ascii="Arial" w:cs="Arial" w:eastAsia="Arial" w:hAnsi="Arial"/>
                <w:color w:val="444444"/>
                <w:sz w:val="18"/>
                <w:szCs w:val="18"/>
              </w:rPr>
              <w:t xml:space="preserve">3 or more consecutive purchases made without using a promo code or discount in the past 90 days. This signals the customer does not require incentives to return — they are already behaviorally habitual.</w:t>
            </w:r>
          </w:p>
          <w:p>
            <w:pPr>
              <w:spacing w:before="60"/>
            </w:pPr>
            <w:r>
              <w:rPr>
                <w:rFonts w:ascii="Arial" w:cs="Arial" w:eastAsia="Arial" w:hAnsi="Arial"/>
                <w:b/>
                <w:bCs/>
                <w:color w:val="1a1814"/>
                <w:sz w:val="18"/>
                <w:szCs w:val="18"/>
              </w:rPr>
              <w:t xml:space="preserve">Timeline: </w:t>
            </w:r>
            <w:r>
              <w:rPr>
                <w:rFonts w:ascii="Arial" w:cs="Arial" w:eastAsia="Arial" w:hAnsi="Arial"/>
                <w:color w:val="444444"/>
                <w:sz w:val="18"/>
                <w:szCs w:val="18"/>
              </w:rPr>
              <w:t xml:space="preserve">Months 1–2. A/B test: randomly assign 300 Gold customers to a no-promo group. Run for 30 days. If 30-day repeat purchase rate in the test group stays within 5 percentage points of the control group, expand to all Gold.</w:t>
            </w:r>
          </w:p>
          <w:p>
            <w:pPr>
              <w:spacing w:before="60"/>
            </w:pPr>
            <w:r>
              <w:rPr>
                <w:rFonts w:ascii="Arial" w:cs="Arial" w:eastAsia="Arial" w:hAnsi="Arial"/>
                <w:b/>
                <w:bCs/>
                <w:color w:val="1a1814"/>
                <w:sz w:val="18"/>
                <w:szCs w:val="18"/>
              </w:rPr>
              <w:t xml:space="preserve">Metric to Track: </w:t>
            </w:r>
            <w:r>
              <w:rPr>
                <w:rFonts w:ascii="Arial" w:cs="Arial" w:eastAsia="Arial" w:hAnsi="Arial"/>
                <w:color w:val="444444"/>
                <w:sz w:val="18"/>
                <w:szCs w:val="18"/>
              </w:rPr>
              <w:t xml:space="preserve">30-day repeat purchase rate in no-promo group vs. control group. Secondary: average order value (should hold or increase). If repeat rate drops more than 5pp, pause and diagnose before expanding.</w:t>
            </w:r>
          </w:p>
          <w:p>
            <w:pPr>
              <w:spacing w:before="100"/>
            </w:pPr>
            <w:r>
              <w:rPr>
                <w:rFonts w:ascii="Arial" w:cs="Arial" w:eastAsia="Arial" w:hAnsi="Arial"/>
                <w:b/>
                <w:bCs/>
                <w:color w:val="D85A30"/>
                <w:sz w:val="18"/>
                <w:szCs w:val="18"/>
              </w:rPr>
              <w:t xml:space="preserve">⚠ Trade-off: </w:t>
            </w:r>
            <w:r>
              <w:rPr>
                <w:rFonts w:ascii="Arial" w:cs="Arial" w:eastAsia="Arial" w:hAnsi="Arial"/>
                <w:i/>
                <w:iCs/>
                <w:color w:val="555555"/>
                <w:sz w:val="18"/>
                <w:szCs w:val="18"/>
              </w:rPr>
              <w:t xml:space="preserve">Gold customers who relied on promos to trigger purchases may reduce order frequency by 10–15%. The test size of 300 limits exposure to roughly $19,300 in promo revenue. If the test fails, run a value-add offer (free shipping, early access) rather than reverting to % discounts.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D9E75" w:val="clear"/>
            <w:tcMar>
              <w:top w:type="dxa" w:w="160"/>
              <w:left w:type="dxa" w:w="160"/>
              <w:bottom w:type="dxa" w:w="160"/>
              <w:right w:type="dxa" w:w="160"/>
            </w:tcMar>
            <w:vAlign w:val="center"/>
          </w:tcPr>
          <w:p>
            <w:pPr>
              <w:jc w:val="center"/>
            </w:pPr>
            <w:r>
              <w:rPr>
                <w:rFonts w:ascii="Arial" w:cs="Arial" w:eastAsia="Arial" w:hAnsi="Arial"/>
                <w:color w:val="FFFFFF"/>
                <w:sz w:val="16"/>
                <w:szCs w:val="16"/>
              </w:rPr>
              <w:t xml:space="preserve">Phase</w:t>
            </w:r>
          </w:p>
          <w:p>
            <w:pPr>
              <w:jc w:val="center"/>
            </w:pPr>
            <w:r>
              <w:rPr>
                <w:rFonts w:ascii="Arial" w:cs="Arial" w:eastAsia="Arial" w:hAnsi="Arial"/>
                <w:b/>
                <w:bCs/>
                <w:color w:val="FFFFFF"/>
                <w:sz w:val="48"/>
                <w:szCs w:val="48"/>
              </w:rPr>
              <w:t xml:space="preserve">2</w:t>
            </w:r>
          </w:p>
        </w:tc>
        <w:tc>
          <w:tcPr>
            <w:tcW w:type="dxa" w:w="81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r>
              <w:rPr>
                <w:rFonts w:ascii="Arial" w:cs="Arial" w:eastAsia="Arial" w:hAnsi="Arial"/>
                <w:b/>
                <w:bCs/>
                <w:color w:val="1D9E75"/>
                <w:sz w:val="24"/>
                <w:szCs w:val="24"/>
              </w:rPr>
              <w:t xml:space="preserve">Platinum Tier — Loyalty Lock Program</w:t>
            </w:r>
          </w:p>
          <w:p>
            <w:pPr>
              <w:spacing w:before="80"/>
            </w:pPr>
            <w:r>
              <w:rPr>
                <w:rFonts w:ascii="Arial" w:cs="Arial" w:eastAsia="Arial" w:hAnsi="Arial"/>
                <w:b/>
                <w:bCs/>
                <w:color w:val="1a1814"/>
                <w:sz w:val="18"/>
                <w:szCs w:val="18"/>
              </w:rPr>
              <w:t xml:space="preserve">Segment: </w:t>
            </w:r>
            <w:r>
              <w:rPr>
                <w:rFonts w:ascii="Arial" w:cs="Arial" w:eastAsia="Arial" w:hAnsi="Arial"/>
                <w:color w:val="444444"/>
                <w:sz w:val="18"/>
                <w:szCs w:val="18"/>
              </w:rPr>
              <w:t xml:space="preserve">Platinum customers: 968 customers, $77.69 avg spend, 38.6 avg previous purchases, 0.0% churn risk. 537 (55.5%) are already promo-free.</w:t>
            </w:r>
          </w:p>
          <w:p>
            <w:pPr>
              <w:spacing w:before="60"/>
            </w:pPr>
            <w:r>
              <w:rPr>
                <w:rFonts w:ascii="Arial" w:cs="Arial" w:eastAsia="Arial" w:hAnsi="Arial"/>
                <w:b/>
                <w:bCs/>
                <w:color w:val="1a1814"/>
                <w:sz w:val="18"/>
                <w:szCs w:val="18"/>
              </w:rPr>
              <w:t xml:space="preserve">Trigger Behaviour: </w:t>
            </w:r>
            <w:r>
              <w:rPr>
                <w:rFonts w:ascii="Arial" w:cs="Arial" w:eastAsia="Arial" w:hAnsi="Arial"/>
                <w:color w:val="444444"/>
                <w:sz w:val="18"/>
                <w:szCs w:val="18"/>
              </w:rPr>
              <w:t xml:space="preserve">Customer has made 5 or more total purchases AND their last 2 purchases were made without a promo code or discount. This group has demonstrated the strongest possible behavioral signal — they return unprompted. The trigger filters for demonstrated organic behavior, not just tier membership.</w:t>
            </w:r>
          </w:p>
          <w:p>
            <w:pPr>
              <w:spacing w:before="60"/>
            </w:pPr>
            <w:r>
              <w:rPr>
                <w:rFonts w:ascii="Arial" w:cs="Arial" w:eastAsia="Arial" w:hAnsi="Arial"/>
                <w:b/>
                <w:bCs/>
                <w:color w:val="1a1814"/>
                <w:sz w:val="18"/>
                <w:szCs w:val="18"/>
              </w:rPr>
              <w:t xml:space="preserve">Timeline: </w:t>
            </w:r>
            <w:r>
              <w:rPr>
                <w:rFonts w:ascii="Arial" w:cs="Arial" w:eastAsia="Arial" w:hAnsi="Arial"/>
                <w:color w:val="444444"/>
                <w:sz w:val="18"/>
                <w:szCs w:val="18"/>
              </w:rPr>
              <w:t xml:space="preserve">Months 3–4, contingent on Phase 1 passing. Do not begin Phase 2 if Phase 1 repeat rate dropped more than 5pp. Replace discounts with a Platinum Loyalty Program: early product access (1 week before general release), free standard shipping on all orders, exclusive colorways or limited SKUs. These are cost-controlled perks, not margin giveaways.</w:t>
            </w:r>
          </w:p>
          <w:p>
            <w:pPr>
              <w:spacing w:before="60"/>
            </w:pPr>
            <w:r>
              <w:rPr>
                <w:rFonts w:ascii="Arial" w:cs="Arial" w:eastAsia="Arial" w:hAnsi="Arial"/>
                <w:b/>
                <w:bCs/>
                <w:color w:val="1a1814"/>
                <w:sz w:val="18"/>
                <w:szCs w:val="18"/>
              </w:rPr>
              <w:t xml:space="preserve">Metric to Track: </w:t>
            </w:r>
            <w:r>
              <w:rPr>
                <w:rFonts w:ascii="Arial" w:cs="Arial" w:eastAsia="Arial" w:hAnsi="Arial"/>
                <w:color w:val="444444"/>
                <w:sz w:val="18"/>
                <w:szCs w:val="18"/>
              </w:rPr>
              <w:t xml:space="preserve">Promo dependency rate among Platinum (target: drop from 44.5% to below 30% within 60 days of rollout). Revenue per Platinum customer (must not fall). Loyalty program enrollment rate (target: 60%+ within 30 days).</w:t>
            </w:r>
          </w:p>
          <w:p>
            <w:pPr>
              <w:spacing w:before="100"/>
            </w:pPr>
            <w:r>
              <w:rPr>
                <w:rFonts w:ascii="Arial" w:cs="Arial" w:eastAsia="Arial" w:hAnsi="Arial"/>
                <w:b/>
                <w:bCs/>
                <w:color w:val="D85A30"/>
                <w:sz w:val="18"/>
                <w:szCs w:val="18"/>
              </w:rPr>
              <w:t xml:space="preserve">⚠ Trade-off: </w:t>
            </w:r>
            <w:r>
              <w:rPr>
                <w:rFonts w:ascii="Arial" w:cs="Arial" w:eastAsia="Arial" w:hAnsi="Arial"/>
                <w:i/>
                <w:iCs/>
                <w:color w:val="555555"/>
                <w:sz w:val="18"/>
                <w:szCs w:val="18"/>
              </w:rPr>
              <w:t xml:space="preserve">44.5% of Platinum customers currently use promos. If the loyalty program does not feel sufficiently premium, up to 431 customers may reduce purchase frequency. At $77.69 avg spend, a 10% reduction in Platinum purchase rate costs approximately $7,500 in annualized revenue. Monitor review ratings — if avg drops below 3.5 in the test group, halt and run a win-back campaign before expanding.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A7517" w:val="clear"/>
            <w:tcMar>
              <w:top w:type="dxa" w:w="160"/>
              <w:left w:type="dxa" w:w="160"/>
              <w:bottom w:type="dxa" w:w="160"/>
              <w:right w:type="dxa" w:w="160"/>
            </w:tcMar>
            <w:vAlign w:val="center"/>
          </w:tcPr>
          <w:p>
            <w:pPr>
              <w:jc w:val="center"/>
            </w:pPr>
            <w:r>
              <w:rPr>
                <w:rFonts w:ascii="Arial" w:cs="Arial" w:eastAsia="Arial" w:hAnsi="Arial"/>
                <w:color w:val="FFFFFF"/>
                <w:sz w:val="16"/>
                <w:szCs w:val="16"/>
              </w:rPr>
              <w:t xml:space="preserve">Phase</w:t>
            </w:r>
          </w:p>
          <w:p>
            <w:pPr>
              <w:jc w:val="center"/>
            </w:pPr>
            <w:r>
              <w:rPr>
                <w:rFonts w:ascii="Arial" w:cs="Arial" w:eastAsia="Arial" w:hAnsi="Arial"/>
                <w:b/>
                <w:bCs/>
                <w:color w:val="FFFFFF"/>
                <w:sz w:val="48"/>
                <w:szCs w:val="48"/>
              </w:rPr>
              <w:t xml:space="preserve">3</w:t>
            </w:r>
          </w:p>
        </w:tc>
        <w:tc>
          <w:tcPr>
            <w:tcW w:type="dxa" w:w="8160"/>
            <w:tcBorders>
              <w:top w:val="none" w:color="FFFFFF" w:sz="0"/>
              <w:left w:val="none" w:color="FFFFFF" w:sz="0"/>
              <w:bottom w:val="none" w:color="FFFFFF" w:sz="0"/>
              <w:right w:val="none" w:color="FFFFFF" w:sz="0"/>
            </w:tcBorders>
            <w:shd w:fill="FEF3E2" w:val="clear"/>
            <w:tcMar>
              <w:top w:type="dxa" w:w="160"/>
              <w:left w:type="dxa" w:w="200"/>
              <w:bottom w:type="dxa" w:w="160"/>
              <w:right w:type="dxa" w:w="200"/>
            </w:tcMar>
          </w:tcPr>
          <w:p>
            <w:r>
              <w:rPr>
                <w:rFonts w:ascii="Arial" w:cs="Arial" w:eastAsia="Arial" w:hAnsi="Arial"/>
                <w:b/>
                <w:bCs/>
                <w:color w:val="BA7517"/>
                <w:sz w:val="24"/>
                <w:szCs w:val="24"/>
              </w:rPr>
              <w:t xml:space="preserve">Silver Tier — Retention Campaign First</w:t>
            </w:r>
          </w:p>
          <w:p>
            <w:pPr>
              <w:spacing w:before="80"/>
            </w:pPr>
            <w:r>
              <w:rPr>
                <w:rFonts w:ascii="Arial" w:cs="Arial" w:eastAsia="Arial" w:hAnsi="Arial"/>
                <w:b/>
                <w:bCs/>
                <w:color w:val="1a1814"/>
                <w:sz w:val="18"/>
                <w:szCs w:val="18"/>
              </w:rPr>
              <w:t xml:space="preserve">Segment: </w:t>
            </w:r>
            <w:r>
              <w:rPr>
                <w:rFonts w:ascii="Arial" w:cs="Arial" w:eastAsia="Arial" w:hAnsi="Arial"/>
                <w:color w:val="444444"/>
                <w:sz w:val="18"/>
                <w:szCs w:val="18"/>
              </w:rPr>
              <w:t xml:space="preserve">Silver customers: 978 customers, $56.38 avg spend, 21.1 avg previous purchases, 4.5% churn risk. This tier is at an inflection point — enough history to be retained, enough fragility to be lost.</w:t>
            </w:r>
          </w:p>
          <w:p>
            <w:pPr>
              <w:spacing w:before="60"/>
            </w:pPr>
            <w:r>
              <w:rPr>
                <w:rFonts w:ascii="Arial" w:cs="Arial" w:eastAsia="Arial" w:hAnsi="Arial"/>
                <w:b/>
                <w:bCs/>
                <w:color w:val="1a1814"/>
                <w:sz w:val="18"/>
                <w:szCs w:val="18"/>
              </w:rPr>
              <w:t xml:space="preserve">Trigger Behaviour: </w:t>
            </w:r>
            <w:r>
              <w:rPr>
                <w:rFonts w:ascii="Arial" w:cs="Arial" w:eastAsia="Arial" w:hAnsi="Arial"/>
                <w:color w:val="444444"/>
                <w:sz w:val="18"/>
                <w:szCs w:val="18"/>
              </w:rPr>
              <w:t xml:space="preserve">6-month rolling retention rate exceeds 60% AND the customer has made at least 2 purchases in the past 180 days without a promo. Do NOT remove promos for Silver customers who have used a promo in their last 3 transactions — they are not yet ready. Only the organic-behaving Silver cohort enters Phase 3.</w:t>
            </w:r>
          </w:p>
          <w:p>
            <w:pPr>
              <w:spacing w:before="60"/>
            </w:pPr>
            <w:r>
              <w:rPr>
                <w:rFonts w:ascii="Arial" w:cs="Arial" w:eastAsia="Arial" w:hAnsi="Arial"/>
                <w:b/>
                <w:bCs/>
                <w:color w:val="1a1814"/>
                <w:sz w:val="18"/>
                <w:szCs w:val="18"/>
              </w:rPr>
              <w:t xml:space="preserve">Timeline: </w:t>
            </w:r>
            <w:r>
              <w:rPr>
                <w:rFonts w:ascii="Arial" w:cs="Arial" w:eastAsia="Arial" w:hAnsi="Arial"/>
                <w:color w:val="444444"/>
                <w:sz w:val="18"/>
                <w:szCs w:val="18"/>
              </w:rPr>
              <w:t xml:space="preserve">Months 5–6. Before removing promos, run a value-add retention campaign for 60 days: personalized styling recommendations, free returns, category-specific content. Only after retention rate reaches 60% does the promo sunset begin. Start with the organic Silver cohort (~56.9% of Silver) and hold promos for the promo-dependent Silver cohort indefinitely.</w:t>
            </w:r>
          </w:p>
          <w:p>
            <w:pPr>
              <w:spacing w:before="60"/>
            </w:pPr>
            <w:r>
              <w:rPr>
                <w:rFonts w:ascii="Arial" w:cs="Arial" w:eastAsia="Arial" w:hAnsi="Arial"/>
                <w:b/>
                <w:bCs/>
                <w:color w:val="1a1814"/>
                <w:sz w:val="18"/>
                <w:szCs w:val="18"/>
              </w:rPr>
              <w:t xml:space="preserve">Metric to Track: </w:t>
            </w:r>
            <w:r>
              <w:rPr>
                <w:rFonts w:ascii="Arial" w:cs="Arial" w:eastAsia="Arial" w:hAnsi="Arial"/>
                <w:color w:val="444444"/>
                <w:sz w:val="18"/>
                <w:szCs w:val="18"/>
              </w:rPr>
              <w:t xml:space="preserve">Silver-tier 6-month retention rate (target: 60% before sunset begins). Post-sunset: monthly repeat purchase rate among sunset cohort. Churn rate (must not exceed 8% — current baseline is 4.5%).</w:t>
            </w:r>
          </w:p>
          <w:p>
            <w:pPr>
              <w:spacing w:before="100"/>
            </w:pPr>
            <w:r>
              <w:rPr>
                <w:rFonts w:ascii="Arial" w:cs="Arial" w:eastAsia="Arial" w:hAnsi="Arial"/>
                <w:b/>
                <w:bCs/>
                <w:color w:val="D85A30"/>
                <w:sz w:val="18"/>
                <w:szCs w:val="18"/>
              </w:rPr>
              <w:t xml:space="preserve">⚠ Trade-off: </w:t>
            </w:r>
            <w:r>
              <w:rPr>
                <w:rFonts w:ascii="Arial" w:cs="Arial" w:eastAsia="Arial" w:hAnsi="Arial"/>
                <w:i/>
                <w:iCs/>
                <w:color w:val="555555"/>
                <w:sz w:val="18"/>
                <w:szCs w:val="18"/>
              </w:rPr>
              <w:t xml:space="preserve">4.5% of Silver customers are already classified as churn risk. Moving too fast risks losing this cohort permanently. The value-add campaign costs approximately $2–3 per customer in fulfillment and content ($2,000–3,000 total) but prevents losing $56 avg-spend customers who would otherwise defect to a competitor running promotions.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4F0" w:val="clear"/>
            <w:tcMar>
              <w:top w:type="dxa" w:w="160"/>
              <w:left w:type="dxa" w:w="200"/>
              <w:bottom w:type="dxa" w:w="160"/>
              <w:right w:type="dxa" w:w="200"/>
            </w:tcMar>
          </w:tcPr>
          <w:p>
            <w:pPr>
              <w:spacing w:after="80" w:before="0"/>
            </w:pPr>
            <w:r>
              <w:rPr>
                <w:rFonts w:ascii="Arial" w:cs="Arial" w:eastAsia="Arial" w:hAnsi="Arial"/>
                <w:b/>
                <w:bCs/>
                <w:color w:val="888888"/>
                <w:sz w:val="22"/>
                <w:szCs w:val="22"/>
              </w:rPr>
              <w:t xml:space="preserve">Phase 4: Bronze — Hold Indefinitely</w:t>
            </w:r>
          </w:p>
          <w:p>
            <w:pPr>
              <w:spacing w:after="60" w:before="0"/>
            </w:pPr>
            <w:r>
              <w:rPr>
                <w:rFonts w:ascii="Arial" w:cs="Arial" w:eastAsia="Arial" w:hAnsi="Arial"/>
                <w:b/>
                <w:bCs/>
                <w:color w:val="1a1814"/>
                <w:sz w:val="19"/>
                <w:szCs w:val="19"/>
              </w:rPr>
              <w:t xml:space="preserve">Do not sunset promos for Bronze customers.</w:t>
            </w:r>
            <w:r>
              <w:rPr>
                <w:rFonts w:ascii="Arial" w:cs="Arial" w:eastAsia="Arial" w:hAnsi="Arial"/>
                <w:color w:val="444444"/>
                <w:sz w:val="19"/>
                <w:szCs w:val="19"/>
              </w:rPr>
              <w:t xml:space="preserve"> Bronze customers have 11.8 avg previous purchases, 14.2% churn risk, and 42.5% promo dependency. These are the newest and most fragile customers in the base. For many, the promo is the acquisition mechanism — removing it does not build loyalty, it simply fails to acquire.</w:t>
            </w:r>
          </w:p>
          <w:p>
            <w:pPr>
              <w:spacing w:after="0" w:before="60"/>
            </w:pPr>
            <w:r>
              <w:rPr>
                <w:rFonts w:ascii="Arial" w:cs="Arial" w:eastAsia="Arial" w:hAnsi="Arial"/>
                <w:color w:val="444444"/>
                <w:sz w:val="19"/>
                <w:szCs w:val="19"/>
              </w:rPr>
              <w:t xml:space="preserve">The goal for Bronze is not promo removal — it is conversion to Silver. The metric to track is the 90-day Silver upgrade rate: what percentage of Bronze customers make 3+ purchases within 90 days and cross the 15-purchase threshold? That is the transition worth optimizing, not discount elimination.</w:t>
            </w:r>
          </w:p>
        </w:tc>
      </w:tr>
    </w:tbl>
    <w:p>
      <w:pPr>
        <w:spacing w:after="0" w:before="200"/>
      </w:pPr>
      <w:r>
        <w:t xml:space="preserve"/>
      </w:r>
    </w:p>
    <w:p>
      <w:pPr>
        <w:spacing w:after="120" w:before="320"/>
      </w:pPr>
      <w:r>
        <w:rPr>
          <w:rFonts w:ascii="Arial" w:cs="Arial" w:eastAsia="Arial" w:hAnsi="Arial"/>
          <w:b/>
          <w:bCs/>
          <w:color w:val="533AB7"/>
          <w:sz w:val="26"/>
          <w:szCs w:val="26"/>
        </w:rPr>
        <w:t xml:space="preserve">Rollout Timeline Summary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900"/>
        <w:gridCol w:w="2200"/>
        <w:gridCol w:w="2160"/>
        <w:gridCol w:w="1900"/>
      </w:tblGrid>
      <w:tr>
        <w:trPr>
          <w:tblHeader/>
        </w:trPr>
        <w:tc>
          <w:tcPr>
            <w:tcW w:type="dxa" w:w="7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w:t>
            </w:r>
          </w:p>
        </w:tc>
        <w:tc>
          <w:tcPr>
            <w:tcW w:type="dxa" w:w="15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Segment</w:t>
            </w:r>
          </w:p>
        </w:tc>
        <w:tc>
          <w:tcPr>
            <w:tcW w:type="dxa" w:w="9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Month</w:t>
            </w:r>
          </w:p>
        </w:tc>
        <w:tc>
          <w:tcPr>
            <w:tcW w:type="dxa" w:w="22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Action</w:t>
            </w:r>
          </w:p>
        </w:tc>
        <w:tc>
          <w:tcPr>
            <w:tcW w:type="dxa" w:w="216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Success Metric</w:t>
            </w:r>
          </w:p>
        </w:tc>
        <w:tc>
          <w:tcPr>
            <w:tcW w:type="dxa" w:w="19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Abort Condition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A/B test: 300 no-promo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Repeat rate within 5pp of control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Repeat rate drops &gt;5pp</w:t>
            </w:r>
          </w:p>
        </w:tc>
      </w:tr>
      <w:tr>
        <w:tc>
          <w:tcPr>
            <w:tcW w:type="dxa" w:w="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w:t>
            </w:r>
          </w:p>
        </w:tc>
        <w:tc>
          <w:tcPr>
            <w:tcW w:type="dxa" w:w="15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Gold</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Expand to all Gold if test passes</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Promo rate falls below 35%</w:t>
            </w:r>
          </w:p>
        </w:tc>
        <w:tc>
          <w:tcPr>
            <w:tcW w:type="dxa" w:w="1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Any Tier revenue drop &gt;8%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Platinum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Replace promos with Loyalty Program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Promo rate drops to &lt;30%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Review rating drops &lt;3.5</w:t>
            </w:r>
          </w:p>
        </w:tc>
      </w:tr>
      <w:tr>
        <w:tc>
          <w:tcPr>
            <w:tcW w:type="dxa" w:w="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w:t>
            </w:r>
          </w:p>
        </w:tc>
        <w:tc>
          <w:tcPr>
            <w:tcW w:type="dxa" w:w="15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Silver (organic cohort)</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5–6</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Value-add campaign then promo removal</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Retention rate &gt;60%</w:t>
            </w:r>
          </w:p>
        </w:tc>
        <w:tc>
          <w:tcPr>
            <w:tcW w:type="dxa" w:w="1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Churn rate exceeds 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Bronze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Ongoing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Hold promos; focus on Silver upgrade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90-day Silver upgrade 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N/A — promos maintained</w:t>
            </w:r>
          </w:p>
        </w:tc>
      </w:tr>
    </w:tbl>
    <w:p>
      <w:pPr>
        <w:spacing w:after="0" w:before="300"/>
      </w:pPr>
      <w:r>
        <w:t xml:space="preserve"/>
      </w:r>
    </w:p>
    <w:p>
      <w:r>
        <w:br w:type="page"/>
      </w:r>
    </w:p>
    <w:p>
      <w:pPr>
        <w:pBdr>
          <w:bottom w:val="single" w:color="1a1814" w:sz="8" w:space="4"/>
        </w:pBdr>
        <w:spacing w:after="160" w:before="400"/>
      </w:pPr>
      <w:r>
        <w:rPr>
          <w:rFonts w:ascii="Arial" w:cs="Arial" w:eastAsia="Arial" w:hAnsi="Arial"/>
          <w:b/>
          <w:bCs/>
          <w:color w:val="1a1814"/>
          <w:sz w:val="36"/>
          <w:szCs w:val="36"/>
        </w:rPr>
        <w:t xml:space="preserve">Output 2: Ideal Customer Profile</w:t>
      </w:r>
    </w:p>
    <w:p>
      <w:pPr>
        <w:spacing w:after="60" w:before="60"/>
        <w:jc w:val="left"/>
      </w:pPr>
      <w:r>
        <w:rPr>
          <w:rFonts w:ascii="Arial" w:cs="Arial" w:eastAsia="Arial" w:hAnsi="Arial"/>
          <w:b w:val="false"/>
          <w:bCs w:val="false"/>
          <w:i w:val="false"/>
          <w:iCs w:val="false"/>
          <w:color w:val="333333"/>
          <w:sz w:val="20"/>
          <w:szCs w:val="20"/>
        </w:rPr>
        <w:t xml:space="preserve">A data-backed description of the brand's most valuable customer type, built from the 503 confirmed loyal customers (intersection of Loyalty V1 and V2 definitions) plus the 537 promo-free Platinum customers. Specific enough for a marketing team to build a paid acquisition targeting brief today.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814" w:val="clear"/>
            <w:tcMar>
              <w:top w:type="dxa" w:w="160"/>
              <w:left w:type="dxa" w:w="200"/>
              <w:bottom w:type="dxa" w:w="160"/>
              <w:right w:type="dxa" w:w="200"/>
            </w:tcMar>
          </w:tcPr>
          <w:p>
            <w:pPr>
              <w:spacing w:after="80" w:before="0"/>
              <w:jc w:val="center"/>
            </w:pPr>
            <w:r>
              <w:rPr>
                <w:rFonts w:ascii="Arial" w:cs="Arial" w:eastAsia="Arial" w:hAnsi="Arial"/>
                <w:b/>
                <w:bCs/>
                <w:color w:val="FFFFFF"/>
                <w:sz w:val="40"/>
                <w:szCs w:val="40"/>
              </w:rPr>
              <w:t xml:space="preserve">THE HABITUAL LOYALIST</w:t>
            </w:r>
          </w:p>
          <w:p>
            <w:pPr>
              <w:spacing w:after="0" w:before="0"/>
              <w:jc w:val="center"/>
            </w:pPr>
            <w:r>
              <w:rPr>
                <w:rFonts w:ascii="Arial" w:cs="Arial" w:eastAsia="Arial" w:hAnsi="Arial"/>
                <w:i/>
                <w:iCs/>
                <w:color w:val="AAAAAA"/>
                <w:sz w:val="19"/>
                <w:szCs w:val="19"/>
              </w:rPr>
              <w:t xml:space="preserve">Platinum Tier  ·  No Promo Required  ·  Confirmed Loyal (V1 ∩ V2)</w:t>
            </w:r>
          </w:p>
        </w:tc>
      </w:tr>
    </w:tbl>
    <w:p>
      <w:pPr>
        <w:spacing w:after="0" w:before="200"/>
      </w:pPr>
      <w:r>
        <w:t xml:space="preserve"/>
      </w:r>
    </w:p>
    <w:p>
      <w:pPr>
        <w:spacing w:after="120" w:before="320"/>
      </w:pPr>
      <w:r>
        <w:rPr>
          <w:rFonts w:ascii="Arial" w:cs="Arial" w:eastAsia="Arial" w:hAnsi="Arial"/>
          <w:b/>
          <w:bCs/>
          <w:color w:val="533AB7"/>
          <w:sz w:val="26"/>
          <w:szCs w:val="26"/>
        </w:rPr>
        <w:t xml:space="preserve">Demographic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AGE RANGE</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45–65 years (median 55+; this cohort has the deepest tenure and highest unprompted spend)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PRIMARY AGE BAND</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55+ is the single largest band at 28% of Platinum and 29% of confirmed loyal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GENDER</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70% Male, 30% Female among Platinum — acquisition targeting should skew Male but not exclude Female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SUBSCRIPTION</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71.3% are NOT subscribed — loyalty is behavioral, not contractual. Subscription is not a prerequisite.</w:t>
            </w:r>
          </w:p>
        </w:tc>
      </w:tr>
    </w:tbl>
    <w:p>
      <w:pPr>
        <w:spacing w:after="0" w:before="160"/>
      </w:pPr>
      <w:r>
        <w:t xml:space="preserve"/>
      </w:r>
    </w:p>
    <w:p>
      <w:pPr>
        <w:spacing w:after="120" w:before="320"/>
      </w:pPr>
      <w:r>
        <w:rPr>
          <w:rFonts w:ascii="Arial" w:cs="Arial" w:eastAsia="Arial" w:hAnsi="Arial"/>
          <w:b/>
          <w:bCs/>
          <w:color w:val="533AB7"/>
          <w:sz w:val="26"/>
          <w:szCs w:val="26"/>
        </w:rPr>
        <w:t xml:space="preserve">Behavioural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PURCHASE FREQUENCY</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Weekly (31%) or Bi-Weekly/Fortnightly (33%) — combined 64% buy at least twice per month without prompting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PREVIOUS PURCHASES</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35–50 orders (avg 38.6 for Platinum, 37.3 for confirmed loyal) — these are long-relationship customers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AVG ORDER VALUE</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$77.69 (Platinum overall)  ·  $78.33 (promo-free Platinum)  ·  $61.84 (confirmed loyal V1∩V2)</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PROMO SENSITIVITY</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Low to none. Promo-free Platinum buys at full price at $78.33 avg — above the promo group ($77.12)</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REVIEW BEHAVIOUR</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Avg rating 3.78 — satisfied but not vocal. These customers do not churn when experience is average.</w:t>
            </w:r>
          </w:p>
        </w:tc>
      </w:tr>
    </w:tbl>
    <w:p>
      <w:pPr>
        <w:spacing w:after="0" w:before="160"/>
      </w:pPr>
      <w:r>
        <w:t xml:space="preserve"/>
      </w:r>
    </w:p>
    <w:p>
      <w:pPr>
        <w:spacing w:after="120" w:before="320"/>
      </w:pPr>
      <w:r>
        <w:rPr>
          <w:rFonts w:ascii="Arial" w:cs="Arial" w:eastAsia="Arial" w:hAnsi="Arial"/>
          <w:b/>
          <w:bCs/>
          <w:color w:val="533AB7"/>
          <w:sz w:val="26"/>
          <w:szCs w:val="26"/>
        </w:rPr>
        <w:t xml:space="preserve">Product &amp; Category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PRIMARY CATEGORY</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Clothing (45% of Platinum purchases)  —  the core wardrobe category, not impulse or seasonal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SECONDARY CATEGORY</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Accessories (31%)  —  high repeat, retention anchor category with the highest avg tenure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TERTIARY CATEGORY</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Footwear (16%)  —  above-average spend, moderate frequency. Upsell opportunity within loyal base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AVOID TARGETING WITH</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Outerwear as primary hook  —  lowest avg spend ($57.17), highest promo rate (44%), seasonal not habitual</w:t>
            </w:r>
          </w:p>
        </w:tc>
      </w:tr>
    </w:tbl>
    <w:p>
      <w:pPr>
        <w:spacing w:after="0" w:before="160"/>
      </w:pPr>
      <w:r>
        <w:t xml:space="preserve"/>
      </w:r>
    </w:p>
    <w:p>
      <w:pPr>
        <w:spacing w:after="120" w:before="320"/>
      </w:pPr>
      <w:r>
        <w:rPr>
          <w:rFonts w:ascii="Arial" w:cs="Arial" w:eastAsia="Arial" w:hAnsi="Arial"/>
          <w:b/>
          <w:bCs/>
          <w:color w:val="533AB7"/>
          <w:sz w:val="26"/>
          <w:szCs w:val="26"/>
        </w:rPr>
        <w:t xml:space="preserve">Geographic &amp; Transactional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TOP ACQUISITION MARKETS</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Alaska, Pennsylvania, New York, Minnesota, Tennessee — highest concentration of promo-free Platinum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ORGANIC OPPORTUNITY STATES</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Arizona (organic score 65.0), Kansas (61.3), Alaska (60.0), Tennessee (58.7) — buy at full price above avg spend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PAYMENT METHOD</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Credit Card (19%), Cash (17%), Debit Card (16%)  —  avoid assuming mobile wallet preference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814" w:val="clear"/>
            <w:tcMar>
              <w:top w:type="dxa" w:w="80"/>
              <w:left w:type="dxa" w:w="160"/>
              <w:bottom w:type="dxa" w:w="80"/>
              <w:right w:type="dxa" w:w="160"/>
            </w:tcMar>
            <w:vAlign w:val="center"/>
          </w:tcPr>
          <w:p>
            <w:r>
              <w:rPr>
                <w:rFonts w:ascii="Arial" w:cs="Arial" w:eastAsia="Arial" w:hAnsi="Arial"/>
                <w:b/>
                <w:bCs/>
                <w:color w:val="AAAAAA"/>
                <w:sz w:val="17"/>
                <w:szCs w:val="17"/>
              </w:rPr>
              <w:t xml:space="preserve">SHIPPING PREFERENCE</w:t>
            </w:r>
          </w:p>
        </w:tc>
        <w:tc>
          <w:tcPr>
            <w:tcW w:type="dxa" w:w="6560"/>
            <w:tcBorders>
              <w:top w:val="none" w:color="FFFFFF" w:sz="0"/>
              <w:left w:val="none" w:color="FFFFFF" w:sz="0"/>
              <w:bottom w:val="none" w:color="FFFFFF" w:sz="0"/>
              <w:right w:val="none" w:color="FFFFFF" w:sz="0"/>
            </w:tcBorders>
            <w:shd w:fill="F5F4F0" w:val="clear"/>
            <w:tcMar>
              <w:top w:type="dxa" w:w="80"/>
              <w:left w:type="dxa" w:w="160"/>
              <w:bottom w:type="dxa" w:w="80"/>
              <w:right w:type="dxa" w:w="160"/>
            </w:tcMar>
            <w:vAlign w:val="center"/>
          </w:tcPr>
          <w:p>
            <w:r>
              <w:rPr>
                <w:rFonts w:ascii="Arial" w:cs="Arial" w:eastAsia="Arial" w:hAnsi="Arial"/>
                <w:b/>
                <w:bCs/>
                <w:color w:val="1a1814"/>
                <w:sz w:val="20"/>
                <w:szCs w:val="20"/>
              </w:rPr>
              <w:t xml:space="preserve">2-Day Shipping (18%), Standard (17%), Express (17%)  —  no strong single preference; convenience-neutral</w:t>
            </w:r>
          </w:p>
        </w:tc>
      </w:tr>
    </w:tbl>
    <w:p>
      <w:pPr>
        <w:spacing w:after="0" w:before="200"/>
      </w:pPr>
      <w:r>
        <w:t xml:space="preserve"/>
      </w:r>
    </w:p>
    <w:p>
      <w:pPr>
        <w:spacing w:after="120" w:before="320"/>
      </w:pPr>
      <w:r>
        <w:rPr>
          <w:rFonts w:ascii="Arial" w:cs="Arial" w:eastAsia="Arial" w:hAnsi="Arial"/>
          <w:b/>
          <w:bCs/>
          <w:color w:val="533AB7"/>
          <w:sz w:val="26"/>
          <w:szCs w:val="26"/>
        </w:rPr>
        <w:t xml:space="preserve">Paid Acquisition Targeting Brief</w:t>
      </w:r>
    </w:p>
    <w:p>
      <w:pPr>
        <w:spacing w:after="60" w:before="60"/>
        <w:jc w:val="left"/>
      </w:pPr>
      <w:r>
        <w:rPr>
          <w:rFonts w:ascii="Arial" w:cs="Arial" w:eastAsia="Arial" w:hAnsi="Arial"/>
          <w:b w:val="false"/>
          <w:bCs w:val="false"/>
          <w:i w:val="false"/>
          <w:iCs w:val="false"/>
          <w:color w:val="333333"/>
          <w:sz w:val="20"/>
          <w:szCs w:val="20"/>
        </w:rPr>
        <w:t xml:space="preserve">The following brief is ready for direct use in Meta Ads Manager, Google Ads, or a programmatic DSP: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100" w:before="0"/>
            </w:pPr>
            <w:r>
              <w:rPr>
                <w:rFonts w:ascii="Arial" w:cs="Arial" w:eastAsia="Arial" w:hAnsi="Arial"/>
                <w:b/>
                <w:bCs/>
                <w:color w:val="533AB7"/>
                <w:sz w:val="16"/>
                <w:szCs w:val="16"/>
              </w:rPr>
              <w:t xml:space="preserve">AUDIENCE SEED</w:t>
            </w:r>
          </w:p>
          <w:p>
            <w:pPr>
              <w:spacing w:after="80" w:before="0"/>
            </w:pPr>
            <w:r>
              <w:rPr>
                <w:rFonts w:ascii="Arial" w:cs="Arial" w:eastAsia="Arial" w:hAnsi="Arial"/>
                <w:color w:val="333333"/>
                <w:sz w:val="19"/>
                <w:szCs w:val="19"/>
              </w:rPr>
              <w:t xml:space="preserve">Upload the 503 confirmed loyal customers (loyal_v1 = 1 AND loyal_v2 = 1 from dataset_engineered.csv) as a Custom Audience. Build a Lookalike Audience at 1% similarity. This seed has avg 37.3 previous purchases and $61.84 avg order value — the highest LTV-per-acquisition signal in the dataset.</w:t>
            </w:r>
          </w:p>
          <w:p>
            <w:pPr>
              <w:spacing w:after="100" w:before="80"/>
            </w:pPr>
            <w:r>
              <w:rPr>
                <w:rFonts w:ascii="Arial" w:cs="Arial" w:eastAsia="Arial" w:hAnsi="Arial"/>
                <w:b/>
                <w:bCs/>
                <w:color w:val="533AB7"/>
                <w:sz w:val="16"/>
                <w:szCs w:val="16"/>
              </w:rPr>
              <w:t xml:space="preserve">TARGETING PARAMETERS</w:t>
            </w:r>
          </w:p>
          <w:p>
            <w:pPr>
              <w:pStyle w:val="ListParagraph"/>
              <w:numPr>
                <w:ilvl w:val="0"/>
                <w:numId w:val="2"/>
              </w:numPr>
              <w:spacing w:after="40" w:before="40"/>
            </w:pPr>
            <w:r>
              <w:rPr>
                <w:rFonts w:ascii="Arial" w:cs="Arial" w:eastAsia="Arial" w:hAnsi="Arial"/>
                <w:color w:val="333333"/>
                <w:sz w:val="19"/>
                <w:szCs w:val="19"/>
              </w:rPr>
              <w:t xml:space="preserve">Age: 45–65 (primary), 35–44 (secondary expansion)</w:t>
            </w:r>
          </w:p>
          <w:p>
            <w:pPr>
              <w:pStyle w:val="ListParagraph"/>
              <w:numPr>
                <w:ilvl w:val="0"/>
                <w:numId w:val="2"/>
              </w:numPr>
              <w:spacing w:after="40" w:before="40"/>
            </w:pPr>
            <w:r>
              <w:rPr>
                <w:rFonts w:ascii="Arial" w:cs="Arial" w:eastAsia="Arial" w:hAnsi="Arial"/>
                <w:color w:val="333333"/>
                <w:sz w:val="19"/>
                <w:szCs w:val="19"/>
              </w:rPr>
              <w:t xml:space="preserve">Gender: Male primary, All genders secondary</w:t>
            </w:r>
          </w:p>
          <w:p>
            <w:pPr>
              <w:pStyle w:val="ListParagraph"/>
              <w:numPr>
                <w:ilvl w:val="0"/>
                <w:numId w:val="2"/>
              </w:numPr>
              <w:spacing w:after="40" w:before="40"/>
            </w:pPr>
            <w:r>
              <w:rPr>
                <w:rFonts w:ascii="Arial" w:cs="Arial" w:eastAsia="Arial" w:hAnsi="Arial"/>
                <w:color w:val="333333"/>
                <w:sz w:val="19"/>
                <w:szCs w:val="19"/>
              </w:rPr>
              <w:t xml:space="preserve">Geo: AK, AZ, TN, KS, PA, NY, MN as priority states</w:t>
            </w:r>
          </w:p>
          <w:p>
            <w:pPr>
              <w:pStyle w:val="ListParagraph"/>
              <w:numPr>
                <w:ilvl w:val="0"/>
                <w:numId w:val="2"/>
              </w:numPr>
              <w:spacing w:after="40" w:before="40"/>
            </w:pPr>
            <w:r>
              <w:rPr>
                <w:rFonts w:ascii="Arial" w:cs="Arial" w:eastAsia="Arial" w:hAnsi="Arial"/>
                <w:color w:val="333333"/>
                <w:sz w:val="19"/>
                <w:szCs w:val="19"/>
              </w:rPr>
              <w:t xml:space="preserve">Interest signals: clothing, fashion, accessories (not outerwear, not seasonal)</w:t>
            </w:r>
          </w:p>
          <w:p>
            <w:pPr>
              <w:pStyle w:val="ListParagraph"/>
              <w:numPr>
                <w:ilvl w:val="0"/>
                <w:numId w:val="2"/>
              </w:numPr>
              <w:spacing w:after="40" w:before="40"/>
            </w:pPr>
            <w:r>
              <w:rPr>
                <w:rFonts w:ascii="Arial" w:cs="Arial" w:eastAsia="Arial" w:hAnsi="Arial"/>
                <w:color w:val="333333"/>
                <w:sz w:val="19"/>
                <w:szCs w:val="19"/>
              </w:rPr>
              <w:t xml:space="preserve">Payment behaviour: credit card or debit card holders (exclude BNPL audiences)</w:t>
            </w:r>
          </w:p>
          <w:p>
            <w:pPr>
              <w:spacing w:after="100" w:before="100"/>
            </w:pPr>
            <w:r>
              <w:rPr>
                <w:rFonts w:ascii="Arial" w:cs="Arial" w:eastAsia="Arial" w:hAnsi="Arial"/>
                <w:b/>
                <w:bCs/>
                <w:color w:val="533AB7"/>
                <w:sz w:val="16"/>
                <w:szCs w:val="16"/>
              </w:rPr>
              <w:t xml:space="preserve">CREATIVE DIRECTION</w:t>
            </w:r>
          </w:p>
          <w:p>
            <w:pPr>
              <w:spacing w:after="60" w:before="0"/>
            </w:pPr>
            <w:r>
              <w:rPr>
                <w:rFonts w:ascii="Arial" w:cs="Arial" w:eastAsia="Arial" w:hAnsi="Arial"/>
                <w:b/>
                <w:bCs/>
                <w:color w:val="D85A30"/>
                <w:sz w:val="19"/>
                <w:szCs w:val="19"/>
              </w:rPr>
              <w:t xml:space="preserve">Do NOT use sale, discount, or promo language in acquisition creatives targeting this profile.</w:t>
            </w:r>
          </w:p>
          <w:p>
            <w:pPr>
              <w:spacing w:after="60" w:before="0"/>
            </w:pPr>
            <w:r>
              <w:rPr>
                <w:rFonts w:ascii="Arial" w:cs="Arial" w:eastAsia="Arial" w:hAnsi="Arial"/>
                <w:color w:val="444444"/>
                <w:sz w:val="19"/>
                <w:szCs w:val="19"/>
              </w:rPr>
              <w:t xml:space="preserve">The Habitual Loyalist responds to product quality, wardrobe utility, and brand consistency — not urgency or price signals. Creatives that use SALE or % OFF attract Bronze-profile bargain hunters, not this customer type. Using discount-free creative will underperform a discount ad in short-term CTR but will attract customers who do not churn when promos end.</w:t>
            </w:r>
          </w:p>
          <w:p>
            <w:pPr>
              <w:spacing w:after="0" w:before="60"/>
            </w:pPr>
            <w:r>
              <w:rPr>
                <w:rFonts w:ascii="Arial" w:cs="Arial" w:eastAsia="Arial" w:hAnsi="Arial"/>
                <w:i/>
                <w:iCs/>
                <w:color w:val="444444"/>
                <w:sz w:val="19"/>
                <w:szCs w:val="19"/>
              </w:rPr>
              <w:t xml:space="preserve">Recommended hook: Product-led, showing clothing or accessories in everyday context. No countdown timers. No limited-time offers. CTA: Shop the Collection or Find Your Fit — not Save 20% Today.</w:t>
            </w:r>
          </w:p>
        </w:tc>
      </w:tr>
    </w:tbl>
    <w:p>
      <w:pPr>
        <w:spacing w:after="0" w:before="200"/>
      </w:pPr>
      <w:r>
        <w:t xml:space="preserve"/>
      </w:r>
    </w:p>
    <w:p>
      <w:pPr>
        <w:spacing w:after="120" w:before="320"/>
      </w:pPr>
      <w:r>
        <w:rPr>
          <w:rFonts w:ascii="Arial" w:cs="Arial" w:eastAsia="Arial" w:hAnsi="Arial"/>
          <w:b/>
          <w:bCs/>
          <w:color w:val="533AB7"/>
          <w:sz w:val="26"/>
          <w:szCs w:val="26"/>
        </w:rPr>
        <w:t xml:space="preserve">Trade-off: What This Profile Costs You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after="80" w:before="0"/>
            </w:pPr>
            <w:r>
              <w:rPr>
                <w:rFonts w:ascii="Arial" w:cs="Arial" w:eastAsia="Arial" w:hAnsi="Arial"/>
                <w:b/>
                <w:bCs/>
                <w:color w:val="D85A30"/>
                <w:sz w:val="20"/>
                <w:szCs w:val="20"/>
              </w:rPr>
              <w:t xml:space="preserve">⚠  The Cost of Targeting the Loyal Profile</w:t>
            </w:r>
          </w:p>
          <w:p>
            <w:pPr>
              <w:spacing w:after="60" w:before="0"/>
            </w:pPr>
            <w:r>
              <w:rPr>
                <w:rFonts w:ascii="Arial" w:cs="Arial" w:eastAsia="Arial" w:hAnsi="Arial"/>
                <w:color w:val="444444"/>
                <w:sz w:val="19"/>
                <w:szCs w:val="19"/>
              </w:rPr>
              <w:t xml:space="preserve">Acquisition campaigns built on this profile will show lower short-term ROAS than a discount-driven campaign targeting Bronze-profile customers. A 20% OFF ad will always generate more immediate clicks and conversions than a full-price brand creative.</w:t>
            </w:r>
          </w:p>
          <w:p>
            <w:pPr>
              <w:spacing w:after="60" w:before="60"/>
            </w:pPr>
            <w:r>
              <w:rPr>
                <w:rFonts w:ascii="Arial" w:cs="Arial" w:eastAsia="Arial" w:hAnsi="Arial"/>
                <w:color w:val="444444"/>
                <w:sz w:val="19"/>
                <w:szCs w:val="19"/>
              </w:rPr>
              <w:t xml:space="preserve">The trade-off is LTV vs. volume. A Bronze customer acquired via discount costs roughly the same CPM but generates $41.84 avg order value, 14.2% churn risk, and requires ongoing promo spend to retain. A Habitual Loyalist acquired via full-price creative generates $77.69 avg order value, 0.0% churn risk, and self-sustains without incentive.</w:t>
            </w:r>
          </w:p>
          <w:p>
            <w:pPr>
              <w:spacing w:after="0" w:before="60"/>
            </w:pPr>
            <w:r>
              <w:rPr>
                <w:rFonts w:ascii="Arial" w:cs="Arial" w:eastAsia="Arial" w:hAnsi="Arial"/>
                <w:color w:val="444444"/>
                <w:sz w:val="19"/>
                <w:szCs w:val="19"/>
              </w:rPr>
              <w:t xml:space="preserve">Decision rule: if the brand is optimizing for short-term revenue and needs volume now, run discount campaigns alongside this profile in separate ad sets. If the brand is optimizing to reduce promo dependency (the stated goal of this playbook), allocate at least 60% of acquisition budget to the Habitual Loyalist profile and accept lower short-term ROAS as the cost of building a loyal base.</w:t>
            </w:r>
          </w:p>
        </w:tc>
      </w:tr>
    </w:tbl>
    <w:p>
      <w:pPr>
        <w:spacing w:after="0" w:before="200"/>
      </w:pPr>
      <w:r>
        <w:t xml:space="preserve"/>
      </w:r>
    </w:p>
    <w:p>
      <w:pPr>
        <w:pBdr>
          <w:bottom w:val="single" w:color="1a1814" w:sz="8" w:space="4"/>
        </w:pBdr>
        <w:spacing w:after="160" w:before="400"/>
      </w:pPr>
      <w:r>
        <w:rPr>
          <w:rFonts w:ascii="Arial" w:cs="Arial" w:eastAsia="Arial" w:hAnsi="Arial"/>
          <w:b/>
          <w:bCs/>
          <w:color w:val="1a1814"/>
          <w:sz w:val="36"/>
          <w:szCs w:val="36"/>
        </w:rPr>
        <w:t xml:space="preserve">Quick Reference Summary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Dimension</w:t>
            </w:r>
          </w:p>
        </w:tc>
        <w:tc>
          <w:tcPr>
            <w:tcW w:type="dxa" w:w="378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Promotional Sunset Plan</w:t>
            </w:r>
          </w:p>
        </w:tc>
        <w:tc>
          <w:tcPr>
            <w:tcW w:type="dxa" w:w="3780"/>
            <w:tcBorders>
              <w:top w:val="single" w:color="CCCCCC" w:sz="1"/>
              <w:left w:val="single" w:color="CCCCCC" w:sz="1"/>
              <w:bottom w:val="single" w:color="CCCCCC" w:sz="1"/>
              <w:right w:val="single" w:color="CCCCCC" w:sz="1"/>
            </w:tcBorders>
            <w:shd w:fill="1a181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Ideal Customer Profile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First Action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A/B test 300 Gold customers, promo-free, for 30 days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Upload 503 confirmed loyal as seed audience immediately</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Segment</w:t>
            </w:r>
          </w:p>
        </w:tc>
        <w:tc>
          <w:tcPr>
            <w:tcW w:type="dxa" w:w="378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Gold (Phase 1) → Platinum (2) → Silver (3)</w:t>
            </w:r>
          </w:p>
        </w:tc>
        <w:tc>
          <w:tcPr>
            <w:tcW w:type="dxa" w:w="378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Platinum, promo-free — Habitual Loyalist archetype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Trigger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 consecutive unprompted purchases (Gold)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Age 45-65, weekly/bi-weekly buyer, Clothing + Accessories</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Timeline</w:t>
            </w:r>
          </w:p>
        </w:tc>
        <w:tc>
          <w:tcPr>
            <w:tcW w:type="dxa" w:w="378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 months phased rollout</w:t>
            </w:r>
          </w:p>
        </w:tc>
        <w:tc>
          <w:tcPr>
            <w:tcW w:type="dxa" w:w="378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Campaign can launch this week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Key Metric</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30-day repeat rate vs. control group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LTV at 6 months vs. Bronze cohort</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Abort Condition</w:t>
            </w:r>
          </w:p>
        </w:tc>
        <w:tc>
          <w:tcPr>
            <w:tcW w:type="dxa" w:w="378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Repeat rate drops &gt;5pp or churn exceeds tier baseline</w:t>
            </w:r>
          </w:p>
        </w:tc>
        <w:tc>
          <w:tcPr>
            <w:tcW w:type="dxa" w:w="378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ROAS below breakeven at 90 days vs. Bronze benchmark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Trade-off</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Risk: frequency drop in promo-conditioned customers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Risk: lower short-term ROAS vs. discount acquisition</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Expected Upside</w:t>
            </w:r>
          </w:p>
        </w:tc>
        <w:tc>
          <w:tcPr>
            <w:tcW w:type="dxa" w:w="378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~$12,293 margin recovery across 3 phases (@15% discount depth)</w:t>
            </w:r>
          </w:p>
        </w:tc>
        <w:tc>
          <w:tcPr>
            <w:tcW w:type="dxa" w:w="378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Customers with 0% churn risk and $77.69 avg order value</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814" w:val="clear"/>
            <w:tcMar>
              <w:top w:type="dxa" w:w="160"/>
              <w:left w:type="dxa" w:w="200"/>
              <w:bottom w:type="dxa" w:w="160"/>
              <w:right w:type="dxa" w:w="200"/>
            </w:tcMar>
          </w:tcPr>
          <w:p>
            <w:pPr>
              <w:spacing w:after="60" w:before="0"/>
              <w:jc w:val="center"/>
            </w:pPr>
            <w:r>
              <w:rPr>
                <w:rFonts w:ascii="Arial" w:cs="Arial" w:eastAsia="Arial" w:hAnsi="Arial"/>
                <w:b/>
                <w:bCs/>
                <w:color w:val="FFFFFF"/>
                <w:sz w:val="24"/>
                <w:szCs w:val="24"/>
              </w:rPr>
              <w:t xml:space="preserve">Final Verdict</w:t>
            </w:r>
          </w:p>
          <w:p>
            <w:pPr>
              <w:spacing w:after="0" w:before="0"/>
              <w:jc w:val="center"/>
            </w:pPr>
            <w:r>
              <w:rPr>
                <w:rFonts w:ascii="Arial" w:cs="Arial" w:eastAsia="Arial" w:hAnsi="Arial"/>
                <w:i/>
                <w:iCs/>
                <w:color w:val="CCCCCC"/>
                <w:sz w:val="19"/>
                <w:szCs w:val="19"/>
              </w:rPr>
              <w:t xml:space="preserve">The business has the data, the customer base, and the organic revenue share to reduce promo dependency without losing volume — but only if it moves segment by segment, measures relentlessly, and does not cut discounts from Bronze.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6E0" w:sz="4" w:space="4"/>
      </w:pBdr>
      <w:spacing w:before="80"/>
    </w:pPr>
    <w:r>
      <w:rPr>
        <w:rFonts w:ascii="Arial" w:cs="Arial" w:eastAsia="Arial" w:hAnsi="Arial"/>
        <w:color w:val="888888"/>
        <w:sz w:val="16"/>
        <w:szCs w:val="16"/>
      </w:rPr>
      <w:t xml:space="preserve">D2C Fashion Brand  ·  Customer Intelligence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6E0" w:sz="4" w:space="4"/>
      </w:pBdr>
      <w:tabs>
        <w:tab w:val="right" w:pos="9026"/>
      </w:tabs>
      <w:spacing w:after="0"/>
    </w:pPr>
    <w:r>
      <w:rPr>
        <w:rFonts w:ascii="Arial" w:cs="Arial" w:eastAsia="Arial" w:hAnsi="Arial"/>
        <w:b/>
        <w:bCs/>
        <w:color w:val="533AB7"/>
        <w:sz w:val="16"/>
        <w:szCs w:val="16"/>
      </w:rPr>
      <w:t xml:space="preserve">DECODING CUSTOMER VALUE</w:t>
    </w:r>
    <w:r>
      <w:rPr>
        <w:rFonts w:ascii="Arial" w:cs="Arial" w:eastAsia="Arial" w:hAnsi="Arial"/>
        <w:color w:val="888888"/>
        <w:sz w:val="16"/>
        <w:szCs w:val="16"/>
      </w:rPr>
      <w:t xml:space="preserve">		Retention Playbook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533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2026-06-09T11:28:29.966Z</dcterms:created>
  <dcterms:modified xsi:type="dcterms:W3CDTF">2026-06-09T11:28:29.967Z</dcterms:modified>
</cp:coreProperties>
</file>

<file path=docProps/custom.xml><?xml version="1.0" encoding="utf-8"?>
<Properties xmlns="http://schemas.openxmlformats.org/officeDocument/2006/custom-properties" xmlns:vt="http://schemas.openxmlformats.org/officeDocument/2006/docPropsVTypes"/>
</file>