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3D4FF">
      <w:pPr>
        <w:spacing w:before="230" w:line="223" w:lineRule="auto"/>
        <w:jc w:val="both"/>
        <w:rPr>
          <w:rFonts w:ascii="宋体" w:hAnsi="宋体" w:cs="宋体"/>
          <w:b/>
          <w:bCs/>
          <w:spacing w:val="-1"/>
          <w:sz w:val="71"/>
          <w:szCs w:val="71"/>
        </w:rPr>
      </w:pPr>
      <w:bookmarkStart w:id="0" w:name="_Toc7149"/>
    </w:p>
    <w:p w14:paraId="42D3B305">
      <w:pPr>
        <w:spacing w:before="230" w:line="223" w:lineRule="auto"/>
        <w:jc w:val="both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65E32C37">
      <w:pPr>
        <w:spacing w:before="80" w:line="221" w:lineRule="auto"/>
        <w:jc w:val="center"/>
        <w:outlineLvl w:val="0"/>
        <w:rPr>
          <w:rFonts w:hint="eastAsia" w:ascii="宋体" w:hAnsi="宋体" w:cs="宋体"/>
          <w:sz w:val="72"/>
          <w:szCs w:val="72"/>
        </w:rPr>
      </w:pPr>
      <w:bookmarkStart w:id="1" w:name="_Toc2670"/>
      <w:bookmarkStart w:id="2" w:name="_Toc8001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</w:t>
      </w:r>
      <w:r>
        <w:rPr>
          <w:rFonts w:hint="eastAsia" w:ascii="宋体" w:hAnsi="宋体" w:cs="宋体"/>
          <w:b/>
          <w:bCs/>
          <w:spacing w:val="1"/>
          <w:sz w:val="72"/>
          <w:szCs w:val="72"/>
          <w:lang w:val="en-US" w:eastAsia="zh-CN"/>
        </w:rPr>
        <w:t>验证</w:t>
      </w:r>
      <w:r>
        <w:rPr>
          <w:rFonts w:hint="eastAsia" w:ascii="宋体" w:hAnsi="宋体" w:cs="宋体"/>
          <w:b/>
          <w:bCs/>
          <w:spacing w:val="1"/>
          <w:sz w:val="72"/>
          <w:szCs w:val="72"/>
        </w:rPr>
        <w:t>报告</w:t>
      </w:r>
      <w:bookmarkEnd w:id="1"/>
      <w:bookmarkEnd w:id="2"/>
    </w:p>
    <w:p w14:paraId="7B2CAD8A">
      <w:pPr>
        <w:spacing w:before="15"/>
      </w:pPr>
    </w:p>
    <w:p w14:paraId="44070C01">
      <w:pPr>
        <w:spacing w:before="14"/>
      </w:pPr>
    </w:p>
    <w:p w14:paraId="41BEDDFA">
      <w:pPr>
        <w:spacing w:before="14"/>
      </w:pPr>
    </w:p>
    <w:p w14:paraId="258F76EC">
      <w:pPr>
        <w:spacing w:before="14"/>
      </w:pPr>
    </w:p>
    <w:p w14:paraId="514E8406">
      <w:pPr>
        <w:spacing w:before="14"/>
      </w:pPr>
    </w:p>
    <w:p w14:paraId="27EF3E1B">
      <w:pPr>
        <w:spacing w:before="14"/>
      </w:pPr>
    </w:p>
    <w:tbl>
      <w:tblPr>
        <w:tblStyle w:val="14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42B70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E4C4BD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7FFF1F79">
            <w:pPr>
              <w:spacing w:before="209"/>
              <w:jc w:val="center"/>
              <w:rPr>
                <w:rFonts w:hint="default"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65D9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6D9C501">
            <w:pPr>
              <w:spacing w:before="209"/>
              <w:jc w:val="center"/>
              <w:rPr>
                <w:rFonts w:hint="eastAsia"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107BA2B8">
            <w:pPr>
              <w:spacing w:before="209"/>
              <w:jc w:val="center"/>
              <w:rPr>
                <w:rFonts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85CD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17D9C8A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78E611CD">
            <w:pPr>
              <w:spacing w:before="209"/>
              <w:jc w:val="center"/>
              <w:rPr>
                <w:rFonts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  <w:bookmarkStart w:id="11" w:name="_GoBack"/>
            <w:bookmarkEnd w:id="11"/>
          </w:p>
        </w:tc>
      </w:tr>
      <w:tr w14:paraId="11E42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E32696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7974180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"/>
            <w:bookmarkEnd w:id="3"/>
          </w:p>
        </w:tc>
        <w:tc>
          <w:tcPr>
            <w:tcW w:w="2003" w:type="dxa"/>
            <w:noWrap w:val="0"/>
            <w:vAlign w:val="top"/>
          </w:tcPr>
          <w:p w14:paraId="5110C4AA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66B870F9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编制日期"/>
            <w:bookmarkEnd w:id="4"/>
          </w:p>
        </w:tc>
      </w:tr>
      <w:tr w14:paraId="2087C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55EEE6E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3CA92F8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"/>
            <w:bookmarkEnd w:id="5"/>
          </w:p>
        </w:tc>
        <w:tc>
          <w:tcPr>
            <w:tcW w:w="2003" w:type="dxa"/>
            <w:noWrap w:val="0"/>
            <w:vAlign w:val="top"/>
          </w:tcPr>
          <w:p w14:paraId="61A13F9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0838340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审核日期"/>
            <w:bookmarkEnd w:id="6"/>
          </w:p>
        </w:tc>
      </w:tr>
      <w:tr w14:paraId="6236C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E9C2F8A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031CC5C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"/>
            <w:bookmarkEnd w:id="7"/>
          </w:p>
        </w:tc>
        <w:tc>
          <w:tcPr>
            <w:tcW w:w="2003" w:type="dxa"/>
            <w:noWrap w:val="0"/>
            <w:vAlign w:val="top"/>
          </w:tcPr>
          <w:p w14:paraId="69BC824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7BF98CE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8" w:name="批准日期"/>
            <w:bookmarkEnd w:id="8"/>
          </w:p>
        </w:tc>
      </w:tr>
    </w:tbl>
    <w:p w14:paraId="0C25DACA">
      <w:pPr>
        <w:rPr>
          <w:rFonts w:ascii="Arial" w:hAnsi="Arial" w:eastAsia="Arial" w:cs="Arial"/>
          <w:szCs w:val="21"/>
        </w:rPr>
      </w:pPr>
    </w:p>
    <w:p w14:paraId="2ABAA960">
      <w:pPr>
        <w:rPr>
          <w:rFonts w:ascii="Arial" w:hAnsi="Arial" w:eastAsia="Arial" w:cs="Arial"/>
          <w:szCs w:val="21"/>
        </w:rPr>
      </w:pPr>
    </w:p>
    <w:p w14:paraId="6FA0CE98">
      <w:pPr>
        <w:rPr>
          <w:rFonts w:ascii="Arial" w:hAnsi="Arial" w:eastAsia="Arial" w:cs="Arial"/>
          <w:szCs w:val="21"/>
        </w:rPr>
      </w:pPr>
    </w:p>
    <w:p w14:paraId="2D8813FD">
      <w:pPr>
        <w:rPr>
          <w:rFonts w:ascii="Arial" w:hAnsi="Arial" w:eastAsia="Arial" w:cs="Arial"/>
          <w:szCs w:val="21"/>
        </w:rPr>
      </w:pPr>
    </w:p>
    <w:p w14:paraId="34585A78">
      <w:pPr>
        <w:rPr>
          <w:rFonts w:ascii="Arial" w:hAnsi="Arial" w:eastAsia="Arial" w:cs="Arial"/>
          <w:szCs w:val="21"/>
        </w:rPr>
      </w:pPr>
    </w:p>
    <w:p w14:paraId="4654ABA1">
      <w:pPr>
        <w:rPr>
          <w:rFonts w:ascii="Arial" w:hAnsi="Arial" w:eastAsia="Arial" w:cs="Arial"/>
          <w:szCs w:val="21"/>
        </w:rPr>
      </w:pPr>
    </w:p>
    <w:bookmarkEnd w:id="0"/>
    <w:p w14:paraId="7C193083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9866620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62C646C3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634F60C1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52754D75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5161CC68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1A182C65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188BF29E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p w14:paraId="132B71E5">
      <w:pPr>
        <w:pStyle w:val="11"/>
        <w:tabs>
          <w:tab w:val="right" w:leader="dot" w:pos="8306"/>
        </w:tabs>
        <w:jc w:val="center"/>
      </w:pP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t>目录</w:t>
      </w: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fldChar w:fldCharType="begin"/>
      </w: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instrText xml:space="preserve">TOC \o "1-2" \h \u </w:instrText>
      </w: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fldChar w:fldCharType="separate"/>
      </w:r>
    </w:p>
    <w:p w14:paraId="61BD4817">
      <w:pPr>
        <w:pStyle w:val="11"/>
        <w:tabs>
          <w:tab w:val="right" w:leader="dot" w:pos="8306"/>
        </w:tabs>
        <w:spacing w:line="360" w:lineRule="auto"/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</w:pP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HYPERLINK \l _Toc4174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1.</w:t>
      </w:r>
      <w:r>
        <w:rPr>
          <w:rFonts w:hint="default" w:eastAsia="黑体" w:cs="Times New Roman"/>
          <w:bCs w:val="0"/>
          <w:kern w:val="44"/>
          <w:sz w:val="24"/>
          <w:szCs w:val="24"/>
          <w:lang w:val="en-US" w:eastAsia="zh-CN"/>
        </w:rPr>
        <w:t>软件验证和确认过程的描述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ab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PAGEREF _Toc4174 \h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5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40AA8308">
      <w:pPr>
        <w:pStyle w:val="11"/>
        <w:tabs>
          <w:tab w:val="right" w:leader="dot" w:pos="8306"/>
        </w:tabs>
        <w:spacing w:line="360" w:lineRule="auto"/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</w:pP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HYPERLINK \l _Toc1197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2. 测试的目的和范围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ab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PAGEREF _Toc1197 \h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5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4A83AD8F">
      <w:pPr>
        <w:pStyle w:val="11"/>
        <w:tabs>
          <w:tab w:val="right" w:leader="dot" w:pos="8306"/>
        </w:tabs>
        <w:spacing w:line="360" w:lineRule="auto"/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</w:pP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HYPERLINK \l _Toc21395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3. 测试方法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ab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PAGEREF _Toc21395 \h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5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10927E49">
      <w:pPr>
        <w:pStyle w:val="11"/>
        <w:tabs>
          <w:tab w:val="right" w:leader="dot" w:pos="8306"/>
        </w:tabs>
        <w:spacing w:line="360" w:lineRule="auto"/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</w:pP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HYPERLINK \l _Toc1962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4</w:t>
      </w:r>
      <w:r>
        <w:rPr>
          <w:rFonts w:hint="default" w:eastAsia="黑体" w:cs="Times New Roman"/>
          <w:bCs w:val="0"/>
          <w:kern w:val="44"/>
          <w:sz w:val="24"/>
          <w:szCs w:val="24"/>
          <w:lang w:val="en-US" w:eastAsia="zh-CN"/>
        </w:rPr>
        <w:t xml:space="preserve">. 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测试记录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ab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PAGEREF _Toc1962 \h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5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51B1F34C">
      <w:pPr>
        <w:pStyle w:val="11"/>
        <w:tabs>
          <w:tab w:val="right" w:leader="dot" w:pos="8306"/>
        </w:tabs>
        <w:spacing w:line="360" w:lineRule="auto"/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</w:pP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HYPERLINK \l _Toc24069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5. 结论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ab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instrText xml:space="preserve"> PAGEREF _Toc24069 \h </w:instrTex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t>6</w:t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  <w:r>
        <w:rPr>
          <w:rFonts w:hint="eastAsia" w:eastAsia="黑体" w:cs="Times New Roman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6433C411">
      <w:pPr>
        <w:pStyle w:val="7"/>
        <w:jc w:val="both"/>
        <w:rPr>
          <w:rFonts w:hint="eastAsia" w:eastAsia="黑体"/>
          <w:bCs w:val="0"/>
          <w:kern w:val="44"/>
          <w:szCs w:val="44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docGrid w:type="lines" w:linePitch="312" w:charSpace="0"/>
        </w:sectPr>
      </w:pPr>
      <w:r>
        <w:rPr>
          <w:rFonts w:hint="eastAsia" w:eastAsia="黑体"/>
          <w:bCs w:val="0"/>
          <w:kern w:val="44"/>
          <w:szCs w:val="44"/>
          <w:lang w:val="en-US" w:eastAsia="zh-CN"/>
        </w:rPr>
        <w:fldChar w:fldCharType="end"/>
      </w:r>
    </w:p>
    <w:p w14:paraId="4075DBDB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>软件验证和确认过程的描述</w:t>
      </w:r>
    </w:p>
    <w:p w14:paraId="5687A5C0">
      <w:pP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对每个软件单元建立测试用例，明确测试状态，测试方法，以及可接受准则。根据所建立策略对实现的软件单元进行验证。验证结果记录在单元测试报告中。</w:t>
      </w:r>
    </w:p>
    <w:p w14:paraId="53443233">
      <w:pPr>
        <w:rPr>
          <w:rFonts w:ascii="宋体" w:hAnsi="宋体" w:cs="Times New Roman"/>
          <w:kern w:val="0"/>
          <w:szCs w:val="21"/>
        </w:rPr>
      </w:pPr>
    </w:p>
    <w:p w14:paraId="4496E658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eastAsia"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测试的目的和范围</w:t>
      </w:r>
    </w:p>
    <w:p w14:paraId="20812DD6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目的：确保软件</w:t>
      </w: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单元、集成、系统时</w:t>
      </w:r>
      <w:r>
        <w:rPr>
          <w:rFonts w:hint="eastAsia"/>
          <w:lang w:val="en-US" w:eastAsia="zh-CN"/>
        </w:rPr>
        <w:t>符合接收标准。</w:t>
      </w:r>
    </w:p>
    <w:p w14:paraId="6E9B7723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范围：适用于</w:t>
      </w:r>
      <w:r>
        <w:rPr>
          <w:rFonts w:hint="eastAsia" w:ascii="宋体" w:hAnsi="宋体" w:cs="Times New Roman"/>
          <w:sz w:val="24"/>
          <w:szCs w:val="24"/>
          <w:lang w:val="en-US" w:eastAsia="zh-CN"/>
        </w:rPr>
        <w:t>多功能测试仪（型号</w:t>
      </w:r>
      <w:r>
        <w:rPr>
          <w:rFonts w:hint="default" w:ascii="宋体" w:hAnsi="宋体" w:cs="Times New Roman"/>
          <w:sz w:val="24"/>
          <w:szCs w:val="24"/>
          <w:highlight w:val="none"/>
          <w:lang w:val="en-US" w:eastAsia="zh-CN"/>
        </w:rPr>
        <w:t>M078-3</w:t>
      </w:r>
      <w:r>
        <w:rPr>
          <w:rFonts w:hint="eastAsia" w:ascii="宋体" w:hAnsi="宋体" w:cs="Times New Roman"/>
          <w:sz w:val="24"/>
          <w:szCs w:val="24"/>
          <w:lang w:val="en-US" w:eastAsia="zh-CN"/>
        </w:rPr>
        <w:t>）</w:t>
      </w:r>
      <w:r>
        <w:rPr>
          <w:rFonts w:hint="eastAsia"/>
          <w:lang w:val="en-US" w:eastAsia="zh-CN"/>
        </w:rPr>
        <w:t>的软件</w:t>
      </w: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单元、集成系统</w:t>
      </w:r>
      <w:r>
        <w:rPr>
          <w:rFonts w:hint="eastAsia"/>
          <w:lang w:val="en-US" w:eastAsia="zh-CN"/>
        </w:rPr>
        <w:t>验证。</w:t>
      </w:r>
    </w:p>
    <w:p w14:paraId="340205E3">
      <w:pPr>
        <w:pStyle w:val="7"/>
        <w:rPr>
          <w:rFonts w:hint="default"/>
          <w:lang w:val="en-US" w:eastAsia="zh-CN"/>
        </w:rPr>
      </w:pPr>
    </w:p>
    <w:p w14:paraId="1277D261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测试方法</w:t>
      </w:r>
    </w:p>
    <w:p w14:paraId="781CF4E7">
      <w:pPr>
        <w:pStyle w:val="18"/>
        <w:ind w:left="0" w:leftChars="0" w:firstLine="0" w:firstLineChars="0"/>
        <w:rPr>
          <w:rFonts w:hint="default" w:ascii="Times New Roman" w:hAnsi="Times New Roman" w:eastAsia="宋体" w:cs="Times New Roman"/>
          <w:bCs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sz w:val="24"/>
          <w:szCs w:val="24"/>
          <w:lang w:val="en-US" w:eastAsia="zh-CN" w:bidi="ar-SA"/>
        </w:rPr>
        <w:t>采用</w:t>
      </w:r>
      <w:r>
        <w:rPr>
          <w:rFonts w:hint="eastAsia" w:eastAsia="宋体" w:cs="Times New Roman"/>
          <w:bCs w:val="0"/>
          <w:color w:val="000000"/>
          <w:sz w:val="24"/>
          <w:szCs w:val="24"/>
          <w:lang w:val="en-US" w:eastAsia="zh-CN" w:bidi="ar-SA"/>
        </w:rPr>
        <w:t>白盒</w:t>
      </w:r>
      <w:r>
        <w:rPr>
          <w:rFonts w:hint="eastAsia" w:ascii="Times New Roman" w:hAnsi="Times New Roman" w:eastAsia="宋体" w:cs="Times New Roman"/>
          <w:bCs w:val="0"/>
          <w:color w:val="000000"/>
          <w:sz w:val="24"/>
          <w:szCs w:val="24"/>
          <w:lang w:val="en-US" w:eastAsia="zh-CN" w:bidi="ar-SA"/>
        </w:rPr>
        <w:t>测试方法</w:t>
      </w:r>
    </w:p>
    <w:p w14:paraId="662A377E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</w:pPr>
      <w:bookmarkStart w:id="9" w:name="_Toc1962"/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测试记录</w:t>
      </w:r>
      <w:bookmarkEnd w:id="9"/>
    </w:p>
    <w:p w14:paraId="50E35435">
      <w:pPr>
        <w:widowControl/>
        <w:wordWrap w:val="0"/>
        <w:spacing w:line="360" w:lineRule="auto"/>
        <w:jc w:val="left"/>
        <w:rPr>
          <w:rFonts w:hint="default" w:eastAsia="宋体"/>
          <w:kern w:val="0"/>
          <w:sz w:val="24"/>
          <w:szCs w:val="24"/>
          <w:lang w:val="en-US" w:eastAsia="zh-CN"/>
        </w:rPr>
      </w:pPr>
      <w:r>
        <w:rPr>
          <w:rFonts w:hint="eastAsia"/>
          <w:kern w:val="0"/>
          <w:sz w:val="24"/>
          <w:szCs w:val="24"/>
          <w:lang w:val="en-US" w:eastAsia="zh-CN"/>
        </w:rPr>
        <w:t>单元测试</w:t>
      </w:r>
    </w:p>
    <w:tbl>
      <w:tblPr>
        <w:tblStyle w:val="14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433"/>
        <w:gridCol w:w="2624"/>
        <w:gridCol w:w="3335"/>
      </w:tblGrid>
      <w:tr w14:paraId="7D79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noWrap w:val="0"/>
            <w:vAlign w:val="center"/>
          </w:tcPr>
          <w:p w14:paraId="6BD2CDBB">
            <w:pPr>
              <w:jc w:val="both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测试人员：郭佳伟</w:t>
            </w:r>
          </w:p>
          <w:p w14:paraId="4A193333">
            <w:pPr>
              <w:jc w:val="both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测试时间：2024.08.15</w:t>
            </w:r>
          </w:p>
        </w:tc>
      </w:tr>
      <w:tr w14:paraId="57F2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noWrap w:val="0"/>
            <w:vAlign w:val="center"/>
          </w:tcPr>
          <w:p w14:paraId="33A0E4D8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842" w:type="pct"/>
            <w:noWrap w:val="0"/>
            <w:vAlign w:val="center"/>
          </w:tcPr>
          <w:p w14:paraId="5D393D96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1542" w:type="pct"/>
            <w:noWrap w:val="0"/>
            <w:vAlign w:val="center"/>
          </w:tcPr>
          <w:p w14:paraId="4CDD6F7A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958" w:type="pct"/>
            <w:noWrap w:val="0"/>
            <w:vAlign w:val="center"/>
          </w:tcPr>
          <w:p w14:paraId="5097F2D3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结果</w:t>
            </w:r>
          </w:p>
        </w:tc>
      </w:tr>
      <w:tr w14:paraId="51B2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noWrap w:val="0"/>
            <w:vAlign w:val="center"/>
          </w:tcPr>
          <w:p w14:paraId="5D1C2C71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2.2.1</w:t>
            </w:r>
          </w:p>
        </w:tc>
        <w:tc>
          <w:tcPr>
            <w:tcW w:w="842" w:type="pct"/>
            <w:noWrap w:val="0"/>
            <w:vAlign w:val="center"/>
          </w:tcPr>
          <w:p w14:paraId="62EB340E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电池电量检测</w:t>
            </w:r>
          </w:p>
        </w:tc>
        <w:tc>
          <w:tcPr>
            <w:tcW w:w="1542" w:type="pct"/>
            <w:noWrap w:val="0"/>
            <w:vAlign w:val="center"/>
          </w:tcPr>
          <w:p w14:paraId="6064D043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通过实际充电，观察充电显示状态</w:t>
            </w:r>
          </w:p>
        </w:tc>
        <w:tc>
          <w:tcPr>
            <w:tcW w:w="1958" w:type="pct"/>
            <w:noWrap w:val="0"/>
            <w:vAlign w:val="center"/>
          </w:tcPr>
          <w:p w14:paraId="17BEED61">
            <w:pPr>
              <w:jc w:val="center"/>
              <w:rPr>
                <w:rFonts w:hint="default" w:asci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0235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656" w:type="pct"/>
            <w:vMerge w:val="restart"/>
            <w:noWrap w:val="0"/>
            <w:vAlign w:val="center"/>
          </w:tcPr>
          <w:p w14:paraId="26F710CB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2.2.2</w:t>
            </w:r>
          </w:p>
        </w:tc>
        <w:tc>
          <w:tcPr>
            <w:tcW w:w="842" w:type="pct"/>
            <w:vMerge w:val="restart"/>
            <w:noWrap w:val="0"/>
            <w:vAlign w:val="center"/>
          </w:tcPr>
          <w:p w14:paraId="76D9C09B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血糖检测</w:t>
            </w:r>
          </w:p>
        </w:tc>
        <w:tc>
          <w:tcPr>
            <w:tcW w:w="1542" w:type="pct"/>
            <w:noWrap w:val="0"/>
            <w:vAlign w:val="center"/>
          </w:tcPr>
          <w:p w14:paraId="126D4C4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界面单位显示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mmol/L无缺笔</w:t>
            </w:r>
          </w:p>
        </w:tc>
        <w:tc>
          <w:tcPr>
            <w:tcW w:w="1958" w:type="pct"/>
            <w:noWrap w:val="0"/>
            <w:vAlign w:val="center"/>
          </w:tcPr>
          <w:p w14:paraId="63D4045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2A45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000AA9AC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45E42523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4D05A7D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0.6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～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33.3mmol/L</w:t>
            </w:r>
          </w:p>
        </w:tc>
        <w:tc>
          <w:tcPr>
            <w:tcW w:w="1958" w:type="pct"/>
            <w:noWrap w:val="0"/>
            <w:vAlign w:val="center"/>
          </w:tcPr>
          <w:p w14:paraId="0F6FBBF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48F6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656" w:type="pct"/>
            <w:vMerge w:val="continue"/>
            <w:noWrap w:val="0"/>
            <w:vAlign w:val="center"/>
          </w:tcPr>
          <w:p w14:paraId="1AA074C0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46CEC021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2F8EBA7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准确度（95%的测量结果偏差）</w:t>
            </w:r>
          </w:p>
          <w:p w14:paraId="14CC27F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&lt;5.55mmol/L（&lt;100mg/dl）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不超过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&lt;5.55mmol/L（&lt;100mg/dl）</w:t>
            </w:r>
          </w:p>
          <w:p w14:paraId="44F935A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≥5.55mmol/L（≥100mg/dl）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不超过±15%</w:t>
            </w:r>
          </w:p>
        </w:tc>
        <w:tc>
          <w:tcPr>
            <w:tcW w:w="1958" w:type="pct"/>
            <w:noWrap w:val="0"/>
            <w:vAlign w:val="center"/>
          </w:tcPr>
          <w:p w14:paraId="1FB5E530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7447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656" w:type="pct"/>
            <w:vMerge w:val="continue"/>
            <w:noWrap w:val="0"/>
            <w:vAlign w:val="center"/>
          </w:tcPr>
          <w:p w14:paraId="434E2AF3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73E8BBF7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66B64F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6s</w:t>
            </w:r>
          </w:p>
        </w:tc>
        <w:tc>
          <w:tcPr>
            <w:tcW w:w="1958" w:type="pct"/>
            <w:noWrap w:val="0"/>
            <w:vAlign w:val="center"/>
          </w:tcPr>
          <w:p w14:paraId="629C0A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5AE21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restart"/>
            <w:noWrap w:val="0"/>
            <w:vAlign w:val="center"/>
          </w:tcPr>
          <w:p w14:paraId="1E0D3C6F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2.2.3</w:t>
            </w:r>
          </w:p>
        </w:tc>
        <w:tc>
          <w:tcPr>
            <w:tcW w:w="842" w:type="pct"/>
            <w:vMerge w:val="restart"/>
            <w:noWrap w:val="0"/>
            <w:vAlign w:val="center"/>
          </w:tcPr>
          <w:p w14:paraId="227D29C0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尿酸检测</w:t>
            </w:r>
          </w:p>
        </w:tc>
        <w:tc>
          <w:tcPr>
            <w:tcW w:w="1542" w:type="pct"/>
            <w:noWrap w:val="0"/>
            <w:vAlign w:val="center"/>
          </w:tcPr>
          <w:p w14:paraId="4EBE0B0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181-1188 umol/L(3mg/dL～19.8mg/dL)</w:t>
            </w:r>
          </w:p>
        </w:tc>
        <w:tc>
          <w:tcPr>
            <w:tcW w:w="1958" w:type="pct"/>
            <w:noWrap w:val="0"/>
            <w:vAlign w:val="center"/>
          </w:tcPr>
          <w:p w14:paraId="15B7358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4B2C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2974E6F6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0C40F1B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7D786BE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准确度（95%的测量结果偏差）</w:t>
            </w:r>
          </w:p>
          <w:p w14:paraId="61CFD3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＜300 μmol/L(＜5.0mg/dL)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不超过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±45μmol/L（±0.75mg/dL）</w:t>
            </w:r>
          </w:p>
          <w:p w14:paraId="307F24C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≥300 μmol/L(≥5.0mg/dL)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不超过±15%</w:t>
            </w:r>
          </w:p>
        </w:tc>
        <w:tc>
          <w:tcPr>
            <w:tcW w:w="1958" w:type="pct"/>
            <w:noWrap w:val="0"/>
            <w:vAlign w:val="center"/>
          </w:tcPr>
          <w:p w14:paraId="59CDF41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4226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56" w:type="pct"/>
            <w:vMerge w:val="continue"/>
            <w:noWrap w:val="0"/>
            <w:vAlign w:val="center"/>
          </w:tcPr>
          <w:p w14:paraId="58281260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4842301C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1657DA9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10s</w:t>
            </w:r>
          </w:p>
        </w:tc>
        <w:tc>
          <w:tcPr>
            <w:tcW w:w="1958" w:type="pct"/>
            <w:noWrap w:val="0"/>
            <w:vAlign w:val="center"/>
          </w:tcPr>
          <w:p w14:paraId="2D80470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5707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656" w:type="pct"/>
            <w:vMerge w:val="restart"/>
            <w:noWrap w:val="0"/>
            <w:vAlign w:val="center"/>
          </w:tcPr>
          <w:p w14:paraId="7472FA17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42" w:type="pct"/>
            <w:vMerge w:val="restart"/>
            <w:noWrap w:val="0"/>
            <w:vAlign w:val="center"/>
          </w:tcPr>
          <w:p w14:paraId="7AC8B79D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甘油三酯</w:t>
            </w:r>
          </w:p>
        </w:tc>
        <w:tc>
          <w:tcPr>
            <w:tcW w:w="1542" w:type="pct"/>
            <w:noWrap w:val="0"/>
            <w:vAlign w:val="center"/>
          </w:tcPr>
          <w:p w14:paraId="6C829701">
            <w:pPr>
              <w:pStyle w:val="2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-6.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mmol/L（18-600 mg/dL</w:t>
            </w:r>
            <w:r>
              <w:rPr>
                <w:rFonts w:hint="eastAsia" w:eastAsia="宋体" w:cs="宋体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8" w:type="pct"/>
            <w:noWrap w:val="0"/>
            <w:vAlign w:val="center"/>
          </w:tcPr>
          <w:p w14:paraId="5FADA371">
            <w:pPr>
              <w:spacing w:line="360" w:lineRule="auto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01AC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656" w:type="pct"/>
            <w:vMerge w:val="continue"/>
            <w:noWrap w:val="0"/>
            <w:vAlign w:val="center"/>
          </w:tcPr>
          <w:p w14:paraId="375C3B85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0CFDD5F0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5C45D7C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准确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度（95%的测量结果偏差）</w:t>
            </w:r>
          </w:p>
          <w:p w14:paraId="062AA10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＜1.69mmol/L（&lt;150mg/dL）不超过0.34mmol/L</w:t>
            </w:r>
          </w:p>
          <w:p w14:paraId="0331474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(±30 mg/dL）</w:t>
            </w:r>
          </w:p>
          <w:p w14:paraId="62A648A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≥1.69mmol/L（≥150mg/dL）不超过±20%</w:t>
            </w:r>
          </w:p>
        </w:tc>
        <w:tc>
          <w:tcPr>
            <w:tcW w:w="1958" w:type="pct"/>
            <w:noWrap w:val="0"/>
            <w:vAlign w:val="center"/>
          </w:tcPr>
          <w:p w14:paraId="44C41DC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7B65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3E9656C3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31A3649E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5FACFA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30s</w:t>
            </w:r>
          </w:p>
        </w:tc>
        <w:tc>
          <w:tcPr>
            <w:tcW w:w="1958" w:type="pct"/>
            <w:noWrap w:val="0"/>
            <w:vAlign w:val="center"/>
          </w:tcPr>
          <w:p w14:paraId="4C25AE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48AC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restart"/>
            <w:noWrap w:val="0"/>
            <w:vAlign w:val="center"/>
          </w:tcPr>
          <w:p w14:paraId="5AF3101B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42" w:type="pct"/>
            <w:vMerge w:val="restart"/>
            <w:noWrap w:val="0"/>
            <w:vAlign w:val="center"/>
          </w:tcPr>
          <w:p w14:paraId="403FD5FB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胆固醇</w:t>
            </w:r>
          </w:p>
        </w:tc>
        <w:tc>
          <w:tcPr>
            <w:tcW w:w="1542" w:type="pct"/>
            <w:noWrap w:val="0"/>
            <w:vAlign w:val="center"/>
          </w:tcPr>
          <w:p w14:paraId="09B5983A">
            <w:pPr>
              <w:pStyle w:val="2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2.59-10.35 mmol/L（100-400 mg/dL)</w:t>
            </w:r>
          </w:p>
        </w:tc>
        <w:tc>
          <w:tcPr>
            <w:tcW w:w="1958" w:type="pct"/>
            <w:noWrap w:val="0"/>
            <w:vAlign w:val="center"/>
          </w:tcPr>
          <w:p w14:paraId="6528997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2827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5B65187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752468DC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3A62962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准确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度（95%的测量结果偏差）</w:t>
            </w:r>
          </w:p>
          <w:p w14:paraId="42DF3DE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＜5.18mmol/L（&lt;200mg/dL）不超过1.04mmol/L</w:t>
            </w:r>
          </w:p>
          <w:p w14:paraId="36BB847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(±40 mg/dL）</w:t>
            </w:r>
          </w:p>
          <w:p w14:paraId="589338E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≥5.18mmol/L（≥200mg/dL）不超过±20%</w:t>
            </w:r>
          </w:p>
        </w:tc>
        <w:tc>
          <w:tcPr>
            <w:tcW w:w="1958" w:type="pct"/>
            <w:noWrap w:val="0"/>
            <w:vAlign w:val="center"/>
          </w:tcPr>
          <w:p w14:paraId="674F92A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26F3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618D21A3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4E8CC38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5B13054A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30s</w:t>
            </w:r>
          </w:p>
        </w:tc>
        <w:tc>
          <w:tcPr>
            <w:tcW w:w="1958" w:type="pct"/>
            <w:noWrap w:val="0"/>
            <w:vAlign w:val="center"/>
          </w:tcPr>
          <w:p w14:paraId="3C2F90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1E77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restart"/>
            <w:noWrap w:val="0"/>
            <w:vAlign w:val="center"/>
          </w:tcPr>
          <w:p w14:paraId="0AE4CC0C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2.2.6</w:t>
            </w:r>
          </w:p>
        </w:tc>
        <w:tc>
          <w:tcPr>
            <w:tcW w:w="842" w:type="pct"/>
            <w:vMerge w:val="restart"/>
            <w:noWrap w:val="0"/>
            <w:vAlign w:val="center"/>
          </w:tcPr>
          <w:p w14:paraId="3C5725E4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血压测量</w:t>
            </w:r>
          </w:p>
        </w:tc>
        <w:tc>
          <w:tcPr>
            <w:tcW w:w="1542" w:type="pct"/>
            <w:noWrap w:val="0"/>
            <w:vAlign w:val="center"/>
          </w:tcPr>
          <w:p w14:paraId="0E958D8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测量范围至少为0-296mmHg</w:t>
            </w:r>
          </w:p>
        </w:tc>
        <w:tc>
          <w:tcPr>
            <w:tcW w:w="1958" w:type="pct"/>
            <w:noWrap w:val="0"/>
            <w:vAlign w:val="center"/>
          </w:tcPr>
          <w:p w14:paraId="33F948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0A79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3FE5E075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3DAAF042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133978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zh-TW" w:eastAsia="zh-TW"/>
              </w:rPr>
              <w:t>在标称测量范围中的任意点上，袖带压力的测量最大误差应小于或等于±3mmHg（±0.4kPa）或读数的±2%，取大者</w:t>
            </w:r>
          </w:p>
        </w:tc>
        <w:tc>
          <w:tcPr>
            <w:tcW w:w="1958" w:type="pct"/>
            <w:noWrap w:val="0"/>
            <w:vAlign w:val="center"/>
          </w:tcPr>
          <w:p w14:paraId="316E9E9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2317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vMerge w:val="continue"/>
            <w:noWrap w:val="0"/>
            <w:vAlign w:val="center"/>
          </w:tcPr>
          <w:p w14:paraId="4B567CF8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842" w:type="pct"/>
            <w:vMerge w:val="continue"/>
            <w:noWrap w:val="0"/>
            <w:vAlign w:val="center"/>
          </w:tcPr>
          <w:p w14:paraId="3A380287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542" w:type="pct"/>
            <w:noWrap w:val="0"/>
            <w:vAlign w:val="center"/>
          </w:tcPr>
          <w:p w14:paraId="74CC9FF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血压的显示分辨率应为1 mmHg (0.1 kPa)</w:t>
            </w:r>
          </w:p>
        </w:tc>
        <w:tc>
          <w:tcPr>
            <w:tcW w:w="1958" w:type="pct"/>
            <w:noWrap w:val="0"/>
            <w:vAlign w:val="center"/>
          </w:tcPr>
          <w:p w14:paraId="13D925C8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7099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56" w:type="pct"/>
            <w:noWrap w:val="0"/>
            <w:vAlign w:val="center"/>
          </w:tcPr>
          <w:p w14:paraId="1E965508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2.2.7</w:t>
            </w:r>
          </w:p>
        </w:tc>
        <w:tc>
          <w:tcPr>
            <w:tcW w:w="842" w:type="pct"/>
            <w:noWrap w:val="0"/>
            <w:vAlign w:val="center"/>
          </w:tcPr>
          <w:p w14:paraId="7CCCA999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语音播报功能</w:t>
            </w:r>
          </w:p>
        </w:tc>
        <w:tc>
          <w:tcPr>
            <w:tcW w:w="1542" w:type="pct"/>
            <w:noWrap w:val="0"/>
            <w:vAlign w:val="center"/>
          </w:tcPr>
          <w:p w14:paraId="63F5FCC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具有语音播报功能的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，应能播报测量的数值，用户可以选择开启或关闭语音播报</w:t>
            </w:r>
          </w:p>
        </w:tc>
        <w:tc>
          <w:tcPr>
            <w:tcW w:w="1958" w:type="pct"/>
            <w:noWrap w:val="0"/>
            <w:vAlign w:val="center"/>
          </w:tcPr>
          <w:p w14:paraId="350C7A6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</w:tbl>
    <w:p w14:paraId="28F2924C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529D8AA1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集成测试</w:t>
      </w:r>
      <w:r>
        <w:rPr>
          <w:rFonts w:hint="eastAsia" w:ascii="宋体" w:hAnsi="宋体" w:cs="宋体"/>
          <w:szCs w:val="21"/>
        </w:rPr>
        <w:t>：</w:t>
      </w:r>
    </w:p>
    <w:p w14:paraId="146252D4">
      <w:pPr>
        <w:rPr>
          <w:rFonts w:hint="eastAsia" w:ascii="宋体" w:hAnsi="宋体" w:cs="宋体"/>
          <w:szCs w:val="21"/>
        </w:rPr>
      </w:pP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033"/>
        <w:gridCol w:w="3334"/>
        <w:gridCol w:w="3342"/>
      </w:tblGrid>
      <w:tr w14:paraId="5E7B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4"/>
            <w:noWrap w:val="0"/>
            <w:vAlign w:val="center"/>
          </w:tcPr>
          <w:p w14:paraId="61DD31FD">
            <w:pPr>
              <w:jc w:val="both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测试人员：郭佳伟</w:t>
            </w:r>
          </w:p>
          <w:p w14:paraId="75D66D24">
            <w:pPr>
              <w:jc w:val="both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测试时间：2024.08.15</w:t>
            </w:r>
          </w:p>
        </w:tc>
      </w:tr>
      <w:tr w14:paraId="67ED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472" w:type="pct"/>
            <w:noWrap w:val="0"/>
            <w:vAlign w:val="center"/>
          </w:tcPr>
          <w:p w14:paraId="75A6D23E">
            <w:pPr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607" w:type="pct"/>
            <w:noWrap w:val="0"/>
            <w:vAlign w:val="center"/>
          </w:tcPr>
          <w:p w14:paraId="7136B641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1958" w:type="pct"/>
            <w:noWrap w:val="0"/>
            <w:vAlign w:val="center"/>
          </w:tcPr>
          <w:p w14:paraId="0C471A2F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961" w:type="pct"/>
            <w:noWrap w:val="0"/>
            <w:vAlign w:val="center"/>
          </w:tcPr>
          <w:p w14:paraId="3C41EC46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结果</w:t>
            </w:r>
          </w:p>
        </w:tc>
      </w:tr>
      <w:tr w14:paraId="6CF5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72" w:type="pct"/>
            <w:noWrap w:val="0"/>
            <w:vAlign w:val="center"/>
          </w:tcPr>
          <w:p w14:paraId="20DC5A75">
            <w:pPr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607" w:type="pct"/>
            <w:noWrap w:val="0"/>
            <w:vAlign w:val="center"/>
          </w:tcPr>
          <w:p w14:paraId="50A2529A">
            <w:pPr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信息的完整性</w:t>
            </w:r>
          </w:p>
        </w:tc>
        <w:tc>
          <w:tcPr>
            <w:tcW w:w="1958" w:type="pct"/>
            <w:noWrap w:val="0"/>
            <w:vAlign w:val="center"/>
          </w:tcPr>
          <w:p w14:paraId="60860051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显示屏至少应能显示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血压、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尿酸、总胆固醇、甘油三酯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值、记忆值、时间、日期。</w:t>
            </w:r>
          </w:p>
        </w:tc>
        <w:tc>
          <w:tcPr>
            <w:tcW w:w="1961" w:type="pct"/>
            <w:noWrap w:val="0"/>
            <w:vAlign w:val="center"/>
          </w:tcPr>
          <w:p w14:paraId="54E9B66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4C0B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72" w:type="pct"/>
            <w:noWrap w:val="0"/>
            <w:vAlign w:val="center"/>
          </w:tcPr>
          <w:p w14:paraId="4F5593DE">
            <w:pPr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607" w:type="pct"/>
            <w:noWrap w:val="0"/>
            <w:vAlign w:val="center"/>
          </w:tcPr>
          <w:p w14:paraId="5DC3067D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稳定性测试</w:t>
            </w:r>
          </w:p>
          <w:p w14:paraId="0D75F0B9">
            <w:pPr>
              <w:rPr>
                <w:rFonts w:ascii="宋体"/>
                <w:sz w:val="21"/>
                <w:szCs w:val="21"/>
              </w:rPr>
            </w:pPr>
          </w:p>
        </w:tc>
        <w:tc>
          <w:tcPr>
            <w:tcW w:w="1958" w:type="pct"/>
            <w:noWrap w:val="0"/>
            <w:vAlign w:val="center"/>
          </w:tcPr>
          <w:p w14:paraId="72BF5AAA">
            <w:pPr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采用设备重复测试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血压、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尿酸、总胆固醇、甘油三酯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值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，测量范围内，要求允差符合要求。</w:t>
            </w:r>
          </w:p>
        </w:tc>
        <w:tc>
          <w:tcPr>
            <w:tcW w:w="1961" w:type="pct"/>
            <w:noWrap w:val="0"/>
            <w:vAlign w:val="center"/>
          </w:tcPr>
          <w:p w14:paraId="7A0221D1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</w:tbl>
    <w:p w14:paraId="4F8146B4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23520BE4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  <w:lang w:eastAsia="zh-CN"/>
        </w:rPr>
        <w:t>系统</w:t>
      </w:r>
      <w:r>
        <w:rPr>
          <w:rFonts w:hint="eastAsia" w:ascii="宋体" w:hAnsi="宋体" w:cs="宋体"/>
          <w:b/>
          <w:bCs/>
          <w:szCs w:val="21"/>
        </w:rPr>
        <w:t>测试</w:t>
      </w:r>
      <w:r>
        <w:rPr>
          <w:rFonts w:hint="eastAsia" w:ascii="宋体" w:hAnsi="宋体" w:cs="宋体"/>
          <w:szCs w:val="21"/>
        </w:rPr>
        <w:t>：</w:t>
      </w:r>
    </w:p>
    <w:p w14:paraId="0921FCE7">
      <w:pPr>
        <w:rPr>
          <w:rFonts w:hint="eastAsia" w:ascii="宋体" w:hAnsi="宋体" w:cs="宋体"/>
          <w:szCs w:val="21"/>
        </w:rPr>
      </w:pP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139"/>
        <w:gridCol w:w="2818"/>
        <w:gridCol w:w="3332"/>
      </w:tblGrid>
      <w:tr w14:paraId="42C4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4"/>
            <w:noWrap w:val="0"/>
            <w:vAlign w:val="center"/>
          </w:tcPr>
          <w:p w14:paraId="106CCEC2">
            <w:pPr>
              <w:jc w:val="both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测试人员：郭佳伟</w:t>
            </w:r>
          </w:p>
          <w:p w14:paraId="23B4210C">
            <w:pPr>
              <w:jc w:val="both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测试时间：2024.08.15</w:t>
            </w:r>
          </w:p>
        </w:tc>
      </w:tr>
      <w:tr w14:paraId="27FD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719" w:type="pct"/>
            <w:noWrap w:val="0"/>
            <w:vAlign w:val="center"/>
          </w:tcPr>
          <w:p w14:paraId="4E1115E5">
            <w:pPr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669" w:type="pct"/>
            <w:noWrap w:val="0"/>
            <w:vAlign w:val="center"/>
          </w:tcPr>
          <w:p w14:paraId="3DFF385B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1655" w:type="pct"/>
            <w:noWrap w:val="0"/>
            <w:vAlign w:val="center"/>
          </w:tcPr>
          <w:p w14:paraId="66574EEE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955" w:type="pct"/>
            <w:noWrap w:val="0"/>
            <w:vAlign w:val="center"/>
          </w:tcPr>
          <w:p w14:paraId="145A03C8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结果</w:t>
            </w:r>
          </w:p>
        </w:tc>
      </w:tr>
      <w:tr w14:paraId="7E08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9" w:type="pct"/>
            <w:noWrap w:val="0"/>
            <w:vAlign w:val="center"/>
          </w:tcPr>
          <w:p w14:paraId="41BBCA22">
            <w:pPr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669" w:type="pct"/>
            <w:noWrap w:val="0"/>
            <w:vAlign w:val="center"/>
          </w:tcPr>
          <w:p w14:paraId="0FD27354">
            <w:pPr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校准功能</w:t>
            </w:r>
          </w:p>
        </w:tc>
        <w:tc>
          <w:tcPr>
            <w:tcW w:w="1655" w:type="pct"/>
            <w:noWrap w:val="0"/>
            <w:vAlign w:val="center"/>
          </w:tcPr>
          <w:p w14:paraId="304F67E8">
            <w:pPr>
              <w:pStyle w:val="20"/>
              <w:spacing w:line="240" w:lineRule="auto"/>
              <w:ind w:left="0" w:leftChars="0" w:firstLine="0" w:firstLineChars="0"/>
              <w:rPr>
                <w:rFonts w:hint="eastAsia" w:asci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血糖试纸调码方式为免调码，插入血糖试纸后，屏幕显示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内预存储的校正码。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而尿酸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、总胆固醇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、甘油三酯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调码方式为使用不同批次的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前需插参数卡。当插入参数卡后屏幕显示相应的校正码</w:t>
            </w:r>
          </w:p>
        </w:tc>
        <w:tc>
          <w:tcPr>
            <w:tcW w:w="1955" w:type="pct"/>
            <w:noWrap w:val="0"/>
            <w:vAlign w:val="center"/>
          </w:tcPr>
          <w:p w14:paraId="73A4A05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12B3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719" w:type="pct"/>
            <w:noWrap w:val="0"/>
            <w:vAlign w:val="center"/>
          </w:tcPr>
          <w:p w14:paraId="6EF7CBFC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669" w:type="pct"/>
            <w:noWrap w:val="0"/>
            <w:vAlign w:val="center"/>
          </w:tcPr>
          <w:p w14:paraId="6D39DF5F">
            <w:pPr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饭前、饭后设定功能</w:t>
            </w:r>
          </w:p>
        </w:tc>
        <w:tc>
          <w:tcPr>
            <w:tcW w:w="1655" w:type="pct"/>
            <w:noWrap w:val="0"/>
            <w:vAlign w:val="center"/>
          </w:tcPr>
          <w:p w14:paraId="4801223F">
            <w:pPr>
              <w:pStyle w:val="20"/>
              <w:spacing w:line="24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具有血糖饭前、饭后设定功能的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，测量血糖时，可设定饭前、饭后标识，对应记录为饭前血糖、饭后血糖。</w:t>
            </w:r>
          </w:p>
        </w:tc>
        <w:tc>
          <w:tcPr>
            <w:tcW w:w="1955" w:type="pct"/>
            <w:noWrap w:val="0"/>
            <w:vAlign w:val="center"/>
          </w:tcPr>
          <w:p w14:paraId="6BF2DD0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  <w:tr w14:paraId="52DE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9" w:type="pct"/>
            <w:noWrap w:val="0"/>
            <w:vAlign w:val="center"/>
          </w:tcPr>
          <w:p w14:paraId="0D670806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669" w:type="pct"/>
            <w:noWrap w:val="0"/>
            <w:vAlign w:val="center"/>
          </w:tcPr>
          <w:p w14:paraId="122A96A1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</w:p>
        </w:tc>
        <w:tc>
          <w:tcPr>
            <w:tcW w:w="1655" w:type="pct"/>
            <w:noWrap w:val="0"/>
            <w:vAlign w:val="center"/>
          </w:tcPr>
          <w:p w14:paraId="65F7782A">
            <w:pPr>
              <w:pStyle w:val="20"/>
              <w:spacing w:line="24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功能的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，应能够进行自动退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。</w:t>
            </w:r>
          </w:p>
        </w:tc>
        <w:tc>
          <w:tcPr>
            <w:tcW w:w="1955" w:type="pct"/>
            <w:noWrap w:val="0"/>
            <w:vAlign w:val="center"/>
          </w:tcPr>
          <w:p w14:paraId="0F9DE6F3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符合要求</w:t>
            </w:r>
          </w:p>
        </w:tc>
      </w:tr>
    </w:tbl>
    <w:p w14:paraId="7E82D386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bookmarkStart w:id="10" w:name="_Toc24069"/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结论</w:t>
      </w:r>
      <w:bookmarkEnd w:id="10"/>
    </w:p>
    <w:p w14:paraId="794C355F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多功能测试仪</w:t>
      </w:r>
      <w:r>
        <w:rPr>
          <w:rFonts w:hint="eastAsia" w:ascii="Times New Roman" w:hAnsi="Times New Roman" w:eastAsia="宋体" w:cs="Times New Roman"/>
          <w:lang w:val="en-US" w:eastAsia="zh-CN"/>
        </w:rPr>
        <w:t>（型号：</w:t>
      </w:r>
      <w:r>
        <w:rPr>
          <w:rFonts w:hint="default" w:ascii="Times New Roman" w:hAnsi="Times New Roman" w:eastAsia="宋体" w:cs="Times New Roman"/>
          <w:lang w:val="en-US" w:eastAsia="zh-CN"/>
        </w:rPr>
        <w:t>M078-3</w:t>
      </w:r>
      <w:r>
        <w:rPr>
          <w:rFonts w:hint="eastAsia" w:ascii="Times New Roman" w:hAnsi="Times New Roman" w:eastAsia="宋体" w:cs="Times New Roman"/>
          <w:lang w:val="en-US" w:eastAsia="zh-CN"/>
        </w:rPr>
        <w:t>）软件的所有软件测试均满足对应接受准则，满足软件需求规范要求。</w:t>
      </w:r>
    </w:p>
    <w:p w14:paraId="0F4AA293">
      <w:pPr>
        <w:autoSpaceDE w:val="0"/>
        <w:autoSpaceDN w:val="0"/>
        <w:adjustRightInd w:val="0"/>
        <w:ind w:firstLine="420" w:firstLineChars="200"/>
        <w:rPr>
          <w:rFonts w:hint="default" w:ascii="Times New Roman" w:hAnsi="Times New Roman" w:eastAsia="宋体" w:cs="Times New Roman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3A07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9D2D8">
    <w:pPr>
      <w:pStyle w:val="9"/>
    </w:pPr>
    <w:r>
      <w:rPr>
        <w:rFonts w:hint="eastAsia"/>
        <w:lang w:val="en-US" w:eastAsia="zh-CN"/>
      </w:rPr>
      <w:t xml:space="preserve">                                                                       </w:t>
    </w:r>
    <w:r>
      <w:rPr>
        <w:sz w:val="18"/>
      </w:rPr>
      <mc:AlternateContent>
        <mc:Choice Requires="wps">
          <w:drawing>
            <wp:inline distT="0" distB="0" distL="114300" distR="114300">
              <wp:extent cx="1828800" cy="1828800"/>
              <wp:effectExtent l="0" t="0" r="0" b="0"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4F3107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4F3107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F36BE">
    <w:pPr>
      <w:pStyle w:val="10"/>
      <w:pBdr>
        <w:bottom w:val="single" w:color="auto" w:sz="4" w:space="1"/>
      </w:pBdr>
      <w:jc w:val="left"/>
    </w:pPr>
    <w:r>
      <w:rPr>
        <w:rFonts w:hint="eastAsia" w:ascii="宋体" w:hAnsi="宋体" w:eastAsia="宋体"/>
        <w:sz w:val="21"/>
        <w:szCs w:val="72"/>
      </w:rPr>
      <w:t>Q</w:t>
    </w:r>
    <w:r>
      <w:rPr>
        <w:rFonts w:ascii="宋体" w:hAnsi="宋体" w:eastAsia="宋体"/>
        <w:sz w:val="21"/>
        <w:szCs w:val="72"/>
      </w:rPr>
      <w:t>R/RD</w:t>
    </w:r>
    <w:r>
      <w:rPr>
        <w:rFonts w:hint="eastAsia" w:ascii="宋体" w:hAnsi="宋体" w:eastAsia="宋体"/>
        <w:sz w:val="21"/>
        <w:szCs w:val="72"/>
        <w:lang w:eastAsia="zh-CN"/>
      </w:rPr>
      <w:t>/0</w:t>
    </w:r>
    <w:r>
      <w:rPr>
        <w:rFonts w:hint="eastAsia" w:ascii="宋体" w:hAnsi="宋体"/>
        <w:sz w:val="21"/>
        <w:szCs w:val="72"/>
        <w:lang w:val="en-US" w:eastAsia="zh-CN"/>
      </w:rPr>
      <w:t>69</w:t>
    </w:r>
    <w:r>
      <w:rPr>
        <w:rFonts w:ascii="宋体" w:hAnsi="宋体" w:eastAsia="宋体"/>
        <w:sz w:val="21"/>
        <w:szCs w:val="72"/>
        <w:lang w:eastAsia="zh-CN"/>
      </w:rPr>
      <w:t xml:space="preserve">  </w:t>
    </w:r>
    <w:r>
      <w:rPr>
        <w:rFonts w:hint="eastAsia" w:ascii="宋体" w:hAnsi="宋体" w:eastAsia="宋体"/>
        <w:sz w:val="21"/>
        <w:szCs w:val="72"/>
        <w:lang w:val="en-US" w:eastAsia="zh-CN"/>
      </w:rPr>
      <w:t>1</w:t>
    </w:r>
    <w:r>
      <w:rPr>
        <w:rFonts w:hint="eastAsia" w:ascii="宋体" w:hAnsi="宋体" w:eastAsia="宋体"/>
        <w:sz w:val="21"/>
        <w:szCs w:val="72"/>
        <w:lang w:eastAsia="zh-CN"/>
      </w:rPr>
      <w:t xml:space="preserve">.0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73B10">
    <w:pPr>
      <w:pStyle w:val="10"/>
      <w:pBdr>
        <w:bottom w:val="single" w:color="auto" w:sz="4" w:space="1"/>
      </w:pBdr>
      <w:jc w:val="right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 xml:space="preserve">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D75B15"/>
    <w:multiLevelType w:val="singleLevel"/>
    <w:tmpl w:val="ECD75B1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xZmY2OGQ4MTkwM2M2ZGNhZmRkMjEzZmE4ZGU4ZWQifQ=="/>
  </w:docVars>
  <w:rsids>
    <w:rsidRoot w:val="00172A27"/>
    <w:rsid w:val="00172A27"/>
    <w:rsid w:val="001B4DB4"/>
    <w:rsid w:val="00237C83"/>
    <w:rsid w:val="00253583"/>
    <w:rsid w:val="00426DBE"/>
    <w:rsid w:val="0063549E"/>
    <w:rsid w:val="00725946"/>
    <w:rsid w:val="00782883"/>
    <w:rsid w:val="00795EE9"/>
    <w:rsid w:val="007E03D3"/>
    <w:rsid w:val="007F2C55"/>
    <w:rsid w:val="008E36E1"/>
    <w:rsid w:val="009A585B"/>
    <w:rsid w:val="00A2718E"/>
    <w:rsid w:val="00AA76FF"/>
    <w:rsid w:val="00B04108"/>
    <w:rsid w:val="00C30AAF"/>
    <w:rsid w:val="00D4770B"/>
    <w:rsid w:val="00DF212E"/>
    <w:rsid w:val="00F72EB0"/>
    <w:rsid w:val="00F94961"/>
    <w:rsid w:val="00FA6564"/>
    <w:rsid w:val="011C5D3B"/>
    <w:rsid w:val="01581027"/>
    <w:rsid w:val="01DF6037"/>
    <w:rsid w:val="053B6E1B"/>
    <w:rsid w:val="058B4CC0"/>
    <w:rsid w:val="064B307A"/>
    <w:rsid w:val="07F76613"/>
    <w:rsid w:val="08051C3D"/>
    <w:rsid w:val="085415BE"/>
    <w:rsid w:val="09FF058E"/>
    <w:rsid w:val="0A711B09"/>
    <w:rsid w:val="0B8F74AB"/>
    <w:rsid w:val="0D6634A4"/>
    <w:rsid w:val="0EA35ED0"/>
    <w:rsid w:val="0F1F2250"/>
    <w:rsid w:val="0FBE4899"/>
    <w:rsid w:val="10C87C52"/>
    <w:rsid w:val="111D18F4"/>
    <w:rsid w:val="11A027C2"/>
    <w:rsid w:val="1473502B"/>
    <w:rsid w:val="18386736"/>
    <w:rsid w:val="18F34B05"/>
    <w:rsid w:val="1A5C08BE"/>
    <w:rsid w:val="1B012D63"/>
    <w:rsid w:val="1C150C03"/>
    <w:rsid w:val="1C240236"/>
    <w:rsid w:val="1D3229DD"/>
    <w:rsid w:val="1D9362B0"/>
    <w:rsid w:val="1EAF6816"/>
    <w:rsid w:val="1F3317A9"/>
    <w:rsid w:val="20012DA5"/>
    <w:rsid w:val="20D97356"/>
    <w:rsid w:val="22092C13"/>
    <w:rsid w:val="225F3F7C"/>
    <w:rsid w:val="23E10F23"/>
    <w:rsid w:val="245614B3"/>
    <w:rsid w:val="24D5468F"/>
    <w:rsid w:val="25343A17"/>
    <w:rsid w:val="26010DD4"/>
    <w:rsid w:val="26453E59"/>
    <w:rsid w:val="2CBA60DD"/>
    <w:rsid w:val="2D3F1A08"/>
    <w:rsid w:val="2EF74826"/>
    <w:rsid w:val="32546D64"/>
    <w:rsid w:val="337B9D7E"/>
    <w:rsid w:val="33BE436C"/>
    <w:rsid w:val="33BF215A"/>
    <w:rsid w:val="349E3364"/>
    <w:rsid w:val="35FE12A2"/>
    <w:rsid w:val="36236BC2"/>
    <w:rsid w:val="36770B63"/>
    <w:rsid w:val="36FB5DCD"/>
    <w:rsid w:val="37B77A4B"/>
    <w:rsid w:val="3946644C"/>
    <w:rsid w:val="3BA62C74"/>
    <w:rsid w:val="3BF3791B"/>
    <w:rsid w:val="3C2A6A8D"/>
    <w:rsid w:val="3C6A1369"/>
    <w:rsid w:val="3C7D6D51"/>
    <w:rsid w:val="3D50177F"/>
    <w:rsid w:val="3EE148AB"/>
    <w:rsid w:val="408F7382"/>
    <w:rsid w:val="413B6528"/>
    <w:rsid w:val="43AD46B5"/>
    <w:rsid w:val="45693DF3"/>
    <w:rsid w:val="47053B81"/>
    <w:rsid w:val="49965BFE"/>
    <w:rsid w:val="4A033A71"/>
    <w:rsid w:val="4AAD42A3"/>
    <w:rsid w:val="4B085414"/>
    <w:rsid w:val="4C077893"/>
    <w:rsid w:val="50402703"/>
    <w:rsid w:val="509141EE"/>
    <w:rsid w:val="50960DE6"/>
    <w:rsid w:val="518315B2"/>
    <w:rsid w:val="518C5526"/>
    <w:rsid w:val="532A0427"/>
    <w:rsid w:val="54F51662"/>
    <w:rsid w:val="55A414FE"/>
    <w:rsid w:val="593A4383"/>
    <w:rsid w:val="5A363838"/>
    <w:rsid w:val="5A4271D4"/>
    <w:rsid w:val="5A802A51"/>
    <w:rsid w:val="5AC50FBE"/>
    <w:rsid w:val="5B0F2E3C"/>
    <w:rsid w:val="5B341766"/>
    <w:rsid w:val="5D5872BE"/>
    <w:rsid w:val="5DBF6FD5"/>
    <w:rsid w:val="5E72408D"/>
    <w:rsid w:val="5FDE5606"/>
    <w:rsid w:val="60DB00A5"/>
    <w:rsid w:val="620A0372"/>
    <w:rsid w:val="62CE7EEB"/>
    <w:rsid w:val="62E84596"/>
    <w:rsid w:val="62F43F94"/>
    <w:rsid w:val="630C339F"/>
    <w:rsid w:val="64695F14"/>
    <w:rsid w:val="65200A08"/>
    <w:rsid w:val="67BC0043"/>
    <w:rsid w:val="67BF12CC"/>
    <w:rsid w:val="69A50F11"/>
    <w:rsid w:val="69C14844"/>
    <w:rsid w:val="6AAE7F42"/>
    <w:rsid w:val="6B2A1CD1"/>
    <w:rsid w:val="6B6F7D7B"/>
    <w:rsid w:val="6E2F7AFF"/>
    <w:rsid w:val="739D0E5A"/>
    <w:rsid w:val="74EC61DD"/>
    <w:rsid w:val="75CD11D9"/>
    <w:rsid w:val="75E17962"/>
    <w:rsid w:val="781377B5"/>
    <w:rsid w:val="79880D18"/>
    <w:rsid w:val="79CB72D9"/>
    <w:rsid w:val="7B734E3C"/>
    <w:rsid w:val="7B7E301D"/>
    <w:rsid w:val="7D2D3347"/>
    <w:rsid w:val="7E1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Comic Sans MS" w:hAnsi="Comic Sans MS"/>
      <w:b/>
      <w:color w:val="000000"/>
      <w:sz w:val="24"/>
    </w:r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ody Text"/>
    <w:basedOn w:val="1"/>
    <w:next w:val="7"/>
    <w:qFormat/>
    <w:uiPriority w:val="1"/>
    <w:pPr>
      <w:ind w:left="100"/>
    </w:pPr>
    <w:rPr>
      <w:rFonts w:ascii="Calibri" w:hAnsi="Calibri" w:cs="Calibri"/>
      <w:sz w:val="22"/>
      <w:szCs w:val="22"/>
    </w:r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line="400" w:lineRule="exact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8">
    <w:name w:val="Body Text Indent"/>
    <w:basedOn w:val="1"/>
    <w:link w:val="25"/>
    <w:qFormat/>
    <w:uiPriority w:val="0"/>
    <w:pPr>
      <w:ind w:firstLine="560" w:firstLineChars="200"/>
    </w:pPr>
    <w:rPr>
      <w:kern w:val="0"/>
      <w:sz w:val="2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annotation subject"/>
    <w:basedOn w:val="5"/>
    <w:next w:val="5"/>
    <w:link w:val="22"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annotation reference"/>
    <w:basedOn w:val="16"/>
    <w:qFormat/>
    <w:uiPriority w:val="0"/>
    <w:rPr>
      <w:sz w:val="21"/>
      <w:szCs w:val="21"/>
    </w:rPr>
  </w:style>
  <w:style w:type="paragraph" w:customStyle="1" w:styleId="18">
    <w:name w:val="Figure"/>
    <w:next w:val="6"/>
    <w:qFormat/>
    <w:uiPriority w:val="1"/>
    <w:pPr>
      <w:adjustRightInd w:val="0"/>
      <w:ind w:left="360" w:leftChars="150"/>
      <w:jc w:val="both"/>
    </w:pPr>
    <w:rPr>
      <w:rFonts w:ascii="Times New Roman" w:hAnsi="Times New Roman" w:eastAsia="Arial" w:cs="Arial"/>
      <w:bCs/>
      <w:sz w:val="21"/>
      <w:lang w:val="en-US" w:eastAsia="zh-CN" w:bidi="ar-SA"/>
    </w:rPr>
  </w:style>
  <w:style w:type="paragraph" w:customStyle="1" w:styleId="19">
    <w:name w:val="TOC 标题1"/>
    <w:basedOn w:val="2"/>
    <w:next w:val="1"/>
    <w:unhideWhenUsed/>
    <w:qFormat/>
    <w:uiPriority w:val="39"/>
    <w:pPr>
      <w:widowControl/>
      <w:spacing w:line="276" w:lineRule="auto"/>
      <w:jc w:val="left"/>
      <w:outlineLvl w:val="9"/>
    </w:pPr>
    <w:rPr>
      <w:kern w:val="0"/>
      <w:lang w:eastAsia="ja-JP"/>
    </w:rPr>
  </w:style>
  <w:style w:type="paragraph" w:customStyle="1" w:styleId="2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21">
    <w:name w:val="批注文字 字符"/>
    <w:basedOn w:val="16"/>
    <w:link w:val="5"/>
    <w:qFormat/>
    <w:uiPriority w:val="0"/>
    <w:rPr>
      <w:kern w:val="2"/>
      <w:sz w:val="21"/>
    </w:rPr>
  </w:style>
  <w:style w:type="character" w:customStyle="1" w:styleId="22">
    <w:name w:val="批注主题 字符"/>
    <w:basedOn w:val="21"/>
    <w:link w:val="13"/>
    <w:qFormat/>
    <w:uiPriority w:val="0"/>
    <w:rPr>
      <w:b/>
      <w:bCs/>
      <w:kern w:val="2"/>
      <w:sz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列表段落1"/>
    <w:basedOn w:val="1"/>
    <w:unhideWhenUsed/>
    <w:qFormat/>
    <w:uiPriority w:val="99"/>
    <w:pPr>
      <w:ind w:left="720"/>
      <w:contextualSpacing/>
    </w:pPr>
  </w:style>
  <w:style w:type="character" w:customStyle="1" w:styleId="25">
    <w:name w:val="正文文本缩进 Char"/>
    <w:link w:val="8"/>
    <w:qFormat/>
    <w:uiPriority w:val="0"/>
    <w:rPr>
      <w:kern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752</Words>
  <Characters>1169</Characters>
  <Lines>67</Lines>
  <Paragraphs>18</Paragraphs>
  <TotalTime>0</TotalTime>
  <ScaleCrop>false</ScaleCrop>
  <LinksUpToDate>false</LinksUpToDate>
  <CharactersWithSpaces>1190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2021-01-27T14:49:00Z</dcterms:created>
  <dc:creator>Administrator</dc:creator>
  <cp:lastModifiedBy>™</cp:lastModifiedBy>
  <dcterms:modified xsi:type="dcterms:W3CDTF">2025-08-19T06:08:09Z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F0425EA2AAC94E26901A901D74C63FB0</vt:lpwstr>
  </property>
  <property fmtid="{D5CDD505-2E9C-101B-9397-08002B2CF9AE}" pid="4" name="KSOTemplateDocerSaveRecord">
    <vt:lpwstr>eyJoZGlkIjoiZTczYWQ5YWNiYTZlOTJlYTUyZjk0N2NlNGY1ZTBlYzEiLCJ1c2VySWQiOiI3NDQ5MjQ3MzUifQ==</vt:lpwstr>
  </property>
</Properties>
</file>