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C6D16A">
      <w:pPr>
        <w:spacing w:line="255" w:lineRule="auto"/>
        <w:rPr>
          <w:rFonts w:ascii="Arial"/>
        </w:rPr>
      </w:pPr>
      <w:bookmarkStart w:id="8" w:name="_GoBack"/>
      <w:bookmarkEnd w:id="8"/>
    </w:p>
    <w:p w14:paraId="362FE258">
      <w:pPr>
        <w:spacing w:line="255" w:lineRule="auto"/>
        <w:rPr>
          <w:rFonts w:ascii="Arial"/>
        </w:rPr>
      </w:pPr>
    </w:p>
    <w:p w14:paraId="4A8BA4D1">
      <w:pPr>
        <w:spacing w:line="255" w:lineRule="auto"/>
        <w:rPr>
          <w:rFonts w:ascii="Arial"/>
        </w:rPr>
      </w:pPr>
    </w:p>
    <w:p w14:paraId="085031D9">
      <w:pPr>
        <w:spacing w:line="255" w:lineRule="auto"/>
        <w:rPr>
          <w:rFonts w:ascii="Arial"/>
        </w:rPr>
      </w:pPr>
    </w:p>
    <w:p w14:paraId="4FB9A8E4">
      <w:pPr>
        <w:spacing w:line="255" w:lineRule="auto"/>
        <w:rPr>
          <w:rFonts w:ascii="Arial"/>
        </w:rPr>
      </w:pPr>
    </w:p>
    <w:p w14:paraId="52C7B655">
      <w:pPr>
        <w:spacing w:line="255" w:lineRule="auto"/>
        <w:rPr>
          <w:rFonts w:ascii="Arial"/>
        </w:rPr>
      </w:pPr>
    </w:p>
    <w:p w14:paraId="1F733749">
      <w:pPr>
        <w:spacing w:line="255" w:lineRule="auto"/>
        <w:rPr>
          <w:rFonts w:ascii="Arial"/>
        </w:rPr>
      </w:pPr>
    </w:p>
    <w:p w14:paraId="6977FB78">
      <w:pPr>
        <w:spacing w:line="256" w:lineRule="auto"/>
        <w:jc w:val="center"/>
        <w:rPr>
          <w:rFonts w:ascii="Arial"/>
        </w:rPr>
      </w:pPr>
    </w:p>
    <w:p w14:paraId="480BC8ED">
      <w:pPr>
        <w:spacing w:before="230" w:line="223" w:lineRule="auto"/>
        <w:ind w:left="2564"/>
        <w:jc w:val="center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64A28DFB">
      <w:pPr>
        <w:spacing w:before="80" w:line="221" w:lineRule="auto"/>
        <w:jc w:val="center"/>
        <w:outlineLvl w:val="0"/>
        <w:rPr>
          <w:rFonts w:hint="eastAsia" w:ascii="宋体" w:hAnsi="宋体" w:cs="宋体"/>
          <w:sz w:val="72"/>
          <w:szCs w:val="72"/>
        </w:rPr>
      </w:pPr>
      <w:bookmarkStart w:id="0" w:name="_Toc2670"/>
      <w:bookmarkStart w:id="1" w:name="_Toc8001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软件确认计划</w:t>
      </w:r>
      <w:bookmarkEnd w:id="0"/>
      <w:bookmarkEnd w:id="1"/>
    </w:p>
    <w:p w14:paraId="38A9DEDB">
      <w:pPr>
        <w:spacing w:before="15"/>
      </w:pPr>
    </w:p>
    <w:p w14:paraId="35A9057D">
      <w:pPr>
        <w:spacing w:before="14"/>
      </w:pPr>
    </w:p>
    <w:p w14:paraId="253B19A6">
      <w:pPr>
        <w:spacing w:before="14"/>
      </w:pPr>
    </w:p>
    <w:p w14:paraId="691DAB1E">
      <w:pPr>
        <w:spacing w:before="14"/>
      </w:pPr>
    </w:p>
    <w:p w14:paraId="1F57EB56">
      <w:pPr>
        <w:spacing w:before="14"/>
      </w:pPr>
    </w:p>
    <w:p w14:paraId="2204A85C">
      <w:pPr>
        <w:spacing w:before="14"/>
      </w:pPr>
    </w:p>
    <w:p w14:paraId="511244A0">
      <w:pPr>
        <w:spacing w:before="14"/>
      </w:pPr>
    </w:p>
    <w:p w14:paraId="4E913F7F">
      <w:pPr>
        <w:spacing w:before="14"/>
      </w:pPr>
    </w:p>
    <w:p w14:paraId="45B6D3D1">
      <w:pPr>
        <w:spacing w:before="14"/>
      </w:pPr>
    </w:p>
    <w:p w14:paraId="47C1B035">
      <w:pPr>
        <w:spacing w:before="14"/>
      </w:pPr>
    </w:p>
    <w:p w14:paraId="11729AA0">
      <w:pPr>
        <w:spacing w:before="14"/>
      </w:pPr>
    </w:p>
    <w:p w14:paraId="2EED08C3">
      <w:pPr>
        <w:spacing w:before="14"/>
      </w:pPr>
    </w:p>
    <w:p w14:paraId="6EC5DFC9">
      <w:pPr>
        <w:spacing w:before="14"/>
      </w:pPr>
    </w:p>
    <w:tbl>
      <w:tblPr>
        <w:tblStyle w:val="8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22E35A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14318DB2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5648BD5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44B5B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9DF73C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2003" w:type="dxa"/>
            <w:noWrap w:val="0"/>
            <w:vAlign w:val="top"/>
          </w:tcPr>
          <w:p w14:paraId="1B95626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  <w:tc>
          <w:tcPr>
            <w:tcW w:w="2003" w:type="dxa"/>
            <w:noWrap w:val="0"/>
            <w:vAlign w:val="top"/>
          </w:tcPr>
          <w:p w14:paraId="7CB8C94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2005" w:type="dxa"/>
            <w:noWrap w:val="0"/>
            <w:vAlign w:val="top"/>
          </w:tcPr>
          <w:p w14:paraId="6337BB91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778CA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28CDAE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03A03C8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2" w:name="编制"/>
            <w:bookmarkEnd w:id="2"/>
          </w:p>
        </w:tc>
        <w:tc>
          <w:tcPr>
            <w:tcW w:w="2003" w:type="dxa"/>
            <w:noWrap w:val="0"/>
            <w:vAlign w:val="top"/>
          </w:tcPr>
          <w:p w14:paraId="4B9DAAC1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5D43E81E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日期"/>
            <w:bookmarkEnd w:id="3"/>
          </w:p>
        </w:tc>
      </w:tr>
      <w:tr w14:paraId="00ED7D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6ABE7CA9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46FAAF82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审核"/>
            <w:bookmarkEnd w:id="4"/>
          </w:p>
        </w:tc>
        <w:tc>
          <w:tcPr>
            <w:tcW w:w="2003" w:type="dxa"/>
            <w:noWrap w:val="0"/>
            <w:vAlign w:val="top"/>
          </w:tcPr>
          <w:p w14:paraId="61E3E74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19C75C2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日期"/>
            <w:bookmarkEnd w:id="5"/>
          </w:p>
        </w:tc>
      </w:tr>
      <w:tr w14:paraId="1D49D6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4ED0261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5245332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批准"/>
            <w:bookmarkEnd w:id="6"/>
          </w:p>
        </w:tc>
        <w:tc>
          <w:tcPr>
            <w:tcW w:w="2003" w:type="dxa"/>
            <w:noWrap w:val="0"/>
            <w:vAlign w:val="top"/>
          </w:tcPr>
          <w:p w14:paraId="4EF3E21E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40A8E19E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日期"/>
            <w:bookmarkEnd w:id="7"/>
          </w:p>
        </w:tc>
      </w:tr>
    </w:tbl>
    <w:p w14:paraId="0ABFD032">
      <w:pPr>
        <w:rPr>
          <w:rFonts w:ascii="Arial" w:hAnsi="Arial" w:eastAsia="Arial" w:cs="Arial"/>
          <w:szCs w:val="21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567" w:footer="567" w:gutter="0"/>
          <w:pgNumType w:start="1"/>
          <w:cols w:space="720" w:num="1"/>
        </w:sectPr>
      </w:pPr>
    </w:p>
    <w:p w14:paraId="21F1BA04">
      <w:pPr>
        <w:pStyle w:val="13"/>
        <w:tabs>
          <w:tab w:val="left" w:pos="1416"/>
        </w:tabs>
        <w:jc w:val="both"/>
        <w:rPr>
          <w:rFonts w:hint="eastAsia" w:ascii="宋体" w:cs="MingLiU"/>
          <w:b/>
          <w:color w:val="000000"/>
          <w:sz w:val="28"/>
          <w:szCs w:val="28"/>
        </w:rPr>
      </w:pPr>
      <w:r>
        <w:rPr>
          <w:rFonts w:hint="eastAsia" w:ascii="宋体" w:cs="MingLiU"/>
          <w:b/>
          <w:color w:val="000000"/>
          <w:sz w:val="28"/>
          <w:szCs w:val="28"/>
        </w:rPr>
        <w:t>标准要求：</w:t>
      </w:r>
    </w:p>
    <w:p w14:paraId="533342FF">
      <w:pPr>
        <w:spacing w:line="360" w:lineRule="auto"/>
        <w:ind w:firstLine="420" w:firstLineChars="200"/>
        <w:rPr>
          <w:rFonts w:hint="eastAsia"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需验证基本安全、基本性能或风险控制措施所指定的信息，计划应包括以下内容:</w:t>
      </w:r>
    </w:p>
    <w:p w14:paraId="5E92A823">
      <w:pPr>
        <w:spacing w:line="360" w:lineRule="auto"/>
        <w:rPr>
          <w:rFonts w:hint="eastAsia"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1、对每个功能的管理要点实施验证</w:t>
      </w:r>
      <w:r>
        <w:rPr>
          <w:rFonts w:hint="eastAsia" w:ascii="宋体" w:hAnsi="宋体" w:cs="MingLiU"/>
          <w:color w:val="000000"/>
          <w:kern w:val="0"/>
          <w:szCs w:val="21"/>
        </w:rPr>
        <w:br w:type="textWrapping"/>
      </w:r>
      <w:r>
        <w:rPr>
          <w:rFonts w:hint="eastAsia" w:ascii="宋体" w:hAnsi="宋体" w:cs="MingLiU"/>
          <w:color w:val="000000"/>
          <w:kern w:val="0"/>
          <w:szCs w:val="21"/>
        </w:rPr>
        <w:t>2、验证计划、活动、方法 和 适当的非人工测试（如自动化测试）。</w:t>
      </w:r>
      <w:r>
        <w:rPr>
          <w:rFonts w:hint="eastAsia" w:ascii="宋体" w:hAnsi="宋体" w:cs="MingLiU"/>
          <w:color w:val="000000"/>
          <w:kern w:val="0"/>
          <w:szCs w:val="21"/>
        </w:rPr>
        <w:br w:type="textWrapping"/>
      </w:r>
      <w:r>
        <w:rPr>
          <w:rFonts w:hint="eastAsia" w:ascii="宋体" w:hAnsi="宋体" w:cs="MingLiU"/>
          <w:color w:val="000000"/>
          <w:kern w:val="0"/>
          <w:szCs w:val="21"/>
        </w:rPr>
        <w:t>3、验证工具的选择及使用</w:t>
      </w:r>
      <w:r>
        <w:rPr>
          <w:rFonts w:hint="eastAsia" w:ascii="宋体" w:hAnsi="宋体" w:cs="MingLiU"/>
          <w:color w:val="000000"/>
          <w:kern w:val="0"/>
          <w:szCs w:val="21"/>
        </w:rPr>
        <w:br w:type="textWrapping"/>
      </w:r>
      <w:r>
        <w:rPr>
          <w:rFonts w:hint="eastAsia" w:ascii="宋体" w:hAnsi="宋体" w:cs="MingLiU"/>
          <w:color w:val="000000"/>
          <w:kern w:val="0"/>
          <w:szCs w:val="21"/>
        </w:rPr>
        <w:t>4、验证标准的适用范围</w:t>
      </w:r>
    </w:p>
    <w:p w14:paraId="160941A7">
      <w:pPr>
        <w:spacing w:line="360" w:lineRule="auto"/>
        <w:rPr>
          <w:rFonts w:hint="eastAsia"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另，所有验证活动的结果应被文档化</w:t>
      </w:r>
    </w:p>
    <w:p w14:paraId="27A0382D">
      <w:pPr>
        <w:autoSpaceDE w:val="0"/>
        <w:autoSpaceDN w:val="0"/>
        <w:adjustRightInd w:val="0"/>
        <w:spacing w:line="402" w:lineRule="auto"/>
        <w:ind w:left="120" w:right="250" w:firstLine="420"/>
        <w:rPr>
          <w:rFonts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软件定义阶段、概要设计阶段，验证《软件架构设计》是否满足《软件需求分析》的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各项要求</w:t>
      </w:r>
      <w:r>
        <w:rPr>
          <w:rFonts w:hint="eastAsia" w:ascii="宋体" w:hAnsi="宋体" w:cs="MingLiU"/>
          <w:color w:val="000000"/>
          <w:spacing w:val="-26"/>
          <w:kern w:val="0"/>
          <w:szCs w:val="21"/>
        </w:rPr>
        <w:t>，</w:t>
      </w:r>
      <w:r>
        <w:rPr>
          <w:rFonts w:hint="eastAsia" w:ascii="宋体" w:hAnsi="宋体" w:cs="MingLiU"/>
          <w:color w:val="000000"/>
          <w:kern w:val="0"/>
          <w:szCs w:val="21"/>
        </w:rPr>
        <w:t>设计是否合理</w:t>
      </w:r>
      <w:r>
        <w:rPr>
          <w:rFonts w:hint="eastAsia" w:ascii="宋体" w:hAnsi="宋体" w:cs="MingLiU"/>
          <w:color w:val="000000"/>
          <w:spacing w:val="-26"/>
          <w:kern w:val="0"/>
          <w:szCs w:val="21"/>
        </w:rPr>
        <w:t>，</w:t>
      </w:r>
      <w:r>
        <w:rPr>
          <w:rFonts w:hint="eastAsia" w:ascii="宋体" w:hAnsi="宋体" w:cs="MingLiU"/>
          <w:color w:val="000000"/>
          <w:kern w:val="0"/>
          <w:szCs w:val="21"/>
        </w:rPr>
        <w:t>是否可以据此产</w:t>
      </w:r>
      <w:r>
        <w:rPr>
          <w:rFonts w:hint="eastAsia" w:ascii="宋体" w:hAnsi="宋体" w:cs="MingLiU"/>
          <w:color w:val="000000"/>
          <w:spacing w:val="-26"/>
          <w:kern w:val="0"/>
          <w:szCs w:val="21"/>
        </w:rPr>
        <w:t>生</w:t>
      </w:r>
      <w:r>
        <w:rPr>
          <w:rFonts w:hint="eastAsia" w:ascii="宋体" w:hAnsi="宋体" w:cs="MingLiU"/>
          <w:color w:val="000000"/>
          <w:kern w:val="0"/>
          <w:szCs w:val="21"/>
        </w:rPr>
        <w:t>《软件详细设计</w:t>
      </w:r>
      <w:r>
        <w:rPr>
          <w:rFonts w:hint="eastAsia" w:ascii="宋体" w:hAnsi="宋体" w:cs="MingLiU"/>
          <w:color w:val="000000"/>
          <w:spacing w:val="-104"/>
          <w:kern w:val="0"/>
          <w:szCs w:val="21"/>
        </w:rPr>
        <w:t>》</w:t>
      </w:r>
      <w:r>
        <w:rPr>
          <w:rFonts w:hint="eastAsia" w:ascii="宋体" w:hAnsi="宋体" w:cs="MingLiU"/>
          <w:color w:val="000000"/>
          <w:spacing w:val="-26"/>
          <w:kern w:val="0"/>
          <w:szCs w:val="21"/>
        </w:rPr>
        <w:t>，</w:t>
      </w:r>
      <w:r>
        <w:rPr>
          <w:rFonts w:hint="eastAsia" w:ascii="宋体" w:hAnsi="宋体" w:cs="MingLiU"/>
          <w:color w:val="000000"/>
          <w:kern w:val="0"/>
          <w:szCs w:val="21"/>
        </w:rPr>
        <w:t>并确定能否转入详细设计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阶段。详细设计之后应编写并验证软件代码。实现每个软件单元，并为验证每个软件单元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制定策略、方法和规程。在集成为较大软件项之前，应为软件单元制定验收准则，确保软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件单元符合验收准则。应将实施软件单元的验证结果形成文档。</w:t>
      </w:r>
    </w:p>
    <w:p w14:paraId="378033A8">
      <w:pPr>
        <w:autoSpaceDE w:val="0"/>
        <w:autoSpaceDN w:val="0"/>
        <w:adjustRightInd w:val="0"/>
        <w:ind w:left="540" w:right="-20"/>
        <w:jc w:val="left"/>
        <w:rPr>
          <w:rFonts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软件测试阶段验证软件是否满足软件需求分析的各项要求。</w:t>
      </w:r>
    </w:p>
    <w:p w14:paraId="54BC4A1A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color w:val="000000"/>
          <w:kern w:val="0"/>
          <w:sz w:val="20"/>
        </w:rPr>
      </w:pPr>
    </w:p>
    <w:p w14:paraId="3278E80A">
      <w:pPr>
        <w:tabs>
          <w:tab w:val="left" w:pos="540"/>
        </w:tabs>
        <w:autoSpaceDE w:val="0"/>
        <w:autoSpaceDN w:val="0"/>
        <w:adjustRightInd w:val="0"/>
        <w:spacing w:line="390" w:lineRule="auto"/>
        <w:ind w:left="120" w:leftChars="57" w:right="-41" w:firstLine="420" w:firstLineChars="200"/>
        <w:jc w:val="left"/>
        <w:rPr>
          <w:rFonts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软件的验收与确认是向用户（临床医生）或专家展示软件系统是否满足其各项需求。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软件确认是当系统测试完成后，由研发部组织相关人员进行，目的是为确保输出满足</w:t>
      </w:r>
    </w:p>
    <w:p w14:paraId="4DFAA380">
      <w:pPr>
        <w:autoSpaceDE w:val="0"/>
        <w:autoSpaceDN w:val="0"/>
        <w:adjustRightInd w:val="0"/>
        <w:spacing w:before="10"/>
        <w:ind w:left="120" w:right="-20"/>
        <w:jc w:val="left"/>
        <w:rPr>
          <w:rFonts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实际使用的要求。</w:t>
      </w:r>
    </w:p>
    <w:p w14:paraId="13893B2C">
      <w:pPr>
        <w:autoSpaceDE w:val="0"/>
        <w:autoSpaceDN w:val="0"/>
        <w:adjustRightInd w:val="0"/>
        <w:spacing w:before="2" w:line="140" w:lineRule="exact"/>
        <w:jc w:val="left"/>
        <w:rPr>
          <w:rFonts w:ascii="宋体" w:hAnsi="宋体" w:cs="MingLiU"/>
          <w:color w:val="000000"/>
          <w:kern w:val="0"/>
          <w:sz w:val="14"/>
          <w:szCs w:val="14"/>
        </w:rPr>
      </w:pPr>
    </w:p>
    <w:p w14:paraId="6E47F1B5">
      <w:pPr>
        <w:autoSpaceDE w:val="0"/>
        <w:autoSpaceDN w:val="0"/>
        <w:adjustRightInd w:val="0"/>
        <w:spacing w:line="362" w:lineRule="auto"/>
        <w:ind w:left="120" w:leftChars="57" w:right="1357" w:firstLine="420" w:firstLineChars="200"/>
        <w:jc w:val="left"/>
        <w:rPr>
          <w:rFonts w:ascii="宋体" w:hAnsi="宋体" w:cs="MingLiU"/>
          <w:color w:val="000000"/>
          <w:kern w:val="0"/>
          <w:szCs w:val="21"/>
        </w:rPr>
      </w:pPr>
      <w:r>
        <w:rPr>
          <w:rFonts w:hint="eastAsia" w:ascii="宋体" w:hAnsi="宋体" w:cs="MingLiU"/>
          <w:color w:val="000000"/>
          <w:kern w:val="0"/>
          <w:szCs w:val="21"/>
        </w:rPr>
        <w:t>具体确认标准和结果请参考</w:t>
      </w:r>
      <w:r>
        <w:rPr>
          <w:rFonts w:hint="eastAsia" w:ascii="宋体" w:hAnsi="宋体" w:cs="MingLiU"/>
          <w:color w:val="000000"/>
          <w:spacing w:val="1"/>
          <w:kern w:val="0"/>
          <w:szCs w:val="21"/>
        </w:rPr>
        <w:t>《</w:t>
      </w:r>
      <w:r>
        <w:rPr>
          <w:rFonts w:hint="eastAsia" w:ascii="宋体" w:hAnsi="宋体" w:cs="MingLiU"/>
          <w:color w:val="000000"/>
          <w:kern w:val="0"/>
          <w:szCs w:val="21"/>
        </w:rPr>
        <w:t>软件验证与确认》文档。</w:t>
      </w:r>
      <w:r>
        <w:rPr>
          <w:rFonts w:ascii="宋体" w:hAnsi="宋体"/>
          <w:color w:val="000000"/>
          <w:kern w:val="0"/>
          <w:szCs w:val="21"/>
        </w:rPr>
        <w:t xml:space="preserve"> </w:t>
      </w:r>
      <w:r>
        <w:rPr>
          <w:rFonts w:hint="eastAsia" w:ascii="宋体" w:hAnsi="宋体" w:cs="MingLiU"/>
          <w:color w:val="000000"/>
          <w:kern w:val="0"/>
          <w:szCs w:val="21"/>
        </w:rPr>
        <w:t>软件确认小组成员有（</w:t>
      </w:r>
      <w:r>
        <w:rPr>
          <w:rFonts w:ascii="宋体" w:hAnsi="宋体" w:cs="MingLiU"/>
          <w:color w:val="000000"/>
          <w:kern w:val="0"/>
          <w:szCs w:val="21"/>
        </w:rPr>
        <w:t>PEMS</w:t>
      </w:r>
      <w:r>
        <w:rPr>
          <w:rFonts w:hint="eastAsia" w:ascii="宋体" w:hAnsi="宋体" w:cs="MingLiU"/>
          <w:color w:val="000000"/>
          <w:kern w:val="0"/>
          <w:szCs w:val="21"/>
        </w:rPr>
        <w:t>确认的责任小组（如测试小组）应是独立于设计小组，不应包含设计小组成员。</w:t>
      </w:r>
      <w:r>
        <w:rPr>
          <w:rFonts w:hint="eastAsia" w:ascii="宋体" w:hAnsi="宋体" w:cs="MingLiU"/>
          <w:color w:val="000000"/>
          <w:kern w:val="0"/>
          <w:szCs w:val="21"/>
        </w:rPr>
        <w:t>）：</w:t>
      </w:r>
    </w:p>
    <w:tbl>
      <w:tblPr>
        <w:tblStyle w:val="8"/>
        <w:tblW w:w="0" w:type="auto"/>
        <w:tblInd w:w="1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2141"/>
        <w:gridCol w:w="3926"/>
      </w:tblGrid>
      <w:tr w14:paraId="2C4DD5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 w:val="0"/>
            <w:vAlign w:val="top"/>
          </w:tcPr>
          <w:p w14:paraId="416D4CB4">
            <w:pPr>
              <w:autoSpaceDE w:val="0"/>
              <w:autoSpaceDN w:val="0"/>
              <w:adjustRightInd w:val="0"/>
              <w:spacing w:before="29"/>
              <w:ind w:left="644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确认人员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 w:val="0"/>
            <w:vAlign w:val="top"/>
          </w:tcPr>
          <w:p w14:paraId="07691C71">
            <w:pPr>
              <w:autoSpaceDE w:val="0"/>
              <w:autoSpaceDN w:val="0"/>
              <w:adjustRightInd w:val="0"/>
              <w:spacing w:before="29"/>
              <w:ind w:left="849" w:right="832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角色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 w:val="0"/>
            <w:vAlign w:val="top"/>
          </w:tcPr>
          <w:p w14:paraId="66473021">
            <w:pPr>
              <w:autoSpaceDE w:val="0"/>
              <w:autoSpaceDN w:val="0"/>
              <w:adjustRightInd w:val="0"/>
              <w:spacing w:before="29"/>
              <w:ind w:left="1742" w:right="1725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职责</w:t>
            </w:r>
          </w:p>
        </w:tc>
      </w:tr>
      <w:tr w14:paraId="60D11E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844CC79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1946CAF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确认组组长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BA85B74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负责确认过程的全面指导</w:t>
            </w:r>
          </w:p>
        </w:tc>
      </w:tr>
      <w:tr w14:paraId="3E30CC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9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4BC976D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F1BDD32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临床专家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20B5E3F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从临床使用角度进行评估</w:t>
            </w:r>
          </w:p>
        </w:tc>
      </w:tr>
      <w:tr w14:paraId="5F2FB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267C37A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5D98184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临床医生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BBD9A7C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从临床使用角度进行评估</w:t>
            </w:r>
          </w:p>
        </w:tc>
      </w:tr>
      <w:tr w14:paraId="1764F3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BD43EE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AC11A73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软件测试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E44A01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从软件测试角度进行评估</w:t>
            </w:r>
          </w:p>
        </w:tc>
      </w:tr>
      <w:tr w14:paraId="4B6B97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9" w:hRule="exact"/>
        </w:trPr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B304E9F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396B883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市场专员</w:t>
            </w:r>
          </w:p>
        </w:tc>
        <w:tc>
          <w:tcPr>
            <w:tcW w:w="3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444617E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Cs w:val="21"/>
              </w:rPr>
              <w:t>从客户需求角度进行评估</w:t>
            </w:r>
          </w:p>
        </w:tc>
      </w:tr>
    </w:tbl>
    <w:p w14:paraId="5A58ED0C">
      <w:pPr>
        <w:pStyle w:val="5"/>
        <w:rPr>
          <w:rFonts w:hint="eastAsia" w:hAnsi="宋体"/>
          <w:sz w:val="24"/>
        </w:rPr>
      </w:pPr>
    </w:p>
    <w:sectPr>
      <w:footerReference r:id="rId5" w:type="even"/>
      <w:endnotePr>
        <w:numFmt w:val="decimal"/>
      </w:endnotePr>
      <w:pgSz w:w="11906" w:h="16838"/>
      <w:pgMar w:top="1417" w:right="1417" w:bottom="1417" w:left="1417" w:header="567" w:footer="56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4E01F">
    <w:pPr>
      <w:pStyle w:val="6"/>
      <w:tabs>
        <w:tab w:val="clear" w:pos="4153"/>
      </w:tabs>
      <w:jc w:val="center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6E7F0974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2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7415F">
    <w:pPr>
      <w:pStyle w:val="6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fldChar w:fldCharType="end"/>
    </w:r>
  </w:p>
  <w:p w14:paraId="1884E419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8E30D">
    <w:pPr>
      <w:pStyle w:val="7"/>
      <w:pBdr>
        <w:bottom w:val="single" w:color="auto" w:sz="4" w:space="1"/>
      </w:pBdr>
    </w:pPr>
    <w:r>
      <w:rPr>
        <w:rFonts w:hint="eastAsia" w:ascii="微软雅黑" w:hAnsi="微软雅黑" w:eastAsia="新宋体"/>
        <w:sz w:val="21"/>
        <w:szCs w:val="72"/>
      </w:rPr>
      <w:t>Q</w:t>
    </w:r>
    <w:r>
      <w:rPr>
        <w:rFonts w:ascii="微软雅黑" w:hAnsi="微软雅黑" w:eastAsia="新宋体"/>
        <w:sz w:val="21"/>
        <w:szCs w:val="72"/>
      </w:rPr>
      <w:t>R/RD</w:t>
    </w:r>
    <w:r>
      <w:rPr>
        <w:rFonts w:hint="eastAsia" w:ascii="微软雅黑" w:hAnsi="微软雅黑" w:eastAsia="新宋体"/>
        <w:sz w:val="21"/>
        <w:szCs w:val="72"/>
      </w:rPr>
      <w:t xml:space="preserve">/026   </w:t>
    </w:r>
    <w:r>
      <w:rPr>
        <w:rFonts w:ascii="微软雅黑" w:hAnsi="微软雅黑" w:eastAsia="新宋体"/>
        <w:sz w:val="21"/>
        <w:szCs w:val="72"/>
      </w:rPr>
      <w:t>2</w:t>
    </w:r>
    <w:r>
      <w:rPr>
        <w:rFonts w:hint="eastAsia" w:ascii="微软雅黑" w:hAnsi="微软雅黑" w:eastAsia="新宋体"/>
        <w:sz w:val="21"/>
        <w:szCs w:val="72"/>
      </w:rPr>
      <w:t>.</w:t>
    </w:r>
    <w:r>
      <w:rPr>
        <w:rFonts w:hint="eastAsia" w:ascii="微软雅黑" w:hAnsi="微软雅黑" w:eastAsia="新宋体"/>
        <w:sz w:val="21"/>
        <w:szCs w:val="72"/>
        <w:lang w:val="en-US" w:eastAsia="zh-CN"/>
      </w:rPr>
      <w:t>1</w:t>
    </w:r>
    <w:r>
      <w:rPr>
        <w:rFonts w:hint="eastAsia" w:ascii="微软雅黑" w:hAnsi="微软雅黑" w:eastAsia="新宋体"/>
        <w:sz w:val="21"/>
        <w:szCs w:val="72"/>
      </w:rPr>
      <w:t xml:space="preserve">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210"/>
  <w:drawingGridVerticalSpacing w:val="-7946"/>
  <w:displayHorizontalDrawingGridEvery w:val="1"/>
  <w:displayVerticalDrawingGridEvery w:val="2"/>
  <w:doNotShadeFormData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YWQ5YWNiYTZlOTJlYTUyZjk0N2NlNGY1ZTBlYzEifQ=="/>
  </w:docVars>
  <w:rsids>
    <w:rsidRoot w:val="00172A27"/>
    <w:rsid w:val="000533B0"/>
    <w:rsid w:val="00074908"/>
    <w:rsid w:val="000B4D30"/>
    <w:rsid w:val="000B70CB"/>
    <w:rsid w:val="000D69CC"/>
    <w:rsid w:val="00140BC4"/>
    <w:rsid w:val="001E4F01"/>
    <w:rsid w:val="002C2840"/>
    <w:rsid w:val="00312CCD"/>
    <w:rsid w:val="00485D7D"/>
    <w:rsid w:val="0059468D"/>
    <w:rsid w:val="005A7C01"/>
    <w:rsid w:val="00654262"/>
    <w:rsid w:val="006D44D9"/>
    <w:rsid w:val="00821522"/>
    <w:rsid w:val="009C7527"/>
    <w:rsid w:val="00A63ACA"/>
    <w:rsid w:val="00FA0C10"/>
    <w:rsid w:val="03922E01"/>
    <w:rsid w:val="25A030B3"/>
    <w:rsid w:val="39365E1E"/>
    <w:rsid w:val="40B708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5">
    <w:name w:val="Plain Text"/>
    <w:basedOn w:val="1"/>
    <w:uiPriority w:val="0"/>
    <w:rPr>
      <w:rFonts w:ascii="宋体" w:hAnsi="Courier New"/>
      <w:sz w:val="21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0">
    <w:name w:val="page number"/>
    <w:uiPriority w:val="0"/>
  </w:style>
  <w:style w:type="character" w:customStyle="1" w:styleId="11">
    <w:name w:val="一级条标题 Char"/>
    <w:uiPriority w:val="0"/>
    <w:rPr>
      <w:rFonts w:ascii="黑体" w:hAnsi="宋体" w:eastAsia="黑体"/>
      <w:color w:val="000000"/>
      <w:sz w:val="24"/>
    </w:rPr>
  </w:style>
  <w:style w:type="paragraph" w:customStyle="1" w:styleId="12">
    <w:name w:val="p0"/>
    <w:basedOn w:val="1"/>
    <w:uiPriority w:val="0"/>
    <w:pPr>
      <w:widowControl/>
    </w:pPr>
    <w:rPr>
      <w:kern w:val="0"/>
      <w:szCs w:val="21"/>
    </w:rPr>
  </w:style>
  <w:style w:type="paragraph" w:customStyle="1" w:styleId="13">
    <w:name w:val="一级条标题"/>
    <w:next w:val="1"/>
    <w:uiPriority w:val="0"/>
    <w:pPr>
      <w:spacing w:line="360" w:lineRule="auto"/>
      <w:jc w:val="center"/>
      <w:outlineLvl w:val="2"/>
    </w:pPr>
    <w:rPr>
      <w:rFonts w:ascii="黑体" w:hAnsi="宋体" w:eastAsia="黑体"/>
      <w:color w:val="000000"/>
      <w:sz w:val="24"/>
      <w:lang w:val="en-US" w:eastAsia="zh-CN" w:bidi="ar-SA"/>
    </w:rPr>
  </w:style>
  <w:style w:type="paragraph" w:customStyle="1" w:styleId="14">
    <w:name w:val="数字编号列项（二级）"/>
    <w:uiPriority w:val="0"/>
    <w:pPr>
      <w:ind w:left="1260" w:leftChars="400" w:hanging="420" w:hangingChars="200"/>
      <w:jc w:val="both"/>
    </w:pPr>
    <w:rPr>
      <w:rFonts w:ascii="宋体"/>
      <w:sz w:val="21"/>
      <w:lang w:val="en-US" w:eastAsia="zh-CN" w:bidi="ar-SA"/>
    </w:rPr>
  </w:style>
  <w:style w:type="paragraph" w:customStyle="1" w:styleId="15">
    <w:name w:val="p15"/>
    <w:basedOn w:val="1"/>
    <w:uiPriority w:val="0"/>
    <w:pPr>
      <w:widowControl/>
      <w:ind w:firstLine="525"/>
    </w:pPr>
    <w:rPr>
      <w:kern w:val="0"/>
      <w:szCs w:val="21"/>
    </w:rPr>
  </w:style>
  <w:style w:type="paragraph" w:customStyle="1" w:styleId="16">
    <w:name w:val="段"/>
    <w:uiPriority w:val="0"/>
    <w:pPr>
      <w:autoSpaceDE w:val="0"/>
      <w:autoSpaceDN w:val="0"/>
      <w:spacing w:line="312" w:lineRule="exact"/>
      <w:jc w:val="both"/>
    </w:pPr>
    <w:rPr>
      <w:rFonts w:ascii="宋体" w:hAnsi="宋体"/>
      <w:color w:val="000000"/>
      <w:sz w:val="21"/>
      <w:lang w:val="en-US" w:eastAsia="zh-CN" w:bidi="ar-SA"/>
    </w:rPr>
  </w:style>
  <w:style w:type="paragraph" w:customStyle="1" w:styleId="17">
    <w:name w:val="二级条标题"/>
    <w:basedOn w:val="1"/>
    <w:next w:val="1"/>
    <w:uiPriority w:val="0"/>
    <w:pPr>
      <w:widowControl/>
      <w:tabs>
        <w:tab w:val="left" w:pos="1680"/>
      </w:tabs>
      <w:jc w:val="left"/>
      <w:outlineLvl w:val="3"/>
    </w:pPr>
    <w:rPr>
      <w:sz w:val="21"/>
    </w:rPr>
  </w:style>
  <w:style w:type="paragraph" w:customStyle="1" w:styleId="18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  <w:style w:type="table" w:customStyle="1" w:styleId="19">
    <w:name w:val="Table Normal"/>
    <w:unhideWhenUsed/>
    <w:qFormat/>
    <w:uiPriority w:val="0"/>
    <w:rPr>
      <w:rFonts w:ascii="Arial" w:hAnsi="Arial" w:cs="Arial"/>
      <w:lang w:val="en-US" w:eastAsia="zh-CN" w:bidi="ar-SA"/>
    </w:rPr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Program_Files\Kingsoft\WPS%20Office\12.1.0.29161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603</Words>
  <Characters>606</Characters>
  <Lines>4</Lines>
  <Paragraphs>1</Paragraphs>
  <TotalTime>0</TotalTime>
  <ScaleCrop>false</ScaleCrop>
  <LinksUpToDate>false</LinksUpToDate>
  <CharactersWithSpaces>614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2012-07-12T02:55:00Z</dcterms:created>
  <dc:creator>Bonnie.Nie</dc:creator>
  <cp:lastModifiedBy>小汪</cp:lastModifiedBy>
  <dcterms:modified xsi:type="dcterms:W3CDTF">2026-10-24T00:45:44Z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出版商">
    <vt:lpwstr>2052-6.6.0.2877</vt:lpwstr>
  </property>
  <property fmtid="{D5CDD505-2E9C-101B-9397-08002B2CF9AE}" pid="4" name="ICV">
    <vt:lpwstr>83E46E3C09584E94B070CDB61B23BC44_13</vt:lpwstr>
  </property>
  <property fmtid="{D5CDD505-2E9C-101B-9397-08002B2CF9AE}" pid="5" name="KSOTemplateDocerSaveRecord">
    <vt:lpwstr>eyJoZGlkIjoiZTczYWQ5YWNiYTZlOTJlYTUyZjk0N2NlNGY1ZTBlYzEiLCJ1c2VySWQiOiI3NDQ5MjQ3MzUifQ==</vt:lpwstr>
  </property>
</Properties>
</file>