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keepLines/>
      </w:pPr>
      <w:r>
        <w:rPr>
          <w:rFonts w:ascii="Calibri" w:hAnsi="Calibri" w:eastAsia="Noto Sans SC" w:cs="Calibri"/>
          <w:b/>
          <w:i w:val="0"/>
          <w:color w:val="2E74B5"/>
          <w:sz w:val="22"/>
        </w:rPr>
        <w:t>产品需求文档</w:t>
      </w:r>
    </w:p>
    <w:p>
      <w:pPr>
        <w:spacing w:after="80" w:before="200"/>
        <w:keepLines/>
      </w:pPr>
      <w:r>
        <w:rPr>
          <w:rFonts w:ascii="Calibri" w:hAnsi="Calibri" w:eastAsia="Noto Sans SC" w:cs="Calibri"/>
          <w:b/>
          <w:i w:val="0"/>
          <w:color w:val="0B2545"/>
          <w:sz w:val="48"/>
        </w:rPr>
        <w:t>OpsAI-IT 故障问答知识库</w:t>
      </w:r>
    </w:p>
    <w:p>
      <w:pPr>
        <w:spacing w:after="360"/>
        <w:keepLines/>
      </w:pPr>
      <w:r>
        <w:rPr>
          <w:rFonts w:ascii="Calibri" w:hAnsi="Calibri" w:eastAsia="Noto Sans SC" w:cs="Calibri"/>
          <w:b/>
          <w:i w:val="0"/>
          <w:color w:val="1F4D78"/>
          <w:sz w:val="32"/>
        </w:rPr>
        <w:t>PRD V1.1 —— 钉钉集成版</w:t>
      </w:r>
    </w:p>
    <w:p>
      <w:pPr>
        <w:spacing w:before="0" w:after="40"/>
      </w:pPr>
      <w:r>
        <w:rPr>
          <w:rFonts w:ascii="Calibri" w:hAnsi="Calibri" w:eastAsia="Noto Sans SC" w:cs="Calibri"/>
          <w:b/>
          <w:color w:val="0B2545"/>
          <w:sz w:val="21"/>
        </w:rPr>
        <w:t>文档版本：</w:t>
      </w:r>
      <w:r>
        <w:rPr>
          <w:rFonts w:ascii="Calibri" w:hAnsi="Calibri" w:eastAsia="Noto Sans SC" w:cs="Calibri"/>
          <w:sz w:val="21"/>
        </w:rPr>
        <w:t>V1.1</w:t>
      </w:r>
    </w:p>
    <w:p>
      <w:pPr>
        <w:spacing w:before="0" w:after="40"/>
      </w:pPr>
      <w:r>
        <w:rPr>
          <w:rFonts w:ascii="Calibri" w:hAnsi="Calibri" w:eastAsia="Noto Sans SC" w:cs="Calibri"/>
          <w:b/>
          <w:color w:val="0B2545"/>
          <w:sz w:val="21"/>
        </w:rPr>
        <w:t>文档状态：</w:t>
      </w:r>
      <w:r>
        <w:rPr>
          <w:rFonts w:ascii="Calibri" w:hAnsi="Calibri" w:eastAsia="Noto Sans SC" w:cs="Calibri"/>
          <w:sz w:val="21"/>
        </w:rPr>
        <w:t>需求评审稿</w:t>
      </w:r>
    </w:p>
    <w:p>
      <w:pPr>
        <w:spacing w:before="0" w:after="40"/>
      </w:pPr>
      <w:r>
        <w:rPr>
          <w:rFonts w:ascii="Calibri" w:hAnsi="Calibri" w:eastAsia="Noto Sans SC" w:cs="Calibri"/>
          <w:b/>
          <w:color w:val="0B2545"/>
          <w:sz w:val="21"/>
        </w:rPr>
        <w:t>产品阶段：</w:t>
      </w:r>
      <w:r>
        <w:rPr>
          <w:rFonts w:ascii="Calibri" w:hAnsi="Calibri" w:eastAsia="Noto Sans SC" w:cs="Calibri"/>
          <w:sz w:val="21"/>
        </w:rPr>
        <w:t>第一期：知识库核心能力</w:t>
      </w:r>
    </w:p>
    <w:p>
      <w:pPr>
        <w:spacing w:before="0" w:after="40"/>
      </w:pPr>
      <w:r>
        <w:rPr>
          <w:rFonts w:ascii="Calibri" w:hAnsi="Calibri" w:eastAsia="Noto Sans SC" w:cs="Calibri"/>
          <w:b/>
          <w:color w:val="0B2545"/>
          <w:sz w:val="21"/>
        </w:rPr>
        <w:t>运行载体：</w:t>
      </w:r>
      <w:r>
        <w:rPr>
          <w:rFonts w:ascii="Calibri" w:hAnsi="Calibri" w:eastAsia="Noto Sans SC" w:cs="Calibri"/>
          <w:sz w:val="21"/>
        </w:rPr>
        <w:t>响应式 Web + 钉钉企业内部 H5 微应用</w:t>
      </w:r>
    </w:p>
    <w:p>
      <w:pPr>
        <w:spacing w:before="0" w:after="40"/>
      </w:pPr>
      <w:r>
        <w:rPr>
          <w:rFonts w:ascii="Calibri" w:hAnsi="Calibri" w:eastAsia="Noto Sans SC" w:cs="Calibri"/>
          <w:b/>
          <w:color w:val="0B2545"/>
          <w:sz w:val="21"/>
        </w:rPr>
        <w:t>统一身份：</w:t>
      </w:r>
      <w:r>
        <w:rPr>
          <w:rFonts w:ascii="Calibri" w:hAnsi="Calibri" w:eastAsia="Noto Sans SC" w:cs="Calibri"/>
          <w:sz w:val="21"/>
        </w:rPr>
        <w:t>钉钉免登 + 知识库 RBAC</w:t>
      </w:r>
    </w:p>
    <w:p>
      <w:pPr>
        <w:spacing w:before="0" w:after="40"/>
      </w:pPr>
      <w:r>
        <w:rPr>
          <w:rFonts w:ascii="Calibri" w:hAnsi="Calibri" w:eastAsia="Noto Sans SC" w:cs="Calibri"/>
          <w:b/>
          <w:color w:val="0B2545"/>
          <w:sz w:val="21"/>
        </w:rPr>
        <w:t>编制日期：</w:t>
      </w:r>
      <w:r>
        <w:rPr>
          <w:rFonts w:ascii="Calibri" w:hAnsi="Calibri" w:eastAsia="Noto Sans SC" w:cs="Calibri"/>
          <w:sz w:val="21"/>
        </w:rPr>
        <w:t>2026-07-30</w:t>
      </w:r>
    </w:p>
    <w:p>
      <w:pPr>
        <w:spacing w:before="0" w:after="40"/>
      </w:pPr>
      <w:r>
        <w:rPr>
          <w:rFonts w:ascii="Calibri" w:hAnsi="Calibri" w:eastAsia="Noto Sans SC" w:cs="Calibri"/>
          <w:b/>
          <w:color w:val="0B2545"/>
          <w:sz w:val="21"/>
        </w:rPr>
        <w:t>适用范围：</w:t>
      </w:r>
      <w:r>
        <w:rPr>
          <w:rFonts w:ascii="Calibri" w:hAnsi="Calibri" w:eastAsia="Noto Sans SC" w:cs="Calibri"/>
          <w:sz w:val="21"/>
        </w:rPr>
        <w:t>公司内部 IT 运维知识服务</w:t>
      </w:r>
    </w:p>
    <w:p>
      <w:pPr>
        <w:spacing w:before="200" w:after="240"/>
        <w:pBdr>
          <w:bottom w:val="single" w:sz="10" w:space="3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</w:pPr>
            <w:r>
              <w:rPr>
                <w:rFonts w:ascii="Calibri" w:hAnsi="Calibri" w:eastAsia="Noto Sans SC" w:cs="Calibri"/>
                <w:b/>
                <w:color w:val="1F4D78"/>
                <w:sz w:val="20"/>
              </w:rPr>
              <w:t xml:space="preserve">V1.1 核心决策  </w:t>
            </w:r>
            <w:r>
              <w:rPr>
                <w:rFonts w:ascii="Calibri" w:hAnsi="Calibri" w:eastAsia="Noto Sans SC" w:cs="Calibri"/>
                <w:color w:val="0B2545"/>
                <w:sz w:val="20"/>
              </w:rPr>
              <w:t>钉钉集成从“未来扩展”提升为第一期基础底座。员工从钉钉工作台进入并免密登录；知识库仍由公司独立部署和管理；V1.1 只打通知识查找与现有 IT 服务入口，不建设完整 ITSM 工单生命周期。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修订说明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7060"/>
        <w:gridCol w:w="120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主要变化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V1.0</w:t>
            </w:r>
          </w:p>
        </w:tc>
        <w:tc>
          <w:tcPr>
            <w:tcW w:type="dxa" w:w="7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以 IT 运维知识库为核心，定义知识创建、审核、发布、搜索与反馈能力。</w:t>
            </w:r>
          </w:p>
        </w:tc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基础版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V1.1</w:t>
            </w:r>
          </w:p>
        </w:tc>
        <w:tc>
          <w:tcPr>
            <w:tcW w:type="dxa" w:w="7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新增钉钉 H5 入口、免登、用户映射、双层权限、工作通知、移动端适配与 IT 服务跳转；统一知识分类模型与状态模型。</w:t>
            </w:r>
          </w:p>
        </w:tc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本次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SC" w:cs="Calibri"/>
          <w:b/>
          <w:color w:val="2E74B5"/>
        </w:rPr>
        <w:t>目录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1. 文档概述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2. 项目背景与产品定位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3. 产品目标、成功指标与版本范围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4. 用户、角色与核心场景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5. 信息架构与知识体系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6. 功能需求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7. 页面与交互需求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8. 数据模型与字段要求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9. 业务规则与状态模型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10. 钉钉集成与技术架构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11. 非功能需求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12. 数据指标与运营分析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13. 验收标准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14. 上线与运营方案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15. 风险、依赖与待确认项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附录 A：需求优先级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附录 B：术语表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附录 C：钉钉官方参考资料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TableText"/>
            </w:pPr>
            <w:r>
              <w:rPr>
                <w:rFonts w:ascii="Calibri" w:hAnsi="Calibri" w:eastAsia="Noto Sans SC" w:cs="Calibri"/>
                <w:b/>
                <w:color w:val="1F4D78"/>
                <w:sz w:val="20"/>
              </w:rPr>
              <w:t xml:space="preserve">阅读建议  </w:t>
            </w:r>
            <w:r>
              <w:rPr>
                <w:rFonts w:ascii="Calibri" w:hAnsi="Calibri" w:eastAsia="Noto Sans SC" w:cs="Calibri"/>
                <w:color w:val="0B2545"/>
                <w:sz w:val="20"/>
              </w:rPr>
              <w:t>产品与业务人员重点阅读第 2—7、9、13 章；开发与架构人员重点阅读第 6、8、10、11 章；项目负责人重点关注第 3、13—15 章。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SC" w:cs="Calibri"/>
          <w:b/>
          <w:color w:val="2E74B5"/>
        </w:rPr>
        <w:t>1. 文档概述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1.1 编写目的</w:t>
      </w:r>
    </w:p>
    <w:p>
      <w:pPr>
        <w:spacing w:after="160"/>
        <w:keepLines/>
      </w:pPr>
      <w:r>
        <w:rPr>
          <w:rFonts w:ascii="Calibri" w:hAnsi="Calibri" w:eastAsia="Noto Sans SC" w:cs="Calibri"/>
          <w:color w:val="0B2545"/>
          <w:sz w:val="22"/>
        </w:rPr>
        <w:t>本文档用于明确 OpsAI-IT 故障问答知识库 V1.1 的产品目标、功能边界、钉钉集成方式、数据与权限规则、非功能要求和验收标准，作为产品设计、技术设计、开发、测试、上线及后续迭代的共同依据。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1.2 产品定义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</w:pPr>
            <w:r>
              <w:rPr>
                <w:rFonts w:ascii="Calibri" w:hAnsi="Calibri" w:eastAsia="Noto Sans SC" w:cs="Calibri"/>
                <w:b/>
                <w:color w:val="1F4D78"/>
                <w:sz w:val="20"/>
              </w:rPr>
              <w:t xml:space="preserve">一句话定义  </w:t>
            </w:r>
            <w:r>
              <w:rPr>
                <w:rFonts w:ascii="Calibri" w:hAnsi="Calibri" w:eastAsia="Noto Sans SC" w:cs="Calibri"/>
                <w:color w:val="0B2545"/>
                <w:sz w:val="20"/>
              </w:rPr>
              <w:t>面向公司内部员工的 IT 运维知识库：员工在钉钉内直接进入，通过搜索和分类快速解决常见 IT 问题；若知识无法解决，则无缝跳转至现有钉钉 IT 服务表单。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Calibri" w:hAnsi="Calibri" w:eastAsia="Noto Sans SC" w:cs="Calibri"/>
          <w:b w:val="0"/>
          <w:i w:val="0"/>
        </w:rPr>
        <w:t>平台是独立部署的响应式 Web 系统。钉钉负责统一入口、员工身份、应用可见范围和消息触达；知识内容、搜索、权限、审核、统计与后续扩展能力由知识库平台自身负责。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1.3 适用对象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产品负责人、IT 运维负责人和知识库运营人员。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前端、后端、测试、运维、安全和钉钉应用管理员。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参与知识编写、审核、发布和使用的内部员工。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1.4 约束与假设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组织约束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平台仅面向公司内部员工；钉钉组织身份是默认身份来源。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建设约束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第一期以知识库为核心，不同步建设完整 ITSM、资产管理或权限治理平台。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部署假设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公司可提供 HTTPS 域名、服务器或云资源、数据库、备份与网络访问条件。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集成假设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公司拥有钉钉企业内部应用的创建、配置、权限申请和发布权限。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内容假设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IT 团队可持续提供、审核和维护首批高频知识内容。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rPr>
          <w:rFonts w:ascii="Calibri" w:hAnsi="Calibri" w:eastAsia="Noto Sans SC" w:cs="Calibri"/>
          <w:b/>
          <w:color w:val="2E74B5"/>
        </w:rPr>
        <w:t>2. 项目背景与产品定位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2.1 现状与痛点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常见故障被重复咨询，IT 人员大量时间消耗在相同问题的重复解答上。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知识分散在个人经验、聊天记录、临时文档和不同工具中，员工难以找到可信答案。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故障处理步骤缺少统一模板、版本和审核，存在内容过期、操作风险和口径不一致。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独立网站若要求员工记住网址和账号，会增加使用门槛；手机端阅读和现场操作也不方便。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知识未解决时，员工需要再次寻找 OA 或服务表单，问题描述重复填写，服务链路割裂。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IT 内部 SOP、运维案例与普通员工知识未区分可见范围，存在信息暴露风险。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2.2 产品机会</w:t>
      </w:r>
    </w:p>
    <w:p>
      <w:pPr>
        <w:keepLines/>
      </w:pPr>
      <w:r>
        <w:rPr>
          <w:rFonts w:ascii="Calibri" w:hAnsi="Calibri" w:eastAsia="Noto Sans SC" w:cs="Calibri"/>
          <w:b w:val="0"/>
          <w:i w:val="0"/>
        </w:rPr>
        <w:t>钉钉已经是员工日常办公入口。将知识库注册为企业内部 H5 微应用，可把“找入口、登录、确认身份”三步压缩为一次点击；同时保留独立 Web 系统的自主数据管理、搜索优化与模块扩展能力。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2.3 产品定位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维度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定位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目标用户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公司内部员工；知识编辑、审核与管理人员。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核心价值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让员工先自助解决高频 IT 问题，让 IT 经验沉淀为可复用、可审核、可追踪的知识。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主要入口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钉钉工作台中的企业内部 H5 微应用；PC 与移动端均可使用。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身份方式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钉钉端内免登为主，后台基于钉钉身份完成用户映射与会话创建。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服务闭环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知识无法解决时跳转到现有钉钉 IT 服务表单或 OA 审批。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扩展方向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AI 问答、完整 ITSM、资产、账号权限、软件资源等后续模块。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2.4 产品原则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原则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用户视角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采用“我的电脑坏了、我要安装软件、我连不上网络”等用户语言，减少内部专业术语。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搜索优先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首页第一视觉焦点是搜索；分类导航用于补充探索。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统一入口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默认从钉钉进入，不要求员工记忆新网址或重复登录。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知识可信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所有正式知识必须有负责人、审核状态、适用范围、更新时间和版本记录。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移动可用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关键步骤在手机端可阅读、可放大、可逐步执行。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闭环可扩展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V1.1 只做服务跳转，但预留工单、AI、资产等模块扩展接口。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最小权限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钉钉可见范围与平台 RBAC 同时生效，敏感知识不得仅依赖入口隐藏。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rPr>
          <w:rFonts w:ascii="Calibri" w:hAnsi="Calibri" w:eastAsia="Noto Sans SC" w:cs="Calibri"/>
          <w:b/>
          <w:color w:val="2E74B5"/>
        </w:rPr>
        <w:t>3. 产品目标、成功指标与版本范围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3.1 V1.1 产品目标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1. </w:t>
      </w:r>
      <w:r>
        <w:rPr>
          <w:rFonts w:ascii="Calibri" w:hAnsi="Calibri" w:eastAsia="Noto Sans SC" w:cs="Calibri"/>
          <w:sz w:val="22"/>
        </w:rPr>
        <w:t>员工可从钉钉工作台一键进入知识库，正常情况下不再输入独立账号密码。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2. </w:t>
      </w:r>
      <w:r>
        <w:rPr>
          <w:rFonts w:ascii="Calibri" w:hAnsi="Calibri" w:eastAsia="Noto Sans SC" w:cs="Calibri"/>
          <w:sz w:val="22"/>
        </w:rPr>
        <w:t>员工可通过关键词、分类和标签快速找到经过审核的 IT 故障答案与操作指南。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3. </w:t>
      </w:r>
      <w:r>
        <w:rPr>
          <w:rFonts w:ascii="Calibri" w:hAnsi="Calibri" w:eastAsia="Noto Sans SC" w:cs="Calibri"/>
          <w:sz w:val="22"/>
        </w:rPr>
        <w:t>知识编辑、审核、发布、复审、下架和版本追溯形成完整内容生命周期。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4. </w:t>
      </w:r>
      <w:r>
        <w:rPr>
          <w:rFonts w:ascii="Calibri" w:hAnsi="Calibri" w:eastAsia="Noto Sans SC" w:cs="Calibri"/>
          <w:sz w:val="22"/>
        </w:rPr>
        <w:t>员工在 PC 和手机端均可完成搜索、阅读、反馈和服务跳转。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5. </w:t>
      </w:r>
      <w:r>
        <w:rPr>
          <w:rFonts w:ascii="Calibri" w:hAnsi="Calibri" w:eastAsia="Noto Sans SC" w:cs="Calibri"/>
          <w:sz w:val="22"/>
        </w:rPr>
        <w:t>知识无法解决时，可从当前上下文跳转到现有钉钉 IT 服务表单，形成“先知识、后服务”的闭环。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6. </w:t>
      </w:r>
      <w:r>
        <w:rPr>
          <w:rFonts w:ascii="Calibri" w:hAnsi="Calibri" w:eastAsia="Noto Sans SC" w:cs="Calibri"/>
          <w:sz w:val="22"/>
        </w:rPr>
        <w:t>系统具备清晰的数据、权限和接口边界，为后续 AI 问答与 ITSM 集成预留扩展能力。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3.2 建议成功指标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20"/>
        <w:gridCol w:w="2640"/>
        <w:gridCol w:w="160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V1.1 建议目标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统计周期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钉钉免登成功率</w:t>
            </w:r>
          </w:p>
        </w:tc>
        <w:tc>
          <w:tcPr>
            <w:tcW w:type="dxa" w:w="342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成功创建平台会话的次数 / 免登发起次数</w:t>
            </w:r>
          </w:p>
        </w:tc>
        <w:tc>
          <w:tcPr>
            <w:tcW w:type="dxa" w:w="264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≥ 99%</w:t>
            </w:r>
          </w:p>
        </w:tc>
        <w:tc>
          <w:tcPr>
            <w:tcW w:type="dxa" w:w="1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日 / 周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搜索成功率</w:t>
            </w:r>
          </w:p>
        </w:tc>
        <w:tc>
          <w:tcPr>
            <w:tcW w:type="dxa" w:w="342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搜索后查看文章或产生正向反馈的会话 / 搜索会话</w:t>
            </w:r>
          </w:p>
        </w:tc>
        <w:tc>
          <w:tcPr>
            <w:tcW w:type="dxa" w:w="264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≥ 70%</w:t>
            </w:r>
          </w:p>
        </w:tc>
        <w:tc>
          <w:tcPr>
            <w:tcW w:type="dxa" w:w="1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周 / 月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自助解决率</w:t>
            </w:r>
          </w:p>
        </w:tc>
        <w:tc>
          <w:tcPr>
            <w:tcW w:type="dxa" w:w="342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反馈“已解决”的知识会话 / 有反馈的知识会话</w:t>
            </w:r>
          </w:p>
        </w:tc>
        <w:tc>
          <w:tcPr>
            <w:tcW w:type="dxa" w:w="264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≥ 50%（上线后逐步提升）</w:t>
            </w:r>
          </w:p>
        </w:tc>
        <w:tc>
          <w:tcPr>
            <w:tcW w:type="dxa" w:w="1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月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零结果率</w:t>
            </w:r>
          </w:p>
        </w:tc>
        <w:tc>
          <w:tcPr>
            <w:tcW w:type="dxa" w:w="342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无搜索结果次数 / 搜索次数</w:t>
            </w:r>
          </w:p>
        </w:tc>
        <w:tc>
          <w:tcPr>
            <w:tcW w:type="dxa" w:w="264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≤ 15%</w:t>
            </w:r>
          </w:p>
        </w:tc>
        <w:tc>
          <w:tcPr>
            <w:tcW w:type="dxa" w:w="1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周 / 月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知识有效率</w:t>
            </w:r>
          </w:p>
        </w:tc>
        <w:tc>
          <w:tcPr>
            <w:tcW w:type="dxa" w:w="342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处于已发布且未过期状态的知识 / 已发布知识</w:t>
            </w:r>
          </w:p>
        </w:tc>
        <w:tc>
          <w:tcPr>
            <w:tcW w:type="dxa" w:w="264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≥ 95%</w:t>
            </w:r>
          </w:p>
        </w:tc>
        <w:tc>
          <w:tcPr>
            <w:tcW w:type="dxa" w:w="1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月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移动端可用率</w:t>
            </w:r>
          </w:p>
        </w:tc>
        <w:tc>
          <w:tcPr>
            <w:tcW w:type="dxa" w:w="342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核心页面在钉钉移动端通过兼容性测试</w:t>
            </w:r>
          </w:p>
        </w:tc>
        <w:tc>
          <w:tcPr>
            <w:tcW w:type="dxa" w:w="264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100% P0 场景</w:t>
            </w:r>
          </w:p>
        </w:tc>
        <w:tc>
          <w:tcPr>
            <w:tcW w:type="dxa" w:w="1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版本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服务跳转完成率</w:t>
            </w:r>
          </w:p>
        </w:tc>
        <w:tc>
          <w:tcPr>
            <w:tcW w:type="dxa" w:w="342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成功打开 IT 服务入口次数 / 点击跳转次数</w:t>
            </w:r>
          </w:p>
        </w:tc>
        <w:tc>
          <w:tcPr>
            <w:tcW w:type="dxa" w:w="264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≥ 98%</w:t>
            </w:r>
          </w:p>
        </w:tc>
        <w:tc>
          <w:tcPr>
            <w:tcW w:type="dxa" w:w="1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周 / 月</w:t>
            </w:r>
          </w:p>
        </w:tc>
      </w:tr>
    </w:tbl>
    <w:p>
      <w:pPr>
        <w:spacing w:before="80" w:after="0"/>
      </w:pPr>
    </w:p>
    <w:p>
      <w:pPr>
        <w:keepLines/>
      </w:pPr>
      <w:r>
        <w:rPr>
          <w:rFonts w:ascii="Calibri" w:hAnsi="Calibri" w:eastAsia="Noto Sans SC" w:cs="Calibri"/>
          <w:b w:val="0"/>
          <w:i w:val="0"/>
          <w:color w:val="667085"/>
          <w:sz w:val="18"/>
        </w:rPr>
        <w:t>说明：自助解决率属于运营指标，受首批知识覆盖率影响。上线前应建立基线，上线后按月复盘并调整目标。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3.3 V1.1 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纳入 V1.1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不纳入 V1.1</w:t>
            </w:r>
          </w:p>
        </w:tc>
      </w:tr>
      <w:tr>
        <w:trPr>
          <w:cantSplit w:val="true"/>
        </w:trPr>
        <w:tc>
          <w:tcPr>
            <w:tcW w:type="dxa" w:w="46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知识搜索、联想、分类筛选与详情阅读</w:t>
            </w:r>
          </w:p>
        </w:tc>
        <w:tc>
          <w:tcPr>
            <w:tcW w:type="dxa" w:w="46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完整 AI 大模型问答与多轮对话</w:t>
            </w:r>
          </w:p>
        </w:tc>
      </w:tr>
      <w:tr>
        <w:trPr>
          <w:cantSplit w:val="true"/>
        </w:trPr>
        <w:tc>
          <w:tcPr>
            <w:tcW w:type="dxa" w:w="46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知识创建、编辑、审核、发布、版本与复审</w:t>
            </w:r>
          </w:p>
        </w:tc>
        <w:tc>
          <w:tcPr>
            <w:tcW w:type="dxa" w:w="46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完整 ITSM 工单生命周期与双向状态同步</w:t>
            </w:r>
          </w:p>
        </w:tc>
      </w:tr>
      <w:tr>
        <w:trPr>
          <w:cantSplit w:val="true"/>
        </w:trPr>
        <w:tc>
          <w:tcPr>
            <w:tcW w:type="dxa" w:w="46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钉钉企业内部 H5 微应用入口</w:t>
            </w:r>
          </w:p>
        </w:tc>
        <w:tc>
          <w:tcPr>
            <w:tcW w:type="dxa" w:w="46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资产全生命周期管理</w:t>
            </w:r>
          </w:p>
        </w:tc>
      </w:tr>
      <w:tr>
        <w:trPr>
          <w:cantSplit w:val="true"/>
        </w:trPr>
        <w:tc>
          <w:tcPr>
            <w:tcW w:type="dxa" w:w="46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钉钉端内免登、用户映射和会话管理</w:t>
            </w:r>
          </w:p>
        </w:tc>
        <w:tc>
          <w:tcPr>
            <w:tcW w:type="dxa" w:w="46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账号权限自动授权或权限矩阵治理</w:t>
            </w:r>
          </w:p>
        </w:tc>
      </w:tr>
      <w:tr>
        <w:trPr>
          <w:cantSplit w:val="true"/>
        </w:trPr>
        <w:tc>
          <w:tcPr>
            <w:tcW w:type="dxa" w:w="46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钉钉应用可见范围 + 平台 RBAC</w:t>
            </w:r>
          </w:p>
        </w:tc>
        <w:tc>
          <w:tcPr>
            <w:tcW w:type="dxa" w:w="46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软件安装包下载中心</w:t>
            </w:r>
          </w:p>
        </w:tc>
      </w:tr>
      <w:tr>
        <w:trPr>
          <w:cantSplit w:val="true"/>
        </w:trPr>
        <w:tc>
          <w:tcPr>
            <w:tcW w:type="dxa" w:w="46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PC / 手机响应式适配</w:t>
            </w:r>
          </w:p>
        </w:tc>
        <w:tc>
          <w:tcPr>
            <w:tcW w:type="dxa" w:w="46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复杂 BI、知识图谱与预测分析</w:t>
            </w:r>
          </w:p>
        </w:tc>
      </w:tr>
      <w:tr>
        <w:trPr>
          <w:cantSplit w:val="true"/>
        </w:trPr>
        <w:tc>
          <w:tcPr>
            <w:tcW w:type="dxa" w:w="46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审核、驳回、复审与重要公告通知</w:t>
            </w:r>
          </w:p>
        </w:tc>
        <w:tc>
          <w:tcPr>
            <w:tcW w:type="dxa" w:w="46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面向外部客户或供应商的开放门户</w:t>
            </w:r>
          </w:p>
        </w:tc>
      </w:tr>
      <w:tr>
        <w:trPr>
          <w:cantSplit w:val="true"/>
        </w:trPr>
        <w:tc>
          <w:tcPr>
            <w:tcW w:type="dxa" w:w="46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无答案时跳转现有 IT 服务表单</w:t>
            </w:r>
          </w:p>
        </w:tc>
        <w:tc>
          <w:tcPr>
            <w:tcW w:type="dxa" w:w="46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工单自动生成知识、知识反向推荐工单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3.4 分阶段路线图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500"/>
        <w:gridCol w:w="5460"/>
      </w:tblGrid>
      <w:tr>
        <w:trPr>
          <w:tblHeader w:val="true"/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定位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关键能力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V1.1</w:t>
            </w:r>
          </w:p>
        </w:tc>
        <w:tc>
          <w:tcPr>
            <w:tcW w:type="dxa" w:w="25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知识库 + 钉钉基础集成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H5 入口、免登、搜索、知识生命周期、权限、通知、服务跳转。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V1.5</w:t>
            </w:r>
          </w:p>
        </w:tc>
        <w:tc>
          <w:tcPr>
            <w:tcW w:type="dxa" w:w="25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知识运营增强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搜索优化、热门专题、订阅、内容质量评分、运营看板、批量导入。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V2.0</w:t>
            </w:r>
          </w:p>
        </w:tc>
        <w:tc>
          <w:tcPr>
            <w:tcW w:type="dxa" w:w="25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AI 知识问答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基于已审核知识的检索增强问答、引用来源、会话反馈和安全控制。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V3.0</w:t>
            </w:r>
          </w:p>
        </w:tc>
        <w:tc>
          <w:tcPr>
            <w:tcW w:type="dxa" w:w="25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ITSM 深度联动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工单创建、状态回写、知识推荐、工单转知识、资产与权限模块联动。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rPr>
          <w:rFonts w:ascii="Calibri" w:hAnsi="Calibri" w:eastAsia="Noto Sans SC" w:cs="Calibri"/>
          <w:b/>
          <w:color w:val="2E74B5"/>
        </w:rPr>
        <w:t>4. 用户、角色与核心场景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4.1 用户角色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000"/>
        <w:gridCol w:w="386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主要职责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典型权限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普通员工</w:t>
            </w:r>
          </w:p>
        </w:tc>
        <w:tc>
          <w:tcPr>
            <w:tcW w:type="dxa" w:w="40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搜索、阅读并反馈知识；必要时发起 IT 服务申请。</w:t>
            </w:r>
          </w:p>
        </w:tc>
        <w:tc>
          <w:tcPr>
            <w:tcW w:type="dxa" w:w="38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查看本人可见知识、收藏、反馈、服务跳转。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知识编辑员</w:t>
            </w:r>
          </w:p>
        </w:tc>
        <w:tc>
          <w:tcPr>
            <w:tcW w:type="dxa" w:w="40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创建、维护和提交知识。</w:t>
            </w:r>
          </w:p>
        </w:tc>
        <w:tc>
          <w:tcPr>
            <w:tcW w:type="dxa" w:w="38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草稿管理、编辑本人或授权空间内容、查看反馈。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知识审核员</w:t>
            </w:r>
          </w:p>
        </w:tc>
        <w:tc>
          <w:tcPr>
            <w:tcW w:type="dxa" w:w="40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校验准确性、安全性、适用范围和表达质量。</w:t>
            </w:r>
          </w:p>
        </w:tc>
        <w:tc>
          <w:tcPr>
            <w:tcW w:type="dxa" w:w="38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审核、驳回、批准发布、发起复审。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知识库管理员</w:t>
            </w:r>
          </w:p>
        </w:tc>
        <w:tc>
          <w:tcPr>
            <w:tcW w:type="dxa" w:w="40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维护分类、空间、标签、模板、角色和运营配置。</w:t>
            </w:r>
          </w:p>
        </w:tc>
        <w:tc>
          <w:tcPr>
            <w:tcW w:type="dxa" w:w="38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全局配置、授权、下架、归档、统计。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系统集成管理员</w:t>
            </w:r>
          </w:p>
        </w:tc>
        <w:tc>
          <w:tcPr>
            <w:tcW w:type="dxa" w:w="40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维护钉钉应用配置、凭证、回调和同步任务。</w:t>
            </w:r>
          </w:p>
        </w:tc>
        <w:tc>
          <w:tcPr>
            <w:tcW w:type="dxa" w:w="38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集成配置、日志查看、故障处理；默认不具备内容审批权。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4.2 权限设计原则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钉钉应用可使用范围决定“谁能看到和打开入口”；平台 RBAC 决定“进入后能看什么、做什么”。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用户必须同时满足钉钉组织身份有效、应用可见范围有效、平台账号状态有效三个条件。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知识可见范围支持：全员、指定部门、指定角色、仅 IT、仅管理员。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内容编辑权、审核权和发布权原则上分离；紧急公告可设置管理员特批流程，但必须保留审计记录。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系统集成配置与知识内容管理分权，避免持有钉钉凭证的人员自动获得所有内容权限。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4.3 核心用户场景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300"/>
        <w:gridCol w:w="596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编号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场景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UC-01</w:t>
            </w:r>
          </w:p>
        </w:tc>
        <w:tc>
          <w:tcPr>
            <w:tcW w:type="dxa" w:w="23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员工自助排障</w:t>
            </w:r>
          </w:p>
        </w:tc>
        <w:tc>
          <w:tcPr>
            <w:tcW w:type="dxa" w:w="5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员工从钉钉进入，搜索“打印机离线”，阅读步骤并反馈已解决。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UC-02</w:t>
            </w:r>
          </w:p>
        </w:tc>
        <w:tc>
          <w:tcPr>
            <w:tcW w:type="dxa" w:w="23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知识未解决</w:t>
            </w:r>
          </w:p>
        </w:tc>
        <w:tc>
          <w:tcPr>
            <w:tcW w:type="dxa" w:w="5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员工阅读后选择“未解决”，带着关键词、文章编号和问题分类跳转 IT 服务表单。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UC-03</w:t>
            </w:r>
          </w:p>
        </w:tc>
        <w:tc>
          <w:tcPr>
            <w:tcW w:type="dxa" w:w="23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新员工快速上手</w:t>
            </w:r>
          </w:p>
        </w:tc>
        <w:tc>
          <w:tcPr>
            <w:tcW w:type="dxa" w:w="5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员工通过“新员工指南”查看账号、网络、打印、常用软件等入职知识。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UC-04</w:t>
            </w:r>
          </w:p>
        </w:tc>
        <w:tc>
          <w:tcPr>
            <w:tcW w:type="dxa" w:w="23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编辑提交知识</w:t>
            </w:r>
          </w:p>
        </w:tc>
        <w:tc>
          <w:tcPr>
            <w:tcW w:type="dxa" w:w="5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IT 编辑员根据标准模板编写故障处理知识，提交审核。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UC-05</w:t>
            </w:r>
          </w:p>
        </w:tc>
        <w:tc>
          <w:tcPr>
            <w:tcW w:type="dxa" w:w="23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审核与通知</w:t>
            </w:r>
          </w:p>
        </w:tc>
        <w:tc>
          <w:tcPr>
            <w:tcW w:type="dxa" w:w="5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审核员收到钉钉提醒，审核通过后作者收到结果通知，知识上线。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UC-06</w:t>
            </w:r>
          </w:p>
        </w:tc>
        <w:tc>
          <w:tcPr>
            <w:tcW w:type="dxa" w:w="23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到期复审</w:t>
            </w:r>
          </w:p>
        </w:tc>
        <w:tc>
          <w:tcPr>
            <w:tcW w:type="dxa" w:w="5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系统在知识到期前提醒负责人，复审后延长有效期或下架。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UC-07</w:t>
            </w:r>
          </w:p>
        </w:tc>
        <w:tc>
          <w:tcPr>
            <w:tcW w:type="dxa" w:w="23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移动现场操作</w:t>
            </w:r>
          </w:p>
        </w:tc>
        <w:tc>
          <w:tcPr>
            <w:tcW w:type="dxa" w:w="5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员工在电脑不可用时，使用手机钉钉查看网络或终端故障处理步骤。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4.4 员工主流程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1. </w:t>
      </w:r>
      <w:r>
        <w:rPr>
          <w:rFonts w:ascii="Calibri" w:hAnsi="Calibri" w:eastAsia="Noto Sans SC" w:cs="Calibri"/>
          <w:sz w:val="22"/>
        </w:rPr>
        <w:t>打开钉钉工作台并进入“IT 知识库”。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2. </w:t>
      </w:r>
      <w:r>
        <w:rPr>
          <w:rFonts w:ascii="Calibri" w:hAnsi="Calibri" w:eastAsia="Noto Sans SC" w:cs="Calibri"/>
          <w:sz w:val="22"/>
        </w:rPr>
        <w:t>系统完成免登与权限判断，进入适配当前终端的首页。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3. </w:t>
      </w:r>
      <w:r>
        <w:rPr>
          <w:rFonts w:ascii="Calibri" w:hAnsi="Calibri" w:eastAsia="Noto Sans SC" w:cs="Calibri"/>
          <w:sz w:val="22"/>
        </w:rPr>
        <w:t>输入问题关键词，或按“账号 / 软件 / 网络 / 设备 / 企业系统 / 新员工指南”浏览。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4. </w:t>
      </w:r>
      <w:r>
        <w:rPr>
          <w:rFonts w:ascii="Calibri" w:hAnsi="Calibri" w:eastAsia="Noto Sans SC" w:cs="Calibri"/>
          <w:sz w:val="22"/>
        </w:rPr>
        <w:t>查看知识详情，按步骤执行并反馈“已解决 / 未解决”。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5. </w:t>
      </w:r>
      <w:r>
        <w:rPr>
          <w:rFonts w:ascii="Calibri" w:hAnsi="Calibri" w:eastAsia="Noto Sans SC" w:cs="Calibri"/>
          <w:sz w:val="22"/>
        </w:rPr>
        <w:t>若未解决，点击“提交 IT 服务申请”，跳转至现有钉钉表单。</w:t>
      </w:r>
    </w:p>
    <w:p>
      <w:pPr>
        <w:pStyle w:val="Heading1"/>
      </w:pPr>
      <w:r>
        <w:rPr>
          <w:rFonts w:ascii="Calibri" w:hAnsi="Calibri" w:eastAsia="Noto Sans SC" w:cs="Calibri"/>
          <w:b/>
          <w:color w:val="2E74B5"/>
        </w:rPr>
        <w:t>5. 信息架构与知识体系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5.1 三维知识模型</w:t>
      </w:r>
    </w:p>
    <w:p>
      <w:pPr>
        <w:keepLines/>
      </w:pPr>
      <w:r>
        <w:rPr>
          <w:rFonts w:ascii="Calibri" w:hAnsi="Calibri" w:eastAsia="Noto Sans SC" w:cs="Calibri"/>
          <w:b w:val="0"/>
          <w:i w:val="0"/>
        </w:rPr>
        <w:t>V1.1 将原先混在一起的“业务分类、文章类型、可见范围”拆分管理，避免把“运维案例库、SOP”与“网络、软件、账号”等业务主题并列。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600"/>
        <w:gridCol w:w="4160"/>
      </w:tblGrid>
      <w:tr>
        <w:trPr>
          <w:tblHeader w:val="true"/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维度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作用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示例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知识空间</w:t>
            </w:r>
          </w:p>
        </w:tc>
        <w:tc>
          <w:tcPr>
            <w:tcW w:type="dxa" w:w="36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决定内容所属人群与管理边界</w:t>
            </w:r>
          </w:p>
        </w:tc>
        <w:tc>
          <w:tcPr>
            <w:tcW w:type="dxa" w:w="4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员工知识空间、IT 内部知识空间、管理员空间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业务分类</w:t>
            </w:r>
          </w:p>
        </w:tc>
        <w:tc>
          <w:tcPr>
            <w:tcW w:type="dxa" w:w="36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决定问题属于哪个 IT 主题</w:t>
            </w:r>
          </w:p>
        </w:tc>
        <w:tc>
          <w:tcPr>
            <w:tcW w:type="dxa" w:w="4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账号与权限、软件、网络、终端设备、企业系统、新员工指南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文章类型</w:t>
            </w:r>
          </w:p>
        </w:tc>
        <w:tc>
          <w:tcPr>
            <w:tcW w:type="dxa" w:w="36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决定内容表达模板与用途</w:t>
            </w:r>
          </w:p>
        </w:tc>
        <w:tc>
          <w:tcPr>
            <w:tcW w:type="dxa" w:w="4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故障处理、操作指南、SOP、运维案例、通知公告、FAQ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标签</w:t>
            </w:r>
          </w:p>
        </w:tc>
        <w:tc>
          <w:tcPr>
            <w:tcW w:type="dxa" w:w="36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补充搜索与多维筛选</w:t>
            </w:r>
          </w:p>
        </w:tc>
        <w:tc>
          <w:tcPr>
            <w:tcW w:type="dxa" w:w="4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Windows 10、VPN、打印机、钉钉、紧急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可见范围</w:t>
            </w:r>
          </w:p>
        </w:tc>
        <w:tc>
          <w:tcPr>
            <w:tcW w:type="dxa" w:w="3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决定哪些人可阅读</w:t>
            </w:r>
          </w:p>
        </w:tc>
        <w:tc>
          <w:tcPr>
            <w:tcW w:type="dxa" w:w="4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全员、指定部门、指定角色、仅 IT、仅管理员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5.2 建议业务分类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200"/>
        <w:gridCol w:w="6160"/>
      </w:tblGrid>
      <w:tr>
        <w:trPr>
          <w:tblHeader w:val="true"/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编码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一级分类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内容范围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01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账号与权限</w:t>
            </w:r>
          </w:p>
        </w:tc>
        <w:tc>
          <w:tcPr>
            <w:tcW w:type="dxa" w:w="6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账号申请、密码重置、登录异常、权限使用说明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02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软件与安装</w:t>
            </w:r>
          </w:p>
        </w:tc>
        <w:tc>
          <w:tcPr>
            <w:tcW w:type="dxa" w:w="6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常用软件、自助安装、许可、升级与卸载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03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网络与连接</w:t>
            </w:r>
          </w:p>
        </w:tc>
        <w:tc>
          <w:tcPr>
            <w:tcW w:type="dxa" w:w="6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有线、无线、VPN、内外网、远程访问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04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电脑与外设</w:t>
            </w:r>
          </w:p>
        </w:tc>
        <w:tc>
          <w:tcPr>
            <w:tcW w:type="dxa" w:w="6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电脑、显示器、打印机、键鼠、会议设备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05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企业系统</w:t>
            </w:r>
          </w:p>
        </w:tc>
        <w:tc>
          <w:tcPr>
            <w:tcW w:type="dxa" w:w="6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ERP、OA、钉钉及其他内部业务系统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06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信息安全</w:t>
            </w:r>
          </w:p>
        </w:tc>
        <w:tc>
          <w:tcPr>
            <w:tcW w:type="dxa" w:w="6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加密、水印、文件外发、设备带出、安全规范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07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新员工指南</w:t>
            </w:r>
          </w:p>
        </w:tc>
        <w:tc>
          <w:tcPr>
            <w:tcW w:type="dxa" w:w="6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入职账号、设备、网络、软件和 IT 服务入口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5.3 知识编号规则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</w:pPr>
            <w:r>
              <w:rPr>
                <w:rFonts w:ascii="Calibri" w:hAnsi="Calibri" w:eastAsia="Noto Sans SC" w:cs="Calibri"/>
                <w:b/>
                <w:color w:val="1F4D78"/>
                <w:sz w:val="20"/>
              </w:rPr>
              <w:t xml:space="preserve">编号规范  </w:t>
            </w:r>
            <w:r>
              <w:rPr>
                <w:rFonts w:ascii="Calibri" w:hAnsi="Calibri" w:eastAsia="Noto Sans SC" w:cs="Calibri"/>
                <w:color w:val="0B2545"/>
                <w:sz w:val="20"/>
              </w:rPr>
              <w:t>采用不可变全局编号 KB-000001。编号不包含分类编码，避免知识调整分类后编号变化。分类、空间和文章类型均作为独立字段管理。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5.4 标准文章模板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写作要求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标题</w:t>
            </w:r>
          </w:p>
        </w:tc>
        <w:tc>
          <w:tcPr>
            <w:tcW w:type="dxa" w:w="7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使用员工语言描述问题或任务，例如“Windows 无法连接公司 Wi-Fi 怎么办”。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适用范围</w:t>
            </w:r>
          </w:p>
        </w:tc>
        <w:tc>
          <w:tcPr>
            <w:tcW w:type="dxa" w:w="7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适用系统、版本、设备、部门或网络环境。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问题现象 / 目标</w:t>
            </w:r>
          </w:p>
        </w:tc>
        <w:tc>
          <w:tcPr>
            <w:tcW w:type="dxa" w:w="7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用户能直接判断是否与自己情况一致。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准备事项</w:t>
            </w:r>
          </w:p>
        </w:tc>
        <w:tc>
          <w:tcPr>
            <w:tcW w:type="dxa" w:w="7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权限、数据备份、所需工具及风险提醒。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解决步骤</w:t>
            </w:r>
          </w:p>
        </w:tc>
        <w:tc>
          <w:tcPr>
            <w:tcW w:type="dxa" w:w="7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一项操作一个步骤；必要时配截图、序号和结果校验。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验证方法</w:t>
            </w:r>
          </w:p>
        </w:tc>
        <w:tc>
          <w:tcPr>
            <w:tcW w:type="dxa" w:w="7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说明如何确认问题已经解决。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仍未解决</w:t>
            </w:r>
          </w:p>
        </w:tc>
        <w:tc>
          <w:tcPr>
            <w:tcW w:type="dxa" w:w="7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给出服务申请入口、需准备的信息和相关知识。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负责人及有效期</w:t>
            </w:r>
          </w:p>
        </w:tc>
        <w:tc>
          <w:tcPr>
            <w:tcW w:type="dxa" w:w="7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知识负责人、审核人、发布时间、下次复审时间。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rPr>
          <w:rFonts w:ascii="Calibri" w:hAnsi="Calibri" w:eastAsia="Noto Sans SC" w:cs="Calibri"/>
          <w:b/>
          <w:color w:val="2E74B5"/>
        </w:rPr>
        <w:t>6. 功能需求</w:t>
      </w:r>
    </w:p>
    <w:p>
      <w:pPr>
        <w:spacing w:after="160"/>
        <w:keepLines/>
      </w:pPr>
      <w:r>
        <w:rPr>
          <w:rFonts w:ascii="Calibri" w:hAnsi="Calibri" w:eastAsia="Noto Sans SC" w:cs="Calibri"/>
          <w:color w:val="0B2545"/>
          <w:sz w:val="22"/>
        </w:rPr>
        <w:t>本章使用 FR 编号管理功能需求。P0 为上线必需；P1 为同版本建议完成；P2 可在资源不足时顺延。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6.1 钉钉入口与身份认证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900"/>
        <w:gridCol w:w="1900"/>
        <w:gridCol w:w="546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需求描述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DT-001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H5 微应用入口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在钉钉开发者后台创建企业内部 H5 微应用，员工可从工作台进入。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DT-002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PC / 移动端地址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分别配置移动端与 PC 端首页地址；两端均进入同一业务系统并按终端自适应。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DT-003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端内免登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客户端获取免登授权码，后端换取可信员工身份并创建平台会话；不得仅信任前端传入的姓名或用户 ID。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DT-004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用户映射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按 corpId + dingUserId / unionId 映射平台用户，记录姓名、工号、部门、状态及最近同步时间。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DT-005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双层准入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同时校验钉钉应用可使用范围、组织身份状态与平台账号状态。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DT-006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免登失败处理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展示可理解的错误原因、重试入口和 IT 联系方式，并记录错误码、请求链路和时间。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DT-007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外部浏览器访问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不在钉钉内打开时，提示“请在钉钉工作台打开”；管理员可按安全策略启用备用登录。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DT-008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用户同步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支持定时或按需同步员工基本信息与部门；离职、禁用或移出范围后停止访问。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DT-009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会话安全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会话具备超时、续期、退出、撤销和异常设备控制策略。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6.2 首页与导航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900"/>
        <w:gridCol w:w="1900"/>
        <w:gridCol w:w="546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需求描述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KB-001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搜索入口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首页首屏展示明显的搜索框，提示用户用自然语言描述问题。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KB-002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业务分类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展示高频业务分类，并允许管理员维护顺序、图标和可见范围。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KB-003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热门知识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按访问量、正向反馈和时间衰减展示热门内容。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KB-004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常用入口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展示新员工指南、密码重置、VPN、打印等高频专题。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KB-005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公告与提醒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展示重要 IT 公告、服务中断和安全提醒。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KB-006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我的内容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普通员工可查看收藏与最近浏览；编辑员可查看待办和草稿。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6.3 搜索与结果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900"/>
        <w:gridCol w:w="1900"/>
        <w:gridCol w:w="546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需求描述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SR-001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全文搜索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搜索标题、摘要、正文、标签、分类、适用系统和同义词。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SR-002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关键词高亮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在标题和摘要中高亮匹配词，帮助用户判断结果。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SR-003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排序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综合相关性、发布时间、点击量、正向反馈与内容有效性排序。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SR-004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筛选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支持按业务分类、文章类型、适用系统和更新时间筛选。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SR-005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零结果处理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无结果时展示推荐关键词、热门分类和“提交 IT 服务申请”入口。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SR-006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搜索联想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输入时返回标题、标签与常见问题联想。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SR-007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同义词管理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管理员维护如“蓝屏 / BSOD”“无线 / Wi-Fi”等同义词。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SR-008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搜索日志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记录关键词、筛选、结果数、点击文章和终端类型，不记录非必要敏感内容。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6.4 知识详情与反馈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900"/>
        <w:gridCol w:w="1900"/>
        <w:gridCol w:w="546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需求描述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AR-001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结构化详情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展示标题、编号、摘要、适用范围、步骤、截图、风险提示、验证方法和更新时间。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AR-002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图片阅读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图片支持点击放大、查看说明；移动端不出现横向溢出。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AR-003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有效性提示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过期、已下架或不可见知识不得作为正常结果展示；历史链接打开时给出明确提示。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AR-004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有用性反馈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支持“已解决 / 未解决”或“有帮助 / 没帮助”，可选填写原因。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AR-005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服务跳转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未解决时显示提交 IT 服务申请入口，并记录来源文章和搜索词。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AR-006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相关知识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按分类、标签和关联关系推荐 3—5 篇相关知识。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AR-007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收藏与分享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允许收藏；支持复制钉钉内可访问的文章直达链接。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6.5 知识创建、审核与版本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900"/>
        <w:gridCol w:w="1900"/>
        <w:gridCol w:w="546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需求描述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CM-001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模板创建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编辑员按文章类型选择模板，系统校验必填字段。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CM-002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草稿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支持自动保存、手动保存、预览和继续编辑。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CM-003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提交审核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提交时冻结待审版本，并通知审核员。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CM-004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审核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审核员可通过、驳回并填写意见；驳回后返回编辑。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CM-005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发布与下架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审核通过后发布；管理员可紧急下架并填写原因。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CM-006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版本记录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记录版本号、修改人、修改时间、修改说明和审核结论，可查看历史版本。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CM-007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有效期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知识必须设置负责人和复审日期；到期前提醒，到期后按规则标记。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CM-008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差异查看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审核时显示本次版本与当前发布版本的文本差异。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CM-009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批量维护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管理员可批量调整负责人、分类、标签、复审时间和可见范围。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6.6 权限与可见范围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900"/>
        <w:gridCol w:w="1900"/>
        <w:gridCol w:w="546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需求描述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PM-001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角色授权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用户可被授予一个或多个平台角色，权限取并集，显式禁用优先。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PM-002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内容可见范围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知识支持全员、指定部门、指定角色、仅 IT、仅管理员。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PM-003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服务端校验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搜索结果、详情、附件下载和接口均必须在服务端执行权限校验。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PM-004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附件保护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附件沿用文章可见范围，不允许通过静态直链绕过权限。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PM-005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授权审计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记录角色授予、撤销、范围变更和管理员操作。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6.7 钉钉消息通知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900"/>
        <w:gridCol w:w="1900"/>
        <w:gridCol w:w="546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需求描述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NT-001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待审核提醒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知识提交审核后向审核员发送钉钉工作通知，点击直达审核页面。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NT-002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审核结果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通过或驳回后通知作者，并展示知识标题、结果和审核意见。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NT-003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到期复审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在复审日前按配置提醒负责人；逾期后升级提醒管理员。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NT-004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重要公告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管理员可向目标范围发送重要 IT 公告，避免无差别群发。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NT-005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通知幂等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同一业务事件不得重复发送；失败可重试并记录状态。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NT-006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退订与频控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非强制通知可按类型退订或汇总；遵守钉钉接口频率和同内容限制。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6.8 IT 服务闭环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900"/>
        <w:gridCol w:w="1900"/>
        <w:gridCol w:w="546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需求描述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IT-001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统一入口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文章详情和零结果页均提供“提交 IT 服务申请”。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IT-002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跳转目标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V1.1 跳转现有钉钉多维表表单或 OA 审批入口，不在知识库内创建完整工单。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IT-003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上下文携带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在目标表单能力允许时预填来源、搜索词、知识编号、问题分类和终端信息。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IT-004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失败降级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跳转失败时展示备用入口、二维码或复制链接，并记录失败原因。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IT-005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效果追踪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记录跳转来源和结果，用于分析哪些知识最常导致服务申请。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6.9 管理后台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900"/>
        <w:gridCol w:w="1900"/>
        <w:gridCol w:w="546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需求描述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AD-001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基础配置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管理知识空间、分类、文章类型、标签、模板、有效期与首页模块。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AD-002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用户与角色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查询同步用户，配置角色和状态，查看钉钉身份映射。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AD-003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内容运营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查看草稿、待审、已发布、即将到期、已过期、已下架和已归档知识。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AD-004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集成日志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查看免登、用户同步、通知和服务跳转日志，支持按时间、用户、错误码检索。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AD-005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运营看板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查看搜索、零结果、文章访问、反馈、自助解决和服务跳转数据。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AD-006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数据导出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按权限导出运营数据；敏感字段脱敏并记录导出审计。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rPr>
          <w:rFonts w:ascii="Calibri" w:hAnsi="Calibri" w:eastAsia="Noto Sans SC" w:cs="Calibri"/>
          <w:b/>
          <w:color w:val="2E74B5"/>
        </w:rPr>
        <w:t>7. 页面与交互需求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7.1 页面清单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200"/>
        <w:gridCol w:w="5960"/>
      </w:tblGrid>
      <w:tr>
        <w:trPr>
          <w:tblHeader w:val="true"/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端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页面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前台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首页</w:t>
            </w:r>
          </w:p>
        </w:tc>
        <w:tc>
          <w:tcPr>
            <w:tcW w:type="dxa" w:w="5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搜索、分类、热门知识、公告、服务入口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前台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搜索结果页</w:t>
            </w:r>
          </w:p>
        </w:tc>
        <w:tc>
          <w:tcPr>
            <w:tcW w:type="dxa" w:w="5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关键词、筛选、排序、结果摘要、零结果处理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前台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知识详情页</w:t>
            </w:r>
          </w:p>
        </w:tc>
        <w:tc>
          <w:tcPr>
            <w:tcW w:type="dxa" w:w="5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结构化正文、步骤、图片、反馈、相关知识、服务跳转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前台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分类 / 专题页</w:t>
            </w:r>
          </w:p>
        </w:tc>
        <w:tc>
          <w:tcPr>
            <w:tcW w:type="dxa" w:w="5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分类介绍、内容列表、子分类与筛选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个人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我的知识</w:t>
            </w:r>
          </w:p>
        </w:tc>
        <w:tc>
          <w:tcPr>
            <w:tcW w:type="dxa" w:w="5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收藏、最近浏览、我的反馈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编辑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知识编辑页</w:t>
            </w:r>
          </w:p>
        </w:tc>
        <w:tc>
          <w:tcPr>
            <w:tcW w:type="dxa" w:w="5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模板、正文、附件、可见范围、有效期、版本说明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审核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审核页</w:t>
            </w:r>
          </w:p>
        </w:tc>
        <w:tc>
          <w:tcPr>
            <w:tcW w:type="dxa" w:w="5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内容预览、差异、审核意见、通过 / 驳回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后台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内容管理</w:t>
            </w:r>
          </w:p>
        </w:tc>
        <w:tc>
          <w:tcPr>
            <w:tcW w:type="dxa" w:w="5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状态筛选、批量操作、到期管理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后台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系统管理</w:t>
            </w:r>
          </w:p>
        </w:tc>
        <w:tc>
          <w:tcPr>
            <w:tcW w:type="dxa" w:w="5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空间、分类、标签、模板、角色、集成与日志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7.2 钉钉内交互规则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钉钉内打开时不展示独立登录页；免登处理中使用轻量加载状态，不闪现登录表单。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页面顶部避免重复展示与钉钉导航冲突的重型导航栏；保留清晰的返回和关闭逻辑。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文章直达链接在钉钉内打开时先完成免登，再恢复到目标文章；无权限时不得泄露标题或摘要。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外链、附件和 OA / 表单跳转需明确目标；失败时不得出现空白页。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移动端底部操作区固定展示“已解决 / 未解决”和“提交 IT 服务申请”，但不得遮挡正文。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7.3 响应式规则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80"/>
        <w:gridCol w:w="3980"/>
      </w:tblGrid>
      <w:tr>
        <w:trPr>
          <w:tblHeader w:val="true"/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场景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PC 端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移动端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首页</w:t>
            </w:r>
          </w:p>
        </w:tc>
        <w:tc>
          <w:tcPr>
            <w:tcW w:type="dxa" w:w="39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搜索居中；分类可多列；右侧可显示公告或热门内容。</w:t>
            </w:r>
          </w:p>
        </w:tc>
        <w:tc>
          <w:tcPr>
            <w:tcW w:type="dxa" w:w="39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搜索首屏可见；分类为两列或横向卡片；减少次要信息。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搜索结果</w:t>
            </w:r>
          </w:p>
        </w:tc>
        <w:tc>
          <w:tcPr>
            <w:tcW w:type="dxa" w:w="39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左侧筛选 + 右侧结果列表。</w:t>
            </w:r>
          </w:p>
        </w:tc>
        <w:tc>
          <w:tcPr>
            <w:tcW w:type="dxa" w:w="39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筛选收起为抽屉；结果卡片单列。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文章详情</w:t>
            </w:r>
          </w:p>
        </w:tc>
        <w:tc>
          <w:tcPr>
            <w:tcW w:type="dxa" w:w="39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正文居中，目录和相关知识可在侧栏。</w:t>
            </w:r>
          </w:p>
        </w:tc>
        <w:tc>
          <w:tcPr>
            <w:tcW w:type="dxa" w:w="39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单列正文；目录折叠；图片宽度不超过屏幕。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编辑 / 审核</w:t>
            </w:r>
          </w:p>
        </w:tc>
        <w:tc>
          <w:tcPr>
            <w:tcW w:type="dxa" w:w="39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完整能力优先在 PC 端使用。</w:t>
            </w:r>
          </w:p>
        </w:tc>
        <w:tc>
          <w:tcPr>
            <w:tcW w:type="dxa" w:w="39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支持查看与轻量审核；复杂编辑提示使用 PC。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操作按钮</w:t>
            </w:r>
          </w:p>
        </w:tc>
        <w:tc>
          <w:tcPr>
            <w:tcW w:type="dxa" w:w="39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放在内容区右上或底部。</w:t>
            </w:r>
          </w:p>
        </w:tc>
        <w:tc>
          <w:tcPr>
            <w:tcW w:type="dxa" w:w="398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关键按钮置于底部安全区，避免误触。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7.4 易用性要求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搜索框示例应使用员工常见说法，如“电脑连不上 Wi-Fi”“忘记 ERP 密码”。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错误提示说明发生了什么、用户可以做什么、仍无法解决时联系谁。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每一步使用动作动词开头；风险操作必须先提示备份或影响范围。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按钮文案使用结果导向语言，如“提交审核”“打开 IT 服务申请”，避免“确定”“处理”等模糊词。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重要截图必须配文字说明，不能仅依赖颜色或图片表达。</w:t>
      </w:r>
    </w:p>
    <w:p>
      <w:pPr>
        <w:pStyle w:val="Heading1"/>
      </w:pPr>
      <w:r>
        <w:rPr>
          <w:rFonts w:ascii="Calibri" w:hAnsi="Calibri" w:eastAsia="Noto Sans SC" w:cs="Calibri"/>
          <w:b/>
          <w:color w:val="2E74B5"/>
        </w:rPr>
        <w:t>8. 数据模型与字段要求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8.1 核心实体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526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实体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关键数据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User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平台用户</w:t>
            </w:r>
          </w:p>
        </w:tc>
        <w:tc>
          <w:tcPr>
            <w:tcW w:type="dxa" w:w="5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钉钉身份、员工信息、状态、最近登录与同步时间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Role / Permission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角色与权限</w:t>
            </w:r>
          </w:p>
        </w:tc>
        <w:tc>
          <w:tcPr>
            <w:tcW w:type="dxa" w:w="5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角色、权限点、授权范围、有效期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KnowledgeSpace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知识空间</w:t>
            </w:r>
          </w:p>
        </w:tc>
        <w:tc>
          <w:tcPr>
            <w:tcW w:type="dxa" w:w="5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空间类型、负责人、默认可见范围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Category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业务分类</w:t>
            </w:r>
          </w:p>
        </w:tc>
        <w:tc>
          <w:tcPr>
            <w:tcW w:type="dxa" w:w="5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父子层级、排序、状态、图标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Article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知识主记录</w:t>
            </w:r>
          </w:p>
        </w:tc>
        <w:tc>
          <w:tcPr>
            <w:tcW w:type="dxa" w:w="5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全局编号、标题、当前发布版本、状态、负责人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ArticleVersion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知识版本</w:t>
            </w:r>
          </w:p>
        </w:tc>
        <w:tc>
          <w:tcPr>
            <w:tcW w:type="dxa" w:w="5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正文、摘要、适用范围、版本号、审核信息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Tag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标签</w:t>
            </w:r>
          </w:p>
        </w:tc>
        <w:tc>
          <w:tcPr>
            <w:tcW w:type="dxa" w:w="526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名称、别名、状态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SearchLog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搜索日志</w:t>
            </w:r>
          </w:p>
        </w:tc>
        <w:tc>
          <w:tcPr>
            <w:tcW w:type="dxa" w:w="5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关键词、筛选、结果数、点击与终端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Feedback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知识反馈</w:t>
            </w:r>
          </w:p>
        </w:tc>
        <w:tc>
          <w:tcPr>
            <w:tcW w:type="dxa" w:w="5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结果、原因、用户、文章版本、时间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NotificationLog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通知日志</w:t>
            </w:r>
          </w:p>
        </w:tc>
        <w:tc>
          <w:tcPr>
            <w:tcW w:type="dxa" w:w="5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业务事件、接收人、状态、重试、钉钉任务标识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ServiceJumpLog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服务跳转日志</w:t>
            </w:r>
          </w:p>
        </w:tc>
        <w:tc>
          <w:tcPr>
            <w:tcW w:type="dxa" w:w="5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来源、搜索词、文章编号、目标与结果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AuditLog</w:t>
            </w:r>
          </w:p>
        </w:tc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审计日志</w:t>
            </w:r>
          </w:p>
        </w:tc>
        <w:tc>
          <w:tcPr>
            <w:tcW w:type="dxa" w:w="5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操作者、对象、动作、变更前后、IP / 设备、时间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8.2 用户与钉钉映射字段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800"/>
        <w:gridCol w:w="44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说明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id</w:t>
            </w:r>
          </w:p>
        </w:tc>
        <w:tc>
          <w:tcPr>
            <w:tcW w:type="dxa" w:w="2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平台用户主键</w:t>
            </w:r>
          </w:p>
        </w:tc>
        <w:tc>
          <w:tcPr>
            <w:tcW w:type="dxa" w:w="4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系统生成，不对外暴露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corp_id</w:t>
            </w:r>
          </w:p>
        </w:tc>
        <w:tc>
          <w:tcPr>
            <w:tcW w:type="dxa" w:w="2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钉钉企业标识</w:t>
            </w:r>
          </w:p>
        </w:tc>
        <w:tc>
          <w:tcPr>
            <w:tcW w:type="dxa" w:w="4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参与多企业隔离；单企业也应预留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ding_user_id</w:t>
            </w:r>
          </w:p>
        </w:tc>
        <w:tc>
          <w:tcPr>
            <w:tcW w:type="dxa" w:w="2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企业内员工标识</w:t>
            </w:r>
          </w:p>
        </w:tc>
        <w:tc>
          <w:tcPr>
            <w:tcW w:type="dxa" w:w="4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用于企业内部应用身份映射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union_id</w:t>
            </w:r>
          </w:p>
        </w:tc>
        <w:tc>
          <w:tcPr>
            <w:tcW w:type="dxa" w:w="2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跨应用人员标识</w:t>
            </w:r>
          </w:p>
        </w:tc>
        <w:tc>
          <w:tcPr>
            <w:tcW w:type="dxa" w:w="4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按钉钉授权能力保存，不作为唯一可信来源时需说明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employee_no</w:t>
            </w:r>
          </w:p>
        </w:tc>
        <w:tc>
          <w:tcPr>
            <w:tcW w:type="dxa" w:w="2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工号</w:t>
            </w:r>
          </w:p>
        </w:tc>
        <w:tc>
          <w:tcPr>
            <w:tcW w:type="dxa" w:w="4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用于内部对照，允许为空但应建立更新规则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name</w:t>
            </w:r>
          </w:p>
        </w:tc>
        <w:tc>
          <w:tcPr>
            <w:tcW w:type="dxa" w:w="2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姓名</w:t>
            </w:r>
          </w:p>
        </w:tc>
        <w:tc>
          <w:tcPr>
            <w:tcW w:type="dxa" w:w="4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来自组织通讯录或管理员维护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department_ids</w:t>
            </w:r>
          </w:p>
        </w:tc>
        <w:tc>
          <w:tcPr>
            <w:tcW w:type="dxa" w:w="2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所属部门</w:t>
            </w:r>
          </w:p>
        </w:tc>
        <w:tc>
          <w:tcPr>
            <w:tcW w:type="dxa" w:w="446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支持多部门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account_status</w:t>
            </w:r>
          </w:p>
        </w:tc>
        <w:tc>
          <w:tcPr>
            <w:tcW w:type="dxa" w:w="2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账号状态</w:t>
            </w:r>
          </w:p>
        </w:tc>
        <w:tc>
          <w:tcPr>
            <w:tcW w:type="dxa" w:w="4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active / disabled / departed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last_sync_at</w:t>
            </w:r>
          </w:p>
        </w:tc>
        <w:tc>
          <w:tcPr>
            <w:tcW w:type="dxa" w:w="2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最近同步时间</w:t>
            </w:r>
          </w:p>
        </w:tc>
        <w:tc>
          <w:tcPr>
            <w:tcW w:type="dxa" w:w="4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用于排查组织信息时效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last_login_at</w:t>
            </w:r>
          </w:p>
        </w:tc>
        <w:tc>
          <w:tcPr>
            <w:tcW w:type="dxa" w:w="2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最近登录时间</w:t>
            </w:r>
          </w:p>
        </w:tc>
        <w:tc>
          <w:tcPr>
            <w:tcW w:type="dxa" w:w="44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用于安全与运营分析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8.3 知识主数据字段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000"/>
        <w:gridCol w:w="4260"/>
        <w:gridCol w:w="1100"/>
      </w:tblGrid>
      <w:tr>
        <w:trPr>
          <w:tblHeader w:val="true"/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7"/>
              </w:rPr>
              <w:t>要求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7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kb_no</w:t>
            </w:r>
          </w:p>
        </w:tc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知识编号</w:t>
            </w:r>
          </w:p>
        </w:tc>
        <w:tc>
          <w:tcPr>
            <w:tcW w:type="dxa" w:w="4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KB-000001，全局唯一且不可变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title</w:t>
            </w:r>
          </w:p>
        </w:tc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标题</w:t>
            </w:r>
          </w:p>
        </w:tc>
        <w:tc>
          <w:tcPr>
            <w:tcW w:type="dxa" w:w="4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员工语言；建议不超过 60 字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summary</w:t>
            </w:r>
          </w:p>
        </w:tc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摘要</w:t>
            </w:r>
          </w:p>
        </w:tc>
        <w:tc>
          <w:tcPr>
            <w:tcW w:type="dxa" w:w="4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用于搜索结果；建议 80—160 字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space_id</w:t>
            </w:r>
          </w:p>
        </w:tc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知识空间</w:t>
            </w:r>
          </w:p>
        </w:tc>
        <w:tc>
          <w:tcPr>
            <w:tcW w:type="dxa" w:w="4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决定管理边界与默认权限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category_id</w:t>
            </w:r>
          </w:p>
        </w:tc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业务分类</w:t>
            </w:r>
          </w:p>
        </w:tc>
        <w:tc>
          <w:tcPr>
            <w:tcW w:type="dxa" w:w="4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支持一主分类，可扩展辅助分类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article_type</w:t>
            </w:r>
          </w:p>
        </w:tc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文章类型</w:t>
            </w:r>
          </w:p>
        </w:tc>
        <w:tc>
          <w:tcPr>
            <w:tcW w:type="dxa" w:w="4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故障处理 / 操作指南 / SOP / 案例 / 公告 / FAQ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visibility_scope</w:t>
            </w:r>
          </w:p>
        </w:tc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可见范围</w:t>
            </w:r>
          </w:p>
        </w:tc>
        <w:tc>
          <w:tcPr>
            <w:tcW w:type="dxa" w:w="4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全员 / 部门 / 角色 / IT / 管理员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owner_user_id</w:t>
            </w:r>
          </w:p>
        </w:tc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负责人</w:t>
            </w:r>
          </w:p>
        </w:tc>
        <w:tc>
          <w:tcPr>
            <w:tcW w:type="dxa" w:w="426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负责准确性与复审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status</w:t>
            </w:r>
          </w:p>
        </w:tc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状态</w:t>
            </w:r>
          </w:p>
        </w:tc>
        <w:tc>
          <w:tcPr>
            <w:tcW w:type="dxa" w:w="4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草稿、待审核、已发布、已过期、已下架、已归档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effective_at</w:t>
            </w:r>
          </w:p>
        </w:tc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生效时间</w:t>
            </w:r>
          </w:p>
        </w:tc>
        <w:tc>
          <w:tcPr>
            <w:tcW w:type="dxa" w:w="4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发布后生效，可支持定时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review_due_at</w:t>
            </w:r>
          </w:p>
        </w:tc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复审日期</w:t>
            </w:r>
          </w:p>
        </w:tc>
        <w:tc>
          <w:tcPr>
            <w:tcW w:type="dxa" w:w="426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到期前触发提醒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current_version_id</w:t>
            </w:r>
          </w:p>
        </w:tc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当前版本</w:t>
            </w:r>
          </w:p>
        </w:tc>
        <w:tc>
          <w:tcPr>
            <w:tcW w:type="dxa" w:w="426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指向已发布版本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8.4 数据关系说明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一个用户可拥有多个角色；一个角色可包含多个权限点。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一个知识空间包含多个分类和文章；分类支持父子层级。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一篇知识拥有多个版本，但只有一个当前发布版本。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一篇知识可关联多个标签、反馈、搜索点击和服务跳转记录。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通知日志、同步日志和审计日志必须与业务对象建立可追踪关联。</w:t>
      </w:r>
    </w:p>
    <w:p>
      <w:pPr>
        <w:pStyle w:val="Heading1"/>
      </w:pPr>
      <w:r>
        <w:rPr>
          <w:rFonts w:ascii="Calibri" w:hAnsi="Calibri" w:eastAsia="Noto Sans SC" w:cs="Calibri"/>
          <w:b/>
          <w:color w:val="2E74B5"/>
        </w:rPr>
        <w:t>9. 业务规则与状态模型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9.1 知识状态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506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允许操作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草稿</w:t>
            </w:r>
          </w:p>
        </w:tc>
        <w:tc>
          <w:tcPr>
            <w:tcW w:type="dxa" w:w="28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编辑员创建或修改中</w:t>
            </w:r>
          </w:p>
        </w:tc>
        <w:tc>
          <w:tcPr>
            <w:tcW w:type="dxa" w:w="5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编辑、预览、删除本人草稿、提交审核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待审核</w:t>
            </w:r>
          </w:p>
        </w:tc>
        <w:tc>
          <w:tcPr>
            <w:tcW w:type="dxa" w:w="2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已提交审核</w:t>
            </w:r>
          </w:p>
        </w:tc>
        <w:tc>
          <w:tcPr>
            <w:tcW w:type="dxa" w:w="5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审核通过、驳回；原则上不允许作者直接覆盖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已发布</w:t>
            </w:r>
          </w:p>
        </w:tc>
        <w:tc>
          <w:tcPr>
            <w:tcW w:type="dxa" w:w="28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正式对目标用户可见</w:t>
            </w:r>
          </w:p>
        </w:tc>
        <w:tc>
          <w:tcPr>
            <w:tcW w:type="dxa" w:w="5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阅读、反馈、创建新版本、下架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已过期</w:t>
            </w:r>
          </w:p>
        </w:tc>
        <w:tc>
          <w:tcPr>
            <w:tcW w:type="dxa" w:w="28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超过复审日期且未完成复审</w:t>
            </w:r>
          </w:p>
        </w:tc>
        <w:tc>
          <w:tcPr>
            <w:tcW w:type="dxa" w:w="5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默认降低排序并显示过期提示；高风险知识可自动隐藏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已下架</w:t>
            </w:r>
          </w:p>
        </w:tc>
        <w:tc>
          <w:tcPr>
            <w:tcW w:type="dxa" w:w="28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因错误、风险或业务变化停止使用</w:t>
            </w:r>
          </w:p>
        </w:tc>
        <w:tc>
          <w:tcPr>
            <w:tcW w:type="dxa" w:w="5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不可搜索；历史链接显示下架说明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已归档</w:t>
            </w:r>
          </w:p>
        </w:tc>
        <w:tc>
          <w:tcPr>
            <w:tcW w:type="dxa" w:w="28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长期保留但不再使用</w:t>
            </w:r>
          </w:p>
        </w:tc>
        <w:tc>
          <w:tcPr>
            <w:tcW w:type="dxa" w:w="5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仅授权管理人员查看，用于审计和追溯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9.2 状态流转规则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1. </w:t>
      </w:r>
      <w:r>
        <w:rPr>
          <w:rFonts w:ascii="Calibri" w:hAnsi="Calibri" w:eastAsia="Noto Sans SC" w:cs="Calibri"/>
          <w:sz w:val="22"/>
        </w:rPr>
        <w:t>草稿 → 待审核：编辑员提交，必须填写版本说明、负责人、可见范围和复审日期。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2. </w:t>
      </w:r>
      <w:r>
        <w:rPr>
          <w:rFonts w:ascii="Calibri" w:hAnsi="Calibri" w:eastAsia="Noto Sans SC" w:cs="Calibri"/>
          <w:sz w:val="22"/>
        </w:rPr>
        <w:t>待审核 → 已发布：审核通过；如存在旧版本，旧版本保留为历史记录。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3. </w:t>
      </w:r>
      <w:r>
        <w:rPr>
          <w:rFonts w:ascii="Calibri" w:hAnsi="Calibri" w:eastAsia="Noto Sans SC" w:cs="Calibri"/>
          <w:sz w:val="22"/>
        </w:rPr>
        <w:t>待审核 → 草稿：审核驳回并填写意见，作者修改后再次提交。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4. </w:t>
      </w:r>
      <w:r>
        <w:rPr>
          <w:rFonts w:ascii="Calibri" w:hAnsi="Calibri" w:eastAsia="Noto Sans SC" w:cs="Calibri"/>
          <w:sz w:val="22"/>
        </w:rPr>
        <w:t>已发布 → 待审核：编辑已发布知识时创建新草稿版本，线上版本继续可见，直到新版本通过。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5. </w:t>
      </w:r>
      <w:r>
        <w:rPr>
          <w:rFonts w:ascii="Calibri" w:hAnsi="Calibri" w:eastAsia="Noto Sans SC" w:cs="Calibri"/>
          <w:sz w:val="22"/>
        </w:rPr>
        <w:t>已发布 → 已过期：超过复审日期触发；具体展示策略按知识风险等级执行。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6. </w:t>
      </w:r>
      <w:r>
        <w:rPr>
          <w:rFonts w:ascii="Calibri" w:hAnsi="Calibri" w:eastAsia="Noto Sans SC" w:cs="Calibri"/>
          <w:sz w:val="22"/>
        </w:rPr>
        <w:t>已发布 / 已过期 → 已下架：管理员或授权审核员执行，必须填写原因。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7. </w:t>
      </w:r>
      <w:r>
        <w:rPr>
          <w:rFonts w:ascii="Calibri" w:hAnsi="Calibri" w:eastAsia="Noto Sans SC" w:cs="Calibri"/>
          <w:sz w:val="22"/>
        </w:rPr>
        <w:t>已下架 → 已归档：确认不再恢复后归档；需要恢复时重新创建待审版本。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9.3 搜索与权限规则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搜索索引只能包含当前用户有权访问的已发布知识；权限过滤必须在服务端完成。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已下架、已归档内容不进入员工搜索；已过期内容是否展示由风险等级和管理员策略决定。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文章标题、摘要、附件名称同样属于权限保护对象，无权限时不返回任何内容。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搜索日志中若包含账号、手机号、IP 等潜在敏感信息，应按安全策略脱敏或缩短保留期。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9.4 反馈处理规则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反馈类型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系统处理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运营动作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已解决 / 有帮助</w:t>
            </w:r>
          </w:p>
        </w:tc>
        <w:tc>
          <w:tcPr>
            <w:tcW w:type="dxa" w:w="35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计入正向反馈和排序信号。</w:t>
            </w:r>
          </w:p>
        </w:tc>
        <w:tc>
          <w:tcPr>
            <w:tcW w:type="dxa" w:w="4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定期识别高价值知识。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未解决</w:t>
            </w:r>
          </w:p>
        </w:tc>
        <w:tc>
          <w:tcPr>
            <w:tcW w:type="dxa" w:w="35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展示服务入口，并允许选择原因。</w:t>
            </w:r>
          </w:p>
        </w:tc>
        <w:tc>
          <w:tcPr>
            <w:tcW w:type="dxa" w:w="4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按月分析知识缺口和步骤问题。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内容错误</w:t>
            </w:r>
          </w:p>
        </w:tc>
        <w:tc>
          <w:tcPr>
            <w:tcW w:type="dxa" w:w="35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标记高优先级，通知负责人和审核员。</w:t>
            </w:r>
          </w:p>
        </w:tc>
        <w:tc>
          <w:tcPr>
            <w:tcW w:type="dxa" w:w="406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必要时紧急下架。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内容过期</w:t>
            </w:r>
          </w:p>
        </w:tc>
        <w:tc>
          <w:tcPr>
            <w:tcW w:type="dxa" w:w="35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记录当前版本与用户环境。</w:t>
            </w:r>
          </w:p>
        </w:tc>
        <w:tc>
          <w:tcPr>
            <w:tcW w:type="dxa" w:w="406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进入复审队列。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看不懂</w:t>
            </w:r>
          </w:p>
        </w:tc>
        <w:tc>
          <w:tcPr>
            <w:tcW w:type="dxa" w:w="35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记录步骤或段落位置（若可用）。</w:t>
            </w:r>
          </w:p>
        </w:tc>
        <w:tc>
          <w:tcPr>
            <w:tcW w:type="dxa" w:w="4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优化用语、截图和步骤拆分。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rPr>
          <w:rFonts w:ascii="Calibri" w:hAnsi="Calibri" w:eastAsia="Noto Sans SC" w:cs="Calibri"/>
          <w:b/>
          <w:color w:val="2E74B5"/>
        </w:rPr>
        <w:t>10. 钉钉集成与技术架构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10.1 总体架构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Text"/>
            </w:pPr>
            <w:r>
              <w:rPr>
                <w:rFonts w:ascii="Calibri" w:hAnsi="Calibri" w:eastAsia="Noto Sans SC" w:cs="Calibri"/>
                <w:b/>
                <w:color w:val="1F4D78"/>
                <w:sz w:val="20"/>
              </w:rPr>
              <w:t xml:space="preserve">架构边界  </w:t>
            </w:r>
            <w:r>
              <w:rPr>
                <w:rFonts w:ascii="Calibri" w:hAnsi="Calibri" w:eastAsia="Noto Sans SC" w:cs="Calibri"/>
                <w:color w:val="0B2545"/>
                <w:sz w:val="20"/>
              </w:rPr>
              <w:t>知识库不部署在钉钉服务器中。钉钉提供工作台入口、免登授权码、组织身份与消息通道；知识库前端、后端、数据库、搜索索引、附件与日志仍部署在公司控制的基础设施中。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组成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访问层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钉钉 PC / 移动工作台、受控外部浏览器入口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前端层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响应式 Web 前端、钉钉 JSAPI 适配、错误与降级页面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业务层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认证会话、知识、搜索、审核、权限、通知、统计、服务跳转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集成层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钉钉免登、通讯录 / 用户同步、工作通知、现有 OA / 多维表入口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数据层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关系数据库、搜索索引、对象存储、缓存、审计与业务日志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运维层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监控告警、备份恢复、配置与密钥管理、发布与回滚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10.2 免登流程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1. </w:t>
      </w:r>
      <w:r>
        <w:rPr>
          <w:rFonts w:ascii="Calibri" w:hAnsi="Calibri" w:eastAsia="Noto Sans SC" w:cs="Calibri"/>
          <w:sz w:val="22"/>
        </w:rPr>
        <w:t>员工在钉钉工作台点击“IT 知识库”。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2. </w:t>
      </w:r>
      <w:r>
        <w:rPr>
          <w:rFonts w:ascii="Calibri" w:hAnsi="Calibri" w:eastAsia="Noto Sans SC" w:cs="Calibri"/>
          <w:sz w:val="22"/>
        </w:rPr>
        <w:t>H5 前端确认运行环境，并调用钉钉端内免登能力获取短期授权码。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3. </w:t>
      </w:r>
      <w:r>
        <w:rPr>
          <w:rFonts w:ascii="Calibri" w:hAnsi="Calibri" w:eastAsia="Noto Sans SC" w:cs="Calibri"/>
          <w:sz w:val="22"/>
        </w:rPr>
        <w:t>前端仅将授权码和必要的防重放参数提交给知识库后端。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4. </w:t>
      </w:r>
      <w:r>
        <w:rPr>
          <w:rFonts w:ascii="Calibri" w:hAnsi="Calibri" w:eastAsia="Noto Sans SC" w:cs="Calibri"/>
          <w:sz w:val="22"/>
        </w:rPr>
        <w:t>后端使用受保护的应用凭证调用钉钉服务端接口，换取可信用户身份。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5. </w:t>
      </w:r>
      <w:r>
        <w:rPr>
          <w:rFonts w:ascii="Calibri" w:hAnsi="Calibri" w:eastAsia="Noto Sans SC" w:cs="Calibri"/>
          <w:sz w:val="22"/>
        </w:rPr>
        <w:t>后端按 corpId 与 dingUserId / unionId 查找或创建映射用户，同步必要的姓名和部门信息。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6. </w:t>
      </w:r>
      <w:r>
        <w:rPr>
          <w:rFonts w:ascii="Calibri" w:hAnsi="Calibri" w:eastAsia="Noto Sans SC" w:cs="Calibri"/>
          <w:sz w:val="22"/>
        </w:rPr>
        <w:t>后端执行组织状态、应用范围和平台账号状态校验，创建平台会话。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7. </w:t>
      </w:r>
      <w:r>
        <w:rPr>
          <w:rFonts w:ascii="Calibri" w:hAnsi="Calibri" w:eastAsia="Noto Sans SC" w:cs="Calibri"/>
          <w:sz w:val="22"/>
        </w:rPr>
        <w:t>前端进入原目标页面；失败时展示明确错误和重试 / 求助入口。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10.3 安全边界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AppSecret、访问令牌等钉钉凭证只保存在服务端密钥系统，禁止写入前端代码、日志或配置仓库。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免登授权码应短期、一次性使用；后端校验请求来源、会话状态和防重放参数。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前端传来的姓名、工号、部门、角色不作为授权依据。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所有文章、附件、搜索和后台接口都执行服务端权限校验。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钉钉身份同步失败时采用“安全失败”策略：不扩大权限；超过允许时效后限制访问并提示管理员。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通知内容不直接包含密码、密钥、服务器配置或其他敏感信息，点击后再在授权页面查看。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10.4 应用配置要求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配置项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应用类型</w:t>
            </w:r>
          </w:p>
        </w:tc>
        <w:tc>
          <w:tcPr>
            <w:tcW w:type="dxa" w:w="6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企业内部 H5 微应用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移动端首页地址</w:t>
            </w:r>
          </w:p>
        </w:tc>
        <w:tc>
          <w:tcPr>
            <w:tcW w:type="dxa" w:w="6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正式 HTTPS 地址；与免登 JSAPI 使用域名保持一致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PC 端首页地址</w:t>
            </w:r>
          </w:p>
        </w:tc>
        <w:tc>
          <w:tcPr>
            <w:tcW w:type="dxa" w:w="6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正式 HTTPS 地址；支持 PC 钉钉工作台打开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可使用范围</w:t>
            </w:r>
          </w:p>
        </w:tc>
        <w:tc>
          <w:tcPr>
            <w:tcW w:type="dxa" w:w="6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按公司组织策略配置，建议先试点部门后逐步放开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权限申请</w:t>
            </w:r>
          </w:p>
        </w:tc>
        <w:tc>
          <w:tcPr>
            <w:tcW w:type="dxa" w:w="6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只申请免登、必要通讯录字段与工作通知等最小权限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回调 / 可信域名</w:t>
            </w:r>
          </w:p>
        </w:tc>
        <w:tc>
          <w:tcPr>
            <w:tcW w:type="dxa" w:w="6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按钉钉要求配置；区分测试与生产环境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出口 IP</w:t>
            </w:r>
          </w:p>
        </w:tc>
        <w:tc>
          <w:tcPr>
            <w:tcW w:type="dxa" w:w="6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如接口要求白名单，使用固定且受控的服务器出口 IP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应用凭证</w:t>
            </w:r>
          </w:p>
        </w:tc>
        <w:tc>
          <w:tcPr>
            <w:tcW w:type="dxa" w:w="6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分环境保存、定期轮换、最小可见、禁止共享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10.5 用户同步策略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方式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触发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登录时按需同步</w:t>
            </w:r>
          </w:p>
        </w:tc>
        <w:tc>
          <w:tcPr>
            <w:tcW w:type="dxa" w:w="19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用户每次或定期登录</w:t>
            </w:r>
          </w:p>
        </w:tc>
        <w:tc>
          <w:tcPr>
            <w:tcW w:type="dxa" w:w="33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确保当前用户基本信息及时</w:t>
            </w:r>
          </w:p>
        </w:tc>
        <w:tc>
          <w:tcPr>
            <w:tcW w:type="dxa" w:w="226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定时增量同步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定时任务</w:t>
            </w:r>
          </w:p>
        </w:tc>
        <w:tc>
          <w:tcPr>
            <w:tcW w:type="dxa" w:w="33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更新部门、姓名和状态</w:t>
            </w:r>
          </w:p>
        </w:tc>
        <w:tc>
          <w:tcPr>
            <w:tcW w:type="dxa" w:w="226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P1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事件回调同步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组织变更事件</w:t>
            </w:r>
          </w:p>
        </w:tc>
        <w:tc>
          <w:tcPr>
            <w:tcW w:type="dxa" w:w="33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快速处理入离职与部门变化</w:t>
            </w:r>
          </w:p>
        </w:tc>
        <w:tc>
          <w:tcPr>
            <w:tcW w:type="dxa" w:w="22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视权限与稳定性评估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管理员手动同步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排障或紧急处理</w:t>
            </w:r>
          </w:p>
        </w:tc>
        <w:tc>
          <w:tcPr>
            <w:tcW w:type="dxa" w:w="33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单人 / 部门重试</w:t>
            </w:r>
          </w:p>
        </w:tc>
        <w:tc>
          <w:tcPr>
            <w:tcW w:type="dxa" w:w="226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P1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10.6 通知集成策略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V1.1 优先采用企业内部应用工作通知，消息点击跳转至具体知识或审核页面。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通知服务应封装统一模板、接收范围、幂等键、重试、频控和发送日志。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重要公告需进行权限和目标范围校验，不把“应用可见范围”等同于“公告接收范围”。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钉钉接口异常时，业务操作本身应可完成；通知进入重试队列并在后台提示。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10.7 IT 服务入口集成</w:t>
      </w:r>
    </w:p>
    <w:p>
      <w:pPr>
        <w:keepLines/>
      </w:pPr>
      <w:r>
        <w:rPr>
          <w:rFonts w:ascii="Calibri" w:hAnsi="Calibri" w:eastAsia="Noto Sans SC" w:cs="Calibri"/>
          <w:b w:val="0"/>
          <w:i w:val="0"/>
        </w:rPr>
        <w:t>V1.1 通过链接或钉钉内跳转连接现有“IT 服务自助提报单 / OA 审批”。若目标入口支持 URL 参数、表单预填或 JSAPI，可携带来源上下文；若不支持，则至少确保稳定打开并提供问题描述复制功能。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600"/>
        <w:gridCol w:w="46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上下文字段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示例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source</w:t>
            </w:r>
          </w:p>
        </w:tc>
        <w:tc>
          <w:tcPr>
            <w:tcW w:type="dxa" w:w="26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knowledge_base</w:t>
            </w:r>
          </w:p>
        </w:tc>
        <w:tc>
          <w:tcPr>
            <w:tcW w:type="dxa" w:w="466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识别来源渠道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search_keyword</w:t>
            </w:r>
          </w:p>
        </w:tc>
        <w:tc>
          <w:tcPr>
            <w:tcW w:type="dxa" w:w="2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打印机离线</w:t>
            </w:r>
          </w:p>
        </w:tc>
        <w:tc>
          <w:tcPr>
            <w:tcW w:type="dxa" w:w="46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减少重复描述并分析零解决问题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kb_no</w:t>
            </w:r>
          </w:p>
        </w:tc>
        <w:tc>
          <w:tcPr>
            <w:tcW w:type="dxa" w:w="26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KB-000237</w:t>
            </w:r>
          </w:p>
        </w:tc>
        <w:tc>
          <w:tcPr>
            <w:tcW w:type="dxa" w:w="466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定位未解决的知识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category</w:t>
            </w:r>
          </w:p>
        </w:tc>
        <w:tc>
          <w:tcPr>
            <w:tcW w:type="dxa" w:w="2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电脑与外设</w:t>
            </w:r>
          </w:p>
        </w:tc>
        <w:tc>
          <w:tcPr>
            <w:tcW w:type="dxa" w:w="466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辅助表单分类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client_type</w:t>
            </w:r>
          </w:p>
        </w:tc>
        <w:tc>
          <w:tcPr>
            <w:tcW w:type="dxa" w:w="26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dingtalk_mobile</w:t>
            </w:r>
          </w:p>
        </w:tc>
        <w:tc>
          <w:tcPr>
            <w:tcW w:type="dxa" w:w="466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排查终端兼容问题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10.8 异常与降级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异常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处理原则</w:t>
            </w:r>
          </w:p>
        </w:tc>
      </w:tr>
      <w:tr>
        <w:trPr>
          <w:cantSplit w:val="true"/>
        </w:trPr>
        <w:tc>
          <w:tcPr>
            <w:tcW w:type="dxa" w:w="2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未在钉钉内打开</w:t>
            </w:r>
          </w:p>
        </w:tc>
        <w:tc>
          <w:tcPr>
            <w:tcW w:type="dxa" w:w="6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提示从钉钉工作台进入；按安全策略提供备用登录或联系 IT。</w:t>
            </w:r>
          </w:p>
        </w:tc>
      </w:tr>
      <w:tr>
        <w:trPr>
          <w:cantSplit w:val="true"/>
        </w:trPr>
        <w:tc>
          <w:tcPr>
            <w:tcW w:type="dxa" w:w="28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免登授权码获取失败</w:t>
            </w:r>
          </w:p>
        </w:tc>
        <w:tc>
          <w:tcPr>
            <w:tcW w:type="dxa" w:w="6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允许重试，展示错误编号；不接受用户手工输入身份绕过。</w:t>
            </w:r>
          </w:p>
        </w:tc>
      </w:tr>
      <w:tr>
        <w:trPr>
          <w:cantSplit w:val="true"/>
        </w:trPr>
        <w:tc>
          <w:tcPr>
            <w:tcW w:type="dxa" w:w="28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钉钉服务端接口超时</w:t>
            </w:r>
          </w:p>
        </w:tc>
        <w:tc>
          <w:tcPr>
            <w:tcW w:type="dxa" w:w="6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短次数重试；不扩大权限；记录链路并告警。</w:t>
            </w:r>
          </w:p>
        </w:tc>
      </w:tr>
      <w:tr>
        <w:trPr>
          <w:cantSplit w:val="true"/>
        </w:trPr>
        <w:tc>
          <w:tcPr>
            <w:tcW w:type="dxa" w:w="28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用户不在可使用范围</w:t>
            </w:r>
          </w:p>
        </w:tc>
        <w:tc>
          <w:tcPr>
            <w:tcW w:type="dxa" w:w="6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提示无权限并给出申请渠道，不显示任何知识内容。</w:t>
            </w:r>
          </w:p>
        </w:tc>
      </w:tr>
      <w:tr>
        <w:trPr>
          <w:cantSplit w:val="true"/>
        </w:trPr>
        <w:tc>
          <w:tcPr>
            <w:tcW w:type="dxa" w:w="28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离职 / 禁用用户</w:t>
            </w:r>
          </w:p>
        </w:tc>
        <w:tc>
          <w:tcPr>
            <w:tcW w:type="dxa" w:w="6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终止新会话；已存在会话按安全策略撤销。</w:t>
            </w:r>
          </w:p>
        </w:tc>
      </w:tr>
      <w:tr>
        <w:trPr>
          <w:cantSplit w:val="true"/>
        </w:trPr>
        <w:tc>
          <w:tcPr>
            <w:tcW w:type="dxa" w:w="2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通知发送失败</w:t>
            </w:r>
          </w:p>
        </w:tc>
        <w:tc>
          <w:tcPr>
            <w:tcW w:type="dxa" w:w="6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业务操作继续完成；通知进入重试，超过阈值告警。</w:t>
            </w:r>
          </w:p>
        </w:tc>
      </w:tr>
      <w:tr>
        <w:trPr>
          <w:cantSplit w:val="true"/>
        </w:trPr>
        <w:tc>
          <w:tcPr>
            <w:tcW w:type="dxa" w:w="28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OA / 表单跳转失败</w:t>
            </w:r>
          </w:p>
        </w:tc>
        <w:tc>
          <w:tcPr>
            <w:tcW w:type="dxa" w:w="6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提供备用入口、复制链接和联系 IT 方式。</w:t>
            </w:r>
          </w:p>
        </w:tc>
      </w:tr>
      <w:tr>
        <w:trPr>
          <w:cantSplit w:val="true"/>
        </w:trPr>
        <w:tc>
          <w:tcPr>
            <w:tcW w:type="dxa" w:w="2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搜索服务不可用</w:t>
            </w:r>
          </w:p>
        </w:tc>
        <w:tc>
          <w:tcPr>
            <w:tcW w:type="dxa" w:w="6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展示分类和热门知识缓存；提示服务暂时异常。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rPr>
          <w:rFonts w:ascii="Calibri" w:hAnsi="Calibri" w:eastAsia="Noto Sans SC" w:cs="Calibri"/>
          <w:b/>
          <w:color w:val="2E74B5"/>
        </w:rPr>
        <w:t>11. 非功能需求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11.1 性能与容量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900"/>
        <w:gridCol w:w="1900"/>
        <w:gridCol w:w="5360"/>
      </w:tblGrid>
      <w:tr>
        <w:trPr>
          <w:tblHeader w:val="true"/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NFR-P01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首页首屏</w:t>
            </w:r>
          </w:p>
        </w:tc>
        <w:tc>
          <w:tcPr>
            <w:tcW w:type="dxa" w:w="53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公司常用网络环境下 P95 ≤ 3 秒；不含首次钉钉客户端初始化异常。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NFR-P02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搜索响应</w:t>
            </w:r>
          </w:p>
        </w:tc>
        <w:tc>
          <w:tcPr>
            <w:tcW w:type="dxa" w:w="53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正常负载下 P95 ≤ 2 秒。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NFR-P03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P0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文章详情</w:t>
            </w:r>
          </w:p>
        </w:tc>
        <w:tc>
          <w:tcPr>
            <w:tcW w:type="dxa" w:w="53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正文 P95 ≤ 2 秒；大图采用压缩、缩略与懒加载。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NFR-P04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并发容量</w:t>
            </w:r>
          </w:p>
        </w:tc>
        <w:tc>
          <w:tcPr>
            <w:tcW w:type="dxa" w:w="53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以预计员工数和峰值并发为基准压测，容量至少保留 50% 余量。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NFR-P05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P1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后台任务</w:t>
            </w:r>
          </w:p>
        </w:tc>
        <w:tc>
          <w:tcPr>
            <w:tcW w:type="dxa" w:w="53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用户同步、索引与通知异步执行，不阻塞核心阅读流程。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11.2 可用性与恢复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建议月度可用性目标不低于 99.5%，计划维护窗口除外。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核心服务具备健康检查、错误率、响应时间、免登失败率和通知积压监控。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数据库每日备份；建议 RPO ≤ 24 小时、RTO ≤ 4 小时，最终值由公司基础设施能力确认。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上线和数据库变更必须具备回滚方案；搜索索引可从主数据重建。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11.3 安全与合规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领域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传输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所有正式环境访问使用 HTTPS；内部接口也应使用受控网络和鉴权。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凭证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集中保存、分环境、定期轮换、最小权限；禁止进入代码、前端和普通日志。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授权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服务端 RBAC + 数据范围校验；附件与搜索同样受控。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审计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记录登录、授权、发布、下架、配置、导出和集成管理操作。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隐私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只采集实现业务所需的员工字段；明确保留期限和删除 / 匿名化策略。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内容安全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IT 内部 SOP、服务器配置、账号处理流程不得默认向全员开放。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日志</w:t>
            </w:r>
          </w:p>
        </w:tc>
        <w:tc>
          <w:tcPr>
            <w:tcW w:type="dxa" w:w="75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对令牌、授权码、手机号、邮箱、IP 和搜索敏感词执行脱敏与访问控制。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11.4 兼容性与可访问性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支持公司当前使用的钉钉 PC 客户端和移动客户端主版本；具体最低版本在测试计划中确认。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支持主流 Windows 10 / 11 分辨率与 iOS / Android 常见屏幕。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正文最小可读字号、触控目标、颜色对比、键盘导航和焦点状态满足内部可访问性要求。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截图配文字说明；颜色不是唯一信息载体；错误信息可由屏幕阅读器识别。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11.5 可维护性与扩展性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知识、搜索、认证、通知、统计和 ITSM 集成保持清晰模块边界。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钉钉相关能力通过集成适配层封装，避免业务代码依赖具体接口细节。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文章正文采用可迁移的结构化格式；附件与正文关联可批量导出。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为 AI 问答预留文章版本、段落、引用来源、可见范围和内容有效性字段。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为 ITSM 深度联动预留外部工单编号、来源上下文和状态回调扩展点，但 V1.1 不启用。</w:t>
      </w:r>
    </w:p>
    <w:p>
      <w:pPr>
        <w:pStyle w:val="Heading1"/>
      </w:pPr>
      <w:r>
        <w:rPr>
          <w:rFonts w:ascii="Calibri" w:hAnsi="Calibri" w:eastAsia="Noto Sans SC" w:cs="Calibri"/>
          <w:b/>
          <w:color w:val="2E74B5"/>
        </w:rPr>
        <w:t>12. 数据指标与运营分析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12.1 核心事件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600"/>
        <w:gridCol w:w="4360"/>
      </w:tblGrid>
      <w:tr>
        <w:trPr>
          <w:tblHeader w:val="true"/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事件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说明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建议属性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app_open</w:t>
            </w:r>
          </w:p>
        </w:tc>
        <w:tc>
          <w:tcPr>
            <w:tcW w:type="dxa" w:w="2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打开知识库</w:t>
            </w:r>
          </w:p>
        </w:tc>
        <w:tc>
          <w:tcPr>
            <w:tcW w:type="dxa" w:w="43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用户、终端、入口、时间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login_result</w:t>
            </w:r>
          </w:p>
        </w:tc>
        <w:tc>
          <w:tcPr>
            <w:tcW w:type="dxa" w:w="2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免登结果</w:t>
            </w:r>
          </w:p>
        </w:tc>
        <w:tc>
          <w:tcPr>
            <w:tcW w:type="dxa" w:w="43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成功 / 失败、错误类型、耗时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search</w:t>
            </w:r>
          </w:p>
        </w:tc>
        <w:tc>
          <w:tcPr>
            <w:tcW w:type="dxa" w:w="2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执行搜索</w:t>
            </w:r>
          </w:p>
        </w:tc>
        <w:tc>
          <w:tcPr>
            <w:tcW w:type="dxa" w:w="43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关键词、筛选、结果数、耗时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search_result_click</w:t>
            </w:r>
          </w:p>
        </w:tc>
        <w:tc>
          <w:tcPr>
            <w:tcW w:type="dxa" w:w="2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点击结果</w:t>
            </w:r>
          </w:p>
        </w:tc>
        <w:tc>
          <w:tcPr>
            <w:tcW w:type="dxa" w:w="43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关键词、排序位置、知识编号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article_view</w:t>
            </w:r>
          </w:p>
        </w:tc>
        <w:tc>
          <w:tcPr>
            <w:tcW w:type="dxa" w:w="2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阅读知识</w:t>
            </w:r>
          </w:p>
        </w:tc>
        <w:tc>
          <w:tcPr>
            <w:tcW w:type="dxa" w:w="43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知识编号、版本、来源、停留时间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article_feedback</w:t>
            </w:r>
          </w:p>
        </w:tc>
        <w:tc>
          <w:tcPr>
            <w:tcW w:type="dxa" w:w="2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提交反馈</w:t>
            </w:r>
          </w:p>
        </w:tc>
        <w:tc>
          <w:tcPr>
            <w:tcW w:type="dxa" w:w="43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已解决 / 未解决、原因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service_jump</w:t>
            </w:r>
          </w:p>
        </w:tc>
        <w:tc>
          <w:tcPr>
            <w:tcW w:type="dxa" w:w="2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跳转服务入口</w:t>
            </w:r>
          </w:p>
        </w:tc>
        <w:tc>
          <w:tcPr>
            <w:tcW w:type="dxa" w:w="43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来源、知识编号、目标、结果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article_publish</w:t>
            </w:r>
          </w:p>
        </w:tc>
        <w:tc>
          <w:tcPr>
            <w:tcW w:type="dxa" w:w="2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知识发布</w:t>
            </w:r>
          </w:p>
        </w:tc>
        <w:tc>
          <w:tcPr>
            <w:tcW w:type="dxa" w:w="43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知识编号、版本、作者、审核员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notification_result</w:t>
            </w:r>
          </w:p>
        </w:tc>
        <w:tc>
          <w:tcPr>
            <w:tcW w:type="dxa" w:w="26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通知结果</w:t>
            </w:r>
          </w:p>
        </w:tc>
        <w:tc>
          <w:tcPr>
            <w:tcW w:type="dxa" w:w="43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类型、接收范围、状态、重试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12.2 运营看板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使用概览：访问人数、免登成功率、PC / 移动占比、活跃部门。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搜索质量：搜索次数、零结果词、低点击词、搜索后服务跳转词。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内容质量：访问量、正向反馈率、未解决原因、即将到期和过期知识。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服务闭环：文章详情跳转、零结果跳转、跳转成功率、最常引发服务申请的知识。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运营效率：新增、审核、发布、驳回、平均审核时长、负责人逾期情况。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12.3 数据使用边界</w:t>
      </w:r>
    </w:p>
    <w:p>
      <w:pPr>
        <w:keepLines/>
      </w:pPr>
      <w:r>
        <w:rPr>
          <w:rFonts w:ascii="Calibri" w:hAnsi="Calibri" w:eastAsia="Noto Sans SC" w:cs="Calibri"/>
          <w:b w:val="0"/>
          <w:i w:val="0"/>
        </w:rPr>
        <w:t>运营分析以改进知识覆盖和体验为目的，不默认用于员工绩效考核。搜索原文可能包含敏感信息，应限制访问、设置保留期限，并优先采用聚合和脱敏数据。</w:t>
      </w:r>
    </w:p>
    <w:p>
      <w:pPr>
        <w:pStyle w:val="Heading1"/>
      </w:pPr>
      <w:r>
        <w:rPr>
          <w:rFonts w:ascii="Calibri" w:hAnsi="Calibri" w:eastAsia="Noto Sans SC" w:cs="Calibri"/>
          <w:b/>
          <w:color w:val="2E74B5"/>
        </w:rPr>
        <w:t>13. 验收标准</w:t>
      </w:r>
    </w:p>
    <w:p>
      <w:pPr>
        <w:spacing w:after="160"/>
        <w:keepLines/>
      </w:pPr>
      <w:r>
        <w:rPr>
          <w:rFonts w:ascii="Calibri" w:hAnsi="Calibri" w:eastAsia="Noto Sans SC" w:cs="Calibri"/>
          <w:color w:val="0B2545"/>
          <w:sz w:val="22"/>
        </w:rPr>
        <w:t>以下为 V1.1 上线验收底线。P0 项必须全部通过；P1 项按项目计划确定是否作为正式上线门槛。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400"/>
        <w:gridCol w:w="5660"/>
        <w:gridCol w:w="1100"/>
      </w:tblGrid>
      <w:tr>
        <w:trPr>
          <w:tblHeader w:val="true"/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7"/>
              </w:rPr>
              <w:t>编号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7"/>
              </w:rPr>
              <w:t>领域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7"/>
              </w:rPr>
              <w:t>验收条件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7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AC-01</w:t>
            </w:r>
          </w:p>
        </w:tc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入口</w:t>
            </w:r>
          </w:p>
        </w:tc>
        <w:tc>
          <w:tcPr>
            <w:tcW w:type="dxa" w:w="56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员工可从钉钉工作台在 PC 与手机端打开知识库。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AC-02</w:t>
            </w:r>
          </w:p>
        </w:tc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免登</w:t>
            </w:r>
          </w:p>
        </w:tc>
        <w:tc>
          <w:tcPr>
            <w:tcW w:type="dxa" w:w="56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已授权员工正常情况下无需输入账号密码，后端可识别可信用户身份。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AC-03</w:t>
            </w:r>
          </w:p>
        </w:tc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拒绝访问</w:t>
            </w:r>
          </w:p>
        </w:tc>
        <w:tc>
          <w:tcPr>
            <w:tcW w:type="dxa" w:w="56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无范围、禁用或离职用户不能访问内容，且错误页不泄露知识信息。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AC-04</w:t>
            </w:r>
          </w:p>
        </w:tc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搜索</w:t>
            </w:r>
          </w:p>
        </w:tc>
        <w:tc>
          <w:tcPr>
            <w:tcW w:type="dxa" w:w="56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标题、正文、标签和分类可检索；筛选、排序、高亮和零结果处理可用。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AC-05</w:t>
            </w:r>
          </w:p>
        </w:tc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知识详情</w:t>
            </w:r>
          </w:p>
        </w:tc>
        <w:tc>
          <w:tcPr>
            <w:tcW w:type="dxa" w:w="56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步骤、图片、适用范围、风险提示、版本、反馈和服务入口完整展示。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AC-06</w:t>
            </w:r>
          </w:p>
        </w:tc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移动适配</w:t>
            </w:r>
          </w:p>
        </w:tc>
        <w:tc>
          <w:tcPr>
            <w:tcW w:type="dxa" w:w="56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核心流程在钉钉移动端无横向溢出、遮挡、不可点击或无法返回问题。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AC-07</w:t>
            </w:r>
          </w:p>
        </w:tc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内容流程</w:t>
            </w:r>
          </w:p>
        </w:tc>
        <w:tc>
          <w:tcPr>
            <w:tcW w:type="dxa" w:w="56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草稿、提交、审核通过 / 驳回、发布、下架和历史版本链路完整。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AC-08</w:t>
            </w:r>
          </w:p>
        </w:tc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权限</w:t>
            </w:r>
          </w:p>
        </w:tc>
        <w:tc>
          <w:tcPr>
            <w:tcW w:type="dxa" w:w="56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全员、部门、角色、仅 IT 和管理员范围均通过正反向测试。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AC-09</w:t>
            </w:r>
          </w:p>
        </w:tc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附件</w:t>
            </w:r>
          </w:p>
        </w:tc>
        <w:tc>
          <w:tcPr>
            <w:tcW w:type="dxa" w:w="56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无权限用户不能通过直链访问附件。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AC-10</w:t>
            </w:r>
          </w:p>
        </w:tc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通知</w:t>
            </w:r>
          </w:p>
        </w:tc>
        <w:tc>
          <w:tcPr>
            <w:tcW w:type="dxa" w:w="56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待审核和审核结果通知可到达正确人员，链接直达正确页面且不重复发送。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AC-11</w:t>
            </w:r>
          </w:p>
        </w:tc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服务跳转</w:t>
            </w:r>
          </w:p>
        </w:tc>
        <w:tc>
          <w:tcPr>
            <w:tcW w:type="dxa" w:w="56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文章未解决和零结果页均可打开现有 IT 服务入口；失败有降级方案。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AC-12</w:t>
            </w:r>
          </w:p>
        </w:tc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状态</w:t>
            </w:r>
          </w:p>
        </w:tc>
        <w:tc>
          <w:tcPr>
            <w:tcW w:type="dxa" w:w="56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已下架 / 已归档知识不出现在员工搜索；历史链接有明确提示。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AC-13</w:t>
            </w:r>
          </w:p>
        </w:tc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性能</w:t>
            </w:r>
          </w:p>
        </w:tc>
        <w:tc>
          <w:tcPr>
            <w:tcW w:type="dxa" w:w="56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首页、搜索和详情达到第 11 章目标，完成真实数据量压测。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AC-14</w:t>
            </w:r>
          </w:p>
        </w:tc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日志审计</w:t>
            </w:r>
          </w:p>
        </w:tc>
        <w:tc>
          <w:tcPr>
            <w:tcW w:type="dxa" w:w="56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登录、权限、发布、下架、通知、同步和配置操作可追溯。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AC-15</w:t>
            </w:r>
          </w:p>
        </w:tc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备份恢复</w:t>
            </w:r>
          </w:p>
        </w:tc>
        <w:tc>
          <w:tcPr>
            <w:tcW w:type="dxa" w:w="56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完成至少一次备份恢复演练并记录结果。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AC-16</w:t>
            </w:r>
          </w:p>
        </w:tc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运营数据</w:t>
            </w:r>
          </w:p>
        </w:tc>
        <w:tc>
          <w:tcPr>
            <w:tcW w:type="dxa" w:w="56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可查看搜索、零结果、反馈和服务跳转基础指标。</w:t>
            </w:r>
          </w:p>
        </w:tc>
        <w:tc>
          <w:tcPr>
            <w:tcW w:type="dxa" w:w="1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P1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13.1 关键测试场景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测试维度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覆盖场景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身份</w:t>
            </w:r>
          </w:p>
        </w:tc>
        <w:tc>
          <w:tcPr>
            <w:tcW w:type="dxa" w:w="73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正常员工、跨部门员工、禁用用户、离职用户、移出应用范围用户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终端</w:t>
            </w:r>
          </w:p>
        </w:tc>
        <w:tc>
          <w:tcPr>
            <w:tcW w:type="dxa" w:w="73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Windows PC 钉钉、iOS 钉钉、Android 钉钉、外部浏览器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权限</w:t>
            </w:r>
          </w:p>
        </w:tc>
        <w:tc>
          <w:tcPr>
            <w:tcW w:type="dxa" w:w="73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全员知识、部门知识、仅 IT 知识、管理员知识、附件直链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内容</w:t>
            </w:r>
          </w:p>
        </w:tc>
        <w:tc>
          <w:tcPr>
            <w:tcW w:type="dxa" w:w="73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新建、驳回重提、版本更新、过期、紧急下架、归档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异常</w:t>
            </w:r>
          </w:p>
        </w:tc>
        <w:tc>
          <w:tcPr>
            <w:tcW w:type="dxa" w:w="73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钉钉超时、免登失败、通知失败、搜索不可用、服务入口失效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性能</w:t>
            </w:r>
          </w:p>
        </w:tc>
        <w:tc>
          <w:tcPr>
            <w:tcW w:type="dxa" w:w="73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热门查询、复杂筛选、大图文章、并发登录与批量通知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rPr>
          <w:rFonts w:ascii="Calibri" w:hAnsi="Calibri" w:eastAsia="Noto Sans SC" w:cs="Calibri"/>
          <w:b/>
          <w:color w:val="2E74B5"/>
        </w:rPr>
        <w:t>14. 上线与运营方案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14.1 上线步骤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1. </w:t>
      </w:r>
      <w:r>
        <w:rPr>
          <w:rFonts w:ascii="Calibri" w:hAnsi="Calibri" w:eastAsia="Noto Sans SC" w:cs="Calibri"/>
          <w:sz w:val="22"/>
        </w:rPr>
        <w:t>需求与原型评审：确认 V1.1 范围、页面、字段、角色、验收和待确认项。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2. </w:t>
      </w:r>
      <w:r>
        <w:rPr>
          <w:rFonts w:ascii="Calibri" w:hAnsi="Calibri" w:eastAsia="Noto Sans SC" w:cs="Calibri"/>
          <w:sz w:val="22"/>
        </w:rPr>
        <w:t>环境准备：完成域名、HTTPS、服务器、数据库、搜索、对象存储、监控和备份。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3. </w:t>
      </w:r>
      <w:r>
        <w:rPr>
          <w:rFonts w:ascii="Calibri" w:hAnsi="Calibri" w:eastAsia="Noto Sans SC" w:cs="Calibri"/>
          <w:sz w:val="22"/>
        </w:rPr>
        <w:t>钉钉测试应用：配置测试地址、最小权限与试点可使用范围，验证免登和通知。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4. </w:t>
      </w:r>
      <w:r>
        <w:rPr>
          <w:rFonts w:ascii="Calibri" w:hAnsi="Calibri" w:eastAsia="Noto Sans SC" w:cs="Calibri"/>
          <w:sz w:val="22"/>
        </w:rPr>
        <w:t>首批知识建设：优先覆盖高频故障、新员工场景和现有 ITSM 常见服务。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5. </w:t>
      </w:r>
      <w:r>
        <w:rPr>
          <w:rFonts w:ascii="Calibri" w:hAnsi="Calibri" w:eastAsia="Noto Sans SC" w:cs="Calibri"/>
          <w:sz w:val="22"/>
        </w:rPr>
        <w:t>集成与系统测试：完成端到端、权限、兼容性、安全、性能与恢复测试。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6. </w:t>
      </w:r>
      <w:r>
        <w:rPr>
          <w:rFonts w:ascii="Calibri" w:hAnsi="Calibri" w:eastAsia="Noto Sans SC" w:cs="Calibri"/>
          <w:sz w:val="22"/>
        </w:rPr>
        <w:t>试点上线：选择 IT 团队及一个或两个业务部门，收集搜索和反馈数据。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7. </w:t>
      </w:r>
      <w:r>
        <w:rPr>
          <w:rFonts w:ascii="Calibri" w:hAnsi="Calibri" w:eastAsia="Noto Sans SC" w:cs="Calibri"/>
          <w:sz w:val="22"/>
        </w:rPr>
        <w:t>正式发布：扩大钉钉应用范围，发布使用指南和反馈渠道。</w:t>
      </w:r>
    </w:p>
    <w:p>
      <w:pPr>
        <w:spacing w:after="60"/>
        <w:ind w:left="351" w:hanging="351"/>
        <w:keepLines/>
      </w:pPr>
      <w:r>
        <w:rPr>
          <w:rFonts w:ascii="Calibri" w:hAnsi="Calibri" w:eastAsia="Noto Sans SC" w:cs="Calibri"/>
          <w:b/>
          <w:color w:val="1F4D78"/>
          <w:sz w:val="22"/>
        </w:rPr>
        <w:t xml:space="preserve">8. </w:t>
      </w:r>
      <w:r>
        <w:rPr>
          <w:rFonts w:ascii="Calibri" w:hAnsi="Calibri" w:eastAsia="Noto Sans SC" w:cs="Calibri"/>
          <w:sz w:val="22"/>
        </w:rPr>
        <w:t>运营复盘：上线后第 1、2、4 周复盘零结果词、未解决知识、免登错误和服务跳转。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14.2 首批知识建设建议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6060"/>
        <w:gridCol w:w="1900"/>
      </w:tblGrid>
      <w:tr>
        <w:trPr>
          <w:tblHeader w:val="true"/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内容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建议数量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第一批</w:t>
            </w:r>
          </w:p>
        </w:tc>
        <w:tc>
          <w:tcPr>
            <w:tcW w:type="dxa" w:w="6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密码重置、网络、VPN、打印、常用软件、钉钉 / OA 登录、新员工指南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30—50 篇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第二批</w:t>
            </w:r>
          </w:p>
        </w:tc>
        <w:tc>
          <w:tcPr>
            <w:tcW w:type="dxa" w:w="6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ERP 等企业系统、信息安全、设备使用、远程访问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30—50 篇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第三批</w:t>
            </w:r>
          </w:p>
        </w:tc>
        <w:tc>
          <w:tcPr>
            <w:tcW w:type="dxa" w:w="6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IT 内部 SOP、典型运维案例、应急预案</w:t>
            </w:r>
          </w:p>
        </w:tc>
        <w:tc>
          <w:tcPr>
            <w:tcW w:type="dxa" w:w="1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按权限逐步建设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14.3 运营职责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产品 / 项目负责人</w:t>
            </w:r>
          </w:p>
        </w:tc>
        <w:tc>
          <w:tcPr>
            <w:tcW w:type="dxa" w:w="6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范围、优先级、跨团队协调、版本验收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知识库管理员</w:t>
            </w:r>
          </w:p>
        </w:tc>
        <w:tc>
          <w:tcPr>
            <w:tcW w:type="dxa" w:w="6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分类、模板、权限、质量规则、运营数据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知识负责人</w:t>
            </w:r>
          </w:p>
        </w:tc>
        <w:tc>
          <w:tcPr>
            <w:tcW w:type="dxa" w:w="6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内容准确性、更新与复审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审核员</w:t>
            </w:r>
          </w:p>
        </w:tc>
        <w:tc>
          <w:tcPr>
            <w:tcW w:type="dxa" w:w="6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技术、安全、可读性与适用范围审核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钉钉管理员</w:t>
            </w:r>
          </w:p>
        </w:tc>
        <w:tc>
          <w:tcPr>
            <w:tcW w:type="dxa" w:w="6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应用配置、权限申请、可使用范围与发布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系统运维</w:t>
            </w:r>
          </w:p>
        </w:tc>
        <w:tc>
          <w:tcPr>
            <w:tcW w:type="dxa" w:w="6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部署、监控、备份、故障与容量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rPr>
          <w:rFonts w:ascii="Calibri" w:hAnsi="Calibri" w:eastAsia="Noto Sans SC" w:cs="Calibri"/>
          <w:b/>
          <w:color w:val="2E74B5"/>
        </w:rPr>
        <w:t>15. 风险、依赖与待确认项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15.1 主要风险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40"/>
        <w:gridCol w:w="900"/>
        <w:gridCol w:w="4720"/>
      </w:tblGrid>
      <w:tr>
        <w:trPr>
          <w:tblHeader w:val="true"/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7"/>
              </w:rPr>
              <w:t>编号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7"/>
              </w:rPr>
              <w:t>等级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7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R-01</w:t>
            </w:r>
          </w:p>
        </w:tc>
        <w:tc>
          <w:tcPr>
            <w:tcW w:type="dxa" w:w="284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首批内容不足，员工搜索后仍找不到答案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高</w:t>
            </w:r>
          </w:p>
        </w:tc>
        <w:tc>
          <w:tcPr>
            <w:tcW w:type="dxa" w:w="472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先以 ITSM 高频问题和新员工场景建设 30—50 篇；上线后每周补齐零结果词。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R-02</w:t>
            </w:r>
          </w:p>
        </w:tc>
        <w:tc>
          <w:tcPr>
            <w:tcW w:type="dxa" w:w="284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钉钉权限申请或应用发布延期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高</w:t>
            </w:r>
          </w:p>
        </w:tc>
        <w:tc>
          <w:tcPr>
            <w:tcW w:type="dxa" w:w="472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尽早建立测试应用并确认管理员、权限和发布流程。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R-03</w:t>
            </w:r>
          </w:p>
        </w:tc>
        <w:tc>
          <w:tcPr>
            <w:tcW w:type="dxa" w:w="284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把钉钉可见范围误当成全部权限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高</w:t>
            </w:r>
          </w:p>
        </w:tc>
        <w:tc>
          <w:tcPr>
            <w:tcW w:type="dxa" w:w="472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平台服务端 RBAC 和数据范围必须独立实现并测试。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R-04</w:t>
            </w:r>
          </w:p>
        </w:tc>
        <w:tc>
          <w:tcPr>
            <w:tcW w:type="dxa" w:w="284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知识过期导致错误操作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高</w:t>
            </w:r>
          </w:p>
        </w:tc>
        <w:tc>
          <w:tcPr>
            <w:tcW w:type="dxa" w:w="472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强制负责人、复审日期、风险等级和下架机制。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R-05</w:t>
            </w:r>
          </w:p>
        </w:tc>
        <w:tc>
          <w:tcPr>
            <w:tcW w:type="dxa" w:w="284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手机端截图与长步骤难以阅读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中</w:t>
            </w:r>
          </w:p>
        </w:tc>
        <w:tc>
          <w:tcPr>
            <w:tcW w:type="dxa" w:w="472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移动端专项设计；步骤拆分、图片放大、PC 提示。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R-06</w:t>
            </w:r>
          </w:p>
        </w:tc>
        <w:tc>
          <w:tcPr>
            <w:tcW w:type="dxa" w:w="284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通知过多导致员工忽略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中</w:t>
            </w:r>
          </w:p>
        </w:tc>
        <w:tc>
          <w:tcPr>
            <w:tcW w:type="dxa" w:w="472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仅发送必要通知，使用范围、频控、汇总和退订策略。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R-07</w:t>
            </w:r>
          </w:p>
        </w:tc>
        <w:tc>
          <w:tcPr>
            <w:tcW w:type="dxa" w:w="284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现有 OA / 多维表不支持预填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中</w:t>
            </w:r>
          </w:p>
        </w:tc>
        <w:tc>
          <w:tcPr>
            <w:tcW w:type="dxa" w:w="472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V1.1 将稳定跳转设为 P0，预填为 P1，并提供复制问题描述。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R-08</w:t>
            </w:r>
          </w:p>
        </w:tc>
        <w:tc>
          <w:tcPr>
            <w:tcW w:type="dxa" w:w="284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搜索日志包含敏感信息</w:t>
            </w:r>
          </w:p>
        </w:tc>
        <w:tc>
          <w:tcPr>
            <w:tcW w:type="dxa" w:w="9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7"/>
              </w:rPr>
              <w:t>中</w:t>
            </w:r>
          </w:p>
        </w:tc>
        <w:tc>
          <w:tcPr>
            <w:tcW w:type="dxa" w:w="472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7"/>
              </w:rPr>
              <w:t>脱敏、访问控制、保留期和敏感词检测。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15.2 外部依赖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钉钉企业内部应用创建、权限申请、可使用范围、首页地址和发布管理权限。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公司域名、HTTPS 证书、服务器、数据库、对象存储、网络与安全策略。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现有钉钉 IT 服务表单 / OA 审批的稳定链接与可选预填能力。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组织通讯录字段的可用性、数据质量和离职处理机制。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" w:cs="Calibri"/>
          <w:sz w:val="22"/>
        </w:rPr>
        <w:t>IT 内容负责人、审核人和知识运营时间投入。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</w:rPr>
        <w:t>15.3 待确认项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6060"/>
        <w:gridCol w:w="2100"/>
      </w:tblGrid>
      <w:tr>
        <w:trPr>
          <w:tblHeader w:val="true"/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待确认事项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8"/>
              </w:rPr>
              <w:t>建议责任人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TBD-01</w:t>
            </w:r>
          </w:p>
        </w:tc>
        <w:tc>
          <w:tcPr>
            <w:tcW w:type="dxa" w:w="6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正式产品名称与钉钉工作台图标 / 文案</w:t>
            </w:r>
          </w:p>
        </w:tc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产品负责人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TBD-02</w:t>
            </w:r>
          </w:p>
        </w:tc>
        <w:tc>
          <w:tcPr>
            <w:tcW w:type="dxa" w:w="6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试点部门、正式可使用范围与员工规模</w:t>
            </w:r>
          </w:p>
        </w:tc>
        <w:tc>
          <w:tcPr>
            <w:tcW w:type="dxa" w:w="21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IT 负责人 / 钉钉管理员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TBD-03</w:t>
            </w:r>
          </w:p>
        </w:tc>
        <w:tc>
          <w:tcPr>
            <w:tcW w:type="dxa" w:w="6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部署位置：内网、云服务器或混合部署</w:t>
            </w:r>
          </w:p>
        </w:tc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架构 / 安全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TBD-04</w:t>
            </w:r>
          </w:p>
        </w:tc>
        <w:tc>
          <w:tcPr>
            <w:tcW w:type="dxa" w:w="6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备用登录是否启用及其安全策略</w:t>
            </w:r>
          </w:p>
        </w:tc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安全 / 产品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TBD-05</w:t>
            </w:r>
          </w:p>
        </w:tc>
        <w:tc>
          <w:tcPr>
            <w:tcW w:type="dxa" w:w="6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需要同步的通讯录字段和数据保留期限</w:t>
            </w:r>
          </w:p>
        </w:tc>
        <w:tc>
          <w:tcPr>
            <w:tcW w:type="dxa" w:w="21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安全 / 人力 / IT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TBD-06</w:t>
            </w:r>
          </w:p>
        </w:tc>
        <w:tc>
          <w:tcPr>
            <w:tcW w:type="dxa" w:w="6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知识过期后的默认展示策略与高风险知识标准</w:t>
            </w:r>
          </w:p>
        </w:tc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知识库管理员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TBD-07</w:t>
            </w:r>
          </w:p>
        </w:tc>
        <w:tc>
          <w:tcPr>
            <w:tcW w:type="dxa" w:w="6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现有 IT 服务表单是否支持参数预填</w:t>
            </w:r>
          </w:p>
        </w:tc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ITSM 负责人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TBD-08</w:t>
            </w:r>
          </w:p>
        </w:tc>
        <w:tc>
          <w:tcPr>
            <w:tcW w:type="dxa" w:w="6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可用性、RPO、RTO 与并发容量最终指标</w:t>
            </w:r>
          </w:p>
        </w:tc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运维 / 架构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TBD-09</w:t>
            </w:r>
          </w:p>
        </w:tc>
        <w:tc>
          <w:tcPr>
            <w:tcW w:type="dxa" w:w="60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8"/>
              </w:rPr>
              <w:t>首批知识清单、负责人和复审周期</w:t>
            </w:r>
          </w:p>
        </w:tc>
        <w:tc>
          <w:tcPr>
            <w:tcW w:type="dxa" w:w="21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8"/>
              </w:rPr>
              <w:t>IT 运维团队</w:t>
            </w:r>
          </w:p>
        </w:tc>
      </w:tr>
    </w:tbl>
    <w:p>
      <w:pPr>
        <w:spacing w:before="8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pStyle w:val="TableText"/>
            </w:pPr>
            <w:r>
              <w:rPr>
                <w:rFonts w:ascii="Calibri" w:hAnsi="Calibri" w:eastAsia="Noto Sans SC" w:cs="Calibri"/>
                <w:b/>
                <w:color w:val="7A5A00"/>
                <w:sz w:val="20"/>
              </w:rPr>
              <w:t xml:space="preserve">评审建议  </w:t>
            </w:r>
            <w:r>
              <w:rPr>
                <w:rFonts w:ascii="Calibri" w:hAnsi="Calibri" w:eastAsia="Noto Sans SC" w:cs="Calibri"/>
                <w:color w:val="0B2545"/>
                <w:sz w:val="20"/>
              </w:rPr>
              <w:t>先确认 TBD-02、TBD-03、TBD-05、TBD-07 和 TBD-09。它们会直接影响技术方案、数据字段、验收环境和上线时间。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Noto Sans SC" w:cs="Calibri"/>
          <w:b/>
          <w:color w:val="2E74B5"/>
        </w:rPr>
        <w:t>附录 A：需求优先级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00"/>
        <w:gridCol w:w="2960"/>
      </w:tblGrid>
      <w:tr>
        <w:trPr>
          <w:tblHeader w:val="true"/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级别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定义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发布原则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P0</w:t>
            </w:r>
          </w:p>
        </w:tc>
        <w:tc>
          <w:tcPr>
            <w:tcW w:type="dxa" w:w="50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核心链路、权限、安全、数据正确性或上线必要能力</w:t>
            </w:r>
          </w:p>
        </w:tc>
        <w:tc>
          <w:tcPr>
            <w:tcW w:type="dxa" w:w="2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未完成或未通过验收不得正式上线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P1</w:t>
            </w:r>
          </w:p>
        </w:tc>
        <w:tc>
          <w:tcPr>
            <w:tcW w:type="dxa" w:w="50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显著提升体验、运营与维护效率的能力</w:t>
            </w:r>
          </w:p>
        </w:tc>
        <w:tc>
          <w:tcPr>
            <w:tcW w:type="dxa" w:w="2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建议随 V1.1 完成；可经评审后顺延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P2</w:t>
            </w:r>
          </w:p>
        </w:tc>
        <w:tc>
          <w:tcPr>
            <w:tcW w:type="dxa" w:w="50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增强能力或后续扩展</w:t>
            </w:r>
          </w:p>
        </w:tc>
        <w:tc>
          <w:tcPr>
            <w:tcW w:type="dxa" w:w="29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进入后续版本规划，不阻塞 V1.1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rPr>
          <w:rFonts w:ascii="Calibri" w:hAnsi="Calibri" w:eastAsia="Noto Sans SC" w:cs="Calibri"/>
          <w:b/>
          <w:color w:val="2E74B5"/>
        </w:rPr>
        <w:t>附录 B：术语表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术语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PRD</w:t>
            </w:r>
          </w:p>
        </w:tc>
        <w:tc>
          <w:tcPr>
            <w:tcW w:type="dxa" w:w="7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Product Requirements Document，产品需求文档。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H5 微应用</w:t>
            </w:r>
          </w:p>
        </w:tc>
        <w:tc>
          <w:tcPr>
            <w:tcW w:type="dxa" w:w="7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在钉钉工作台中打开的网页应用，实际业务系统可部署在企业自有基础设施中。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免登</w:t>
            </w:r>
          </w:p>
        </w:tc>
        <w:tc>
          <w:tcPr>
            <w:tcW w:type="dxa" w:w="7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员工在钉钉内进入应用时，通过授权码换取可信身份，无需再次输入账号密码。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corpId</w:t>
            </w:r>
          </w:p>
        </w:tc>
        <w:tc>
          <w:tcPr>
            <w:tcW w:type="dxa" w:w="7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钉钉企业组织标识。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dingUserId</w:t>
            </w:r>
          </w:p>
        </w:tc>
        <w:tc>
          <w:tcPr>
            <w:tcW w:type="dxa" w:w="7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员工在特定钉钉企业内的用户标识。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unionId</w:t>
            </w:r>
          </w:p>
        </w:tc>
        <w:tc>
          <w:tcPr>
            <w:tcW w:type="dxa" w:w="7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用于跨应用或开放场景识别人员的标识，具体使用以钉钉授权能力为准。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RBAC</w:t>
            </w:r>
          </w:p>
        </w:tc>
        <w:tc>
          <w:tcPr>
            <w:tcW w:type="dxa" w:w="7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Role-Based Access Control，基于角色的访问控制。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知识空间</w:t>
            </w:r>
          </w:p>
        </w:tc>
        <w:tc>
          <w:tcPr>
            <w:tcW w:type="dxa" w:w="7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用于区分员工知识、IT 内部知识等管理与可见边界。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RPO</w:t>
            </w:r>
          </w:p>
        </w:tc>
        <w:tc>
          <w:tcPr>
            <w:tcW w:type="dxa" w:w="7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可接受的数据恢复点目标。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RTO</w:t>
            </w:r>
          </w:p>
        </w:tc>
        <w:tc>
          <w:tcPr>
            <w:tcW w:type="dxa" w:w="716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服务从故障到恢复的目标时间。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rPr>
          <w:rFonts w:ascii="Calibri" w:hAnsi="Calibri" w:eastAsia="Noto Sans SC" w:cs="Calibri"/>
          <w:b/>
          <w:color w:val="2E74B5"/>
        </w:rPr>
        <w:t>附录 C：钉钉官方参考资料</w:t>
      </w:r>
    </w:p>
    <w:p>
      <w:pPr>
        <w:keepLines/>
      </w:pPr>
      <w:r>
        <w:rPr>
          <w:rFonts w:ascii="Calibri" w:hAnsi="Calibri" w:eastAsia="Noto Sans SC" w:cs="Calibri"/>
          <w:b w:val="0"/>
          <w:i w:val="0"/>
        </w:rPr>
        <w:t>以下资料用于确认企业内部 H5 微应用、PC / 移动首页地址、免登、应用可使用范围和工作通知能力。开发前应再次核对钉钉开放平台的最新接口、权限和限制。</w:t>
      </w:r>
    </w:p>
    <w:p>
      <w:pPr>
        <w:pStyle w:val="SmallNote"/>
      </w:pPr>
      <w:r>
        <w:rPr>
          <w:rFonts w:ascii="Calibri" w:hAnsi="Calibri" w:eastAsia="Noto Sans SC" w:cs="Calibri"/>
          <w:b/>
          <w:color w:val="0B2545"/>
          <w:sz w:val="18"/>
        </w:rPr>
        <w:t>创建并发布第一个网页应用（H5 微应用）：</w:t>
      </w:r>
      <w:hyperlink r:id="rId11">
        <w:r>
          <w:rPr>
            <w:rFonts w:ascii="Calibri" w:hAnsi="Calibri" w:eastAsia="Noto Sans SC"/>
            <w:color w:val="2E74B5"/>
            <w:u w:val="single"/>
          </w:rPr>
          <w:t>https://open.dingtalk.com/document/orgapp/create-and-publish-your-first-web-app-h5-micro-app</w:t>
        </w:r>
      </w:hyperlink>
    </w:p>
    <w:p>
      <w:pPr>
        <w:pStyle w:val="SmallNote"/>
      </w:pPr>
      <w:r>
        <w:rPr>
          <w:rFonts w:ascii="Calibri" w:hAnsi="Calibri" w:eastAsia="Noto Sans SC" w:cs="Calibri"/>
          <w:b/>
          <w:color w:val="0B2545"/>
          <w:sz w:val="18"/>
        </w:rPr>
        <w:t>网页应用（H5 微应用）免登：</w:t>
      </w:r>
      <w:hyperlink r:id="rId12">
        <w:r>
          <w:rPr>
            <w:rFonts w:ascii="Calibri" w:hAnsi="Calibri" w:eastAsia="Noto Sans SC"/>
            <w:color w:val="2E74B5"/>
            <w:u w:val="single"/>
          </w:rPr>
          <w:t>https://open.dingtalk.com/document/development/enterprise-internal-application-logon-free</w:t>
        </w:r>
      </w:hyperlink>
    </w:p>
    <w:p>
      <w:pPr>
        <w:pStyle w:val="SmallNote"/>
      </w:pPr>
      <w:r>
        <w:rPr>
          <w:rFonts w:ascii="Calibri" w:hAnsi="Calibri" w:eastAsia="Noto Sans SC" w:cs="Calibri"/>
          <w:b/>
          <w:color w:val="0B2545"/>
          <w:sz w:val="18"/>
        </w:rPr>
        <w:t>设置应用的可使用范围：</w:t>
      </w:r>
      <w:hyperlink r:id="rId13">
        <w:r>
          <w:rPr>
            <w:rFonts w:ascii="Calibri" w:hAnsi="Calibri" w:eastAsia="Noto Sans SC"/>
            <w:color w:val="2E74B5"/>
            <w:u w:val="single"/>
          </w:rPr>
          <w:t>https://open.dingtalk.com/document/orgapp/application-visible-range</w:t>
        </w:r>
      </w:hyperlink>
    </w:p>
    <w:p>
      <w:pPr>
        <w:pStyle w:val="SmallNote"/>
      </w:pPr>
      <w:r>
        <w:rPr>
          <w:rFonts w:ascii="Calibri" w:hAnsi="Calibri" w:eastAsia="Noto Sans SC" w:cs="Calibri"/>
          <w:b/>
          <w:color w:val="0B2545"/>
          <w:sz w:val="18"/>
        </w:rPr>
        <w:t>发送工作通知：</w:t>
      </w:r>
      <w:hyperlink r:id="rId14">
        <w:r>
          <w:rPr>
            <w:rFonts w:ascii="Calibri" w:hAnsi="Calibri" w:eastAsia="Noto Sans SC"/>
            <w:color w:val="2E74B5"/>
            <w:u w:val="single"/>
          </w:rPr>
          <w:t>https://open.dingtalk.com/document/orgapp-server/asynchronous-sending-of-enterprise-session-messages</w:t>
        </w:r>
      </w:hyperlink>
    </w:p>
    <w:p>
      <w:pPr>
        <w:pStyle w:val="Heading1"/>
      </w:pPr>
      <w:r>
        <w:rPr>
          <w:rFonts w:ascii="Calibri" w:hAnsi="Calibri" w:eastAsia="Noto Sans SC" w:cs="Calibri"/>
          <w:b/>
          <w:color w:val="2E74B5"/>
        </w:rPr>
        <w:t>附录 D：V1.1 评审结论模板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700"/>
        <w:gridCol w:w="4260"/>
      </w:tblGrid>
      <w:tr>
        <w:trPr>
          <w:tblHeader w:val="true"/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评审项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结论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TableHeader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意见 / 责任人 / 截止日期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产品范围</w:t>
            </w:r>
          </w:p>
        </w:tc>
        <w:tc>
          <w:tcPr>
            <w:tcW w:type="dxa" w:w="27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同意 / 有条件同意 / 不同意</w:t>
            </w:r>
          </w:p>
        </w:tc>
        <w:tc>
          <w:tcPr>
            <w:tcW w:type="dxa" w:w="426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钉钉集成方案</w:t>
            </w:r>
          </w:p>
        </w:tc>
        <w:tc>
          <w:tcPr>
            <w:tcW w:type="dxa" w:w="27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同意 / 有条件同意 / 不同意</w:t>
            </w:r>
          </w:p>
        </w:tc>
        <w:tc>
          <w:tcPr>
            <w:tcW w:type="dxa" w:w="426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用户与权限模型</w:t>
            </w:r>
          </w:p>
        </w:tc>
        <w:tc>
          <w:tcPr>
            <w:tcW w:type="dxa" w:w="27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同意 / 有条件同意 / 不同意</w:t>
            </w:r>
          </w:p>
        </w:tc>
        <w:tc>
          <w:tcPr>
            <w:tcW w:type="dxa" w:w="426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数据与安全要求</w:t>
            </w:r>
          </w:p>
        </w:tc>
        <w:tc>
          <w:tcPr>
            <w:tcW w:type="dxa" w:w="27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同意 / 有条件同意 / 不同意</w:t>
            </w:r>
          </w:p>
        </w:tc>
        <w:tc>
          <w:tcPr>
            <w:tcW w:type="dxa" w:w="426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验收标准</w:t>
            </w:r>
          </w:p>
        </w:tc>
        <w:tc>
          <w:tcPr>
            <w:tcW w:type="dxa" w:w="27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同意 / 有条件同意 / 不同意</w:t>
            </w:r>
          </w:p>
        </w:tc>
        <w:tc>
          <w:tcPr>
            <w:tcW w:type="dxa" w:w="426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  <w:t>上线计划</w:t>
            </w:r>
          </w:p>
        </w:tc>
        <w:tc>
          <w:tcPr>
            <w:tcW w:type="dxa" w:w="2700"/>
          </w:tcPr>
          <w:p>
            <w:pPr>
              <w:pStyle w:val="TableText"/>
              <w:jc w:val="left"/>
            </w:pPr>
            <w:r>
              <w:rPr>
                <w:rFonts w:ascii="Calibri" w:hAnsi="Calibri" w:eastAsia="Noto Sans SC" w:cs="Calibri"/>
                <w:sz w:val="19"/>
              </w:rPr>
              <w:t>同意 / 有条件同意 / 不同意</w:t>
            </w:r>
          </w:p>
        </w:tc>
        <w:tc>
          <w:tcPr>
            <w:tcW w:type="dxa" w:w="4260"/>
          </w:tcPr>
          <w:p>
            <w:pPr>
              <w:pStyle w:val="TableText"/>
              <w:jc w:val="center"/>
            </w:pPr>
            <w:r>
              <w:rPr>
                <w:rFonts w:ascii="Calibri" w:hAnsi="Calibri" w:eastAsia="Noto Sans SC" w:cs="Calibri"/>
                <w:sz w:val="19"/>
              </w:rPr>
            </w:r>
          </w:p>
        </w:tc>
      </w:tr>
    </w:tbl>
    <w:p>
      <w:pPr>
        <w:spacing w:before="80" w:after="0"/>
      </w:pPr>
    </w:p>
    <w:p>
      <w:pPr>
        <w:keepLines/>
      </w:pPr>
      <w:r>
        <w:rPr>
          <w:rFonts w:ascii="Calibri" w:hAnsi="Calibri" w:eastAsia="Noto Sans SC" w:cs="Calibri"/>
          <w:b w:val="0"/>
          <w:i w:val="0"/>
          <w:sz w:val="20"/>
        </w:rPr>
        <w:t>最终结论：____________________________________________________________</w:t>
      </w:r>
    </w:p>
    <w:p>
      <w:pPr>
        <w:keepLines/>
      </w:pPr>
      <w:r>
        <w:rPr>
          <w:rFonts w:ascii="Calibri" w:hAnsi="Calibri" w:eastAsia="Noto Sans SC" w:cs="Calibri"/>
          <w:b w:val="0"/>
          <w:i w:val="0"/>
          <w:sz w:val="20"/>
        </w:rPr>
        <w:t>批准人：__________________    日期：__________________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Calibri" w:hAnsi="Calibri" w:eastAsia="Noto Sans SC" w:cs="Calibri"/>
              <w:color w:val="667085"/>
              <w:sz w:val="17"/>
            </w:rPr>
            <w:t>内部资料 · 2026-07-30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Noto Sans SC" w:cs="Calibri"/>
              <w:color w:val="667085"/>
              <w:sz w:val="17"/>
            </w:rPr>
            <w:t xml:space="preserve">第 </w:t>
          </w:r>
          <w:r>
            <w:rPr>
              <w:rFonts w:ascii="Calibri" w:hAnsi="Calibri" w:eastAsia="Noto Sans SC" w:cs="Calibri"/>
              <w:color w:val="667085"/>
              <w:sz w:val="18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Calibri" w:hAnsi="Calibri" w:eastAsia="Noto Sans SC" w:cs="Calibri"/>
              <w:color w:val="667085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Noto Sans SC" w:cs="Calibri"/>
        <w:b/>
        <w:color w:val="667085"/>
        <w:sz w:val="17"/>
      </w:rPr>
      <w:t>OpsAI-IT 故障问答知识库</w:t>
    </w:r>
    <w:r>
      <w:rPr>
        <w:rFonts w:ascii="Calibri" w:hAnsi="Calibri" w:eastAsia="Noto Sans SC" w:cs="Calibri"/>
        <w:color w:val="667085"/>
        <w:sz w:val="17"/>
      </w:rPr>
      <w:t xml:space="preserve">  |  PRD V1.1 钉钉集成版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Noto Sans SC"/>
      </w:rPr>
    </w:lvl>
    <w:lvl w:ilvl="1">
      <w:start w:val="1"/>
      <w:numFmt w:val="bullet"/>
      <w:lvlText w:val="•"/>
      <w:suff w:val="tab"/>
      <w:pPr>
        <w:tabs>
          <w:tab w:val="num" w:pos="1080"/>
        </w:tabs>
        <w:ind w:left="1080" w:hanging="360"/>
        <w:spacing w:after="160" w:line="280" w:lineRule="auto"/>
      </w:pPr>
      <w:rPr>
        <w:rFonts w:ascii="Calibri" w:hAnsi="Calibri" w:eastAsia="Noto Sans SC"/>
      </w:rPr>
    </w:lvl>
    <w:lvl w:ilvl="2">
      <w:start w:val="1"/>
      <w:numFmt w:val="bullet"/>
      <w:lvlText w:val="•"/>
      <w:suff w:val="tab"/>
      <w:pPr>
        <w:tabs>
          <w:tab w:val="num" w:pos="1440"/>
        </w:tabs>
        <w:ind w:left="1440" w:hanging="360"/>
        <w:spacing w:after="160" w:line="280" w:lineRule="auto"/>
      </w:pPr>
      <w:rPr>
        <w:rFonts w:ascii="Calibri" w:hAnsi="Calibri" w:eastAsia="Noto Sans S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Noto Sans SC"/>
      </w:rPr>
    </w:lvl>
    <w:lvl w:ilvl="1">
      <w:start w:val="1"/>
      <w:numFmt w:val="decimal"/>
      <w:lvlText w:val="%2."/>
      <w:suff w:val="tab"/>
      <w:pPr>
        <w:tabs>
          <w:tab w:val="num" w:pos="1080"/>
        </w:tabs>
        <w:ind w:left="1080" w:hanging="360"/>
        <w:spacing w:after="160" w:line="280" w:lineRule="auto"/>
      </w:pPr>
      <w:rPr>
        <w:rFonts w:ascii="Calibri" w:hAnsi="Calibri" w:eastAsia="Noto Sans SC"/>
      </w:rPr>
    </w:lvl>
    <w:lvl w:ilvl="2">
      <w:start w:val="1"/>
      <w:numFmt w:val="decimal"/>
      <w:lvlText w:val="%3."/>
      <w:suff w:val="tab"/>
      <w:pPr>
        <w:tabs>
          <w:tab w:val="num" w:pos="1440"/>
        </w:tabs>
        <w:ind w:left="1440" w:hanging="360"/>
        <w:spacing w:after="160" w:line="280" w:lineRule="auto"/>
      </w:pPr>
      <w:rPr>
        <w:rFonts w:ascii="Calibri" w:hAnsi="Calibri" w:eastAsia="Noto Sans S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Noto Sans SC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Noto Sans SC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Noto Sans SC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Noto Sans SC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before="0" w:after="40" w:line="259" w:lineRule="auto"/>
    </w:pPr>
    <w:rPr>
      <w:rFonts w:ascii="Calibri" w:hAnsi="Calibri" w:eastAsia="Noto Sans SC" w:cs="Calibri"/>
      <w:sz w:val="19"/>
    </w:rPr>
  </w:style>
  <w:style w:type="paragraph" w:customStyle="1" w:styleId="TableHeader">
    <w:name w:val="Table Header"/>
    <w:pPr>
      <w:spacing w:before="0" w:after="0" w:line="259" w:lineRule="auto"/>
    </w:pPr>
    <w:rPr>
      <w:rFonts w:ascii="Calibri" w:hAnsi="Calibri" w:eastAsia="Noto Sans SC" w:cs="Calibri"/>
      <w:b/>
      <w:color w:val="0B2545"/>
      <w:sz w:val="19"/>
    </w:rPr>
  </w:style>
  <w:style w:type="paragraph" w:customStyle="1" w:styleId="SmallNote">
    <w:name w:val="Small Note"/>
    <w:pPr>
      <w:spacing w:before="80" w:after="80" w:line="240" w:lineRule="auto"/>
    </w:pPr>
    <w:rPr>
      <w:rFonts w:ascii="Calibri" w:hAnsi="Calibri" w:eastAsia="Noto Sans SC" w:cs="Calibr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.dingtalk.com/document/orgapp/create-and-publish-your-first-web-app-h5-micro-app" TargetMode="External"/><Relationship Id="rId12" Type="http://schemas.openxmlformats.org/officeDocument/2006/relationships/hyperlink" Target="https://open.dingtalk.com/document/development/enterprise-internal-application-logon-free" TargetMode="External"/><Relationship Id="rId13" Type="http://schemas.openxmlformats.org/officeDocument/2006/relationships/hyperlink" Target="https://open.dingtalk.com/document/orgapp/application-visible-range" TargetMode="External"/><Relationship Id="rId14" Type="http://schemas.openxmlformats.org/officeDocument/2006/relationships/hyperlink" Target="https://open.dingtalk.com/document/orgapp-server/asynchronous-sending-of-enterprise-session-mess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OpsAI-IT 故障问答知识库 PRD V1.1——钉钉集成版</dc:title>
  <dc:subject>公司内部 IT 运维知识库产品需求文档</dc:subject>
  <dc:creator>IT 运维团队</dc:creator>
  <cp:keywords>IT知识库, 钉钉, H5微应用, 免登, PRD, ITSM</cp:keywords>
  <dc:description>V1.1 钉钉集成版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