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75D52">
      <w:pPr>
        <w:jc w:val="center"/>
        <w:rPr>
          <w:rFonts w:ascii="Times New Roman" w:hAnsi="Times New Roman" w:eastAsia="한양신명조" w:cs="Times New Roman"/>
          <w:sz w:val="32"/>
          <w:szCs w:val="32"/>
        </w:rPr>
      </w:pPr>
      <w:r>
        <w:rPr>
          <w:rFonts w:ascii="Times New Roman" w:hAnsi="Times New Roman" w:eastAsia="한양신명조" w:cs="Times New Roman"/>
          <w:sz w:val="32"/>
          <w:szCs w:val="32"/>
        </w:rPr>
        <w:t>Final Paper</w:t>
      </w:r>
    </w:p>
    <w:p w14:paraId="6C93E8A8">
      <w:pPr>
        <w:jc w:val="center"/>
        <w:rPr>
          <w:rFonts w:ascii="Times New Roman" w:hAnsi="Times New Roman" w:cs="Times New Roman"/>
          <w:sz w:val="28"/>
        </w:rPr>
      </w:pPr>
    </w:p>
    <w:p w14:paraId="01515505">
      <w:pPr>
        <w:jc w:val="center"/>
        <w:rPr>
          <w:rFonts w:ascii="Malgun Gothic" w:hAnsi="Malgun Gothic" w:eastAsia="Malgun Gothic" w:cs="Malgun Gothic"/>
          <w:sz w:val="28"/>
          <w:lang w:eastAsia="ko-KR"/>
        </w:rPr>
      </w:pPr>
      <w:r>
        <w:rPr>
          <w:rFonts w:hint="eastAsia" w:ascii="Malgun Gothic" w:hAnsi="Malgun Gothic" w:eastAsia="Malgun Gothic" w:cs="Malgun Gothic"/>
          <w:sz w:val="28"/>
          <w:lang w:eastAsia="ko-KR"/>
        </w:rPr>
        <w:t>S</w:t>
      </w:r>
      <w:r>
        <w:rPr>
          <w:rFonts w:ascii="Malgun Gothic" w:hAnsi="Malgun Gothic" w:eastAsia="Malgun Gothic" w:cs="Malgun Gothic"/>
          <w:sz w:val="28"/>
          <w:lang w:eastAsia="ko-KR"/>
        </w:rPr>
        <w:t>ubject: Advanced Distributed Systems</w:t>
      </w:r>
    </w:p>
    <w:p w14:paraId="4A4E2703">
      <w:pPr>
        <w:jc w:val="center"/>
        <w:rPr>
          <w:rFonts w:ascii="Malgun Gothic" w:hAnsi="Malgun Gothic" w:eastAsia="Malgun Gothic" w:cs="Malgun Gothic"/>
          <w:sz w:val="40"/>
          <w:szCs w:val="40"/>
          <w:lang w:eastAsia="ko-KR"/>
        </w:rPr>
      </w:pPr>
    </w:p>
    <w:p w14:paraId="4C2989BB">
      <w:pPr>
        <w:pStyle w:val="2"/>
        <w:widowControl/>
        <w:rPr>
          <w:rFonts w:hint="default"/>
          <w:b w:val="0"/>
          <w:bCs/>
          <w:color w:val="000000" w:themeColor="text1"/>
          <w:sz w:val="40"/>
          <w:szCs w:val="40"/>
          <w14:textFill>
            <w14:solidFill>
              <w14:schemeClr w14:val="tx1"/>
            </w14:solidFill>
          </w14:textFill>
        </w:rPr>
      </w:pPr>
      <w:r>
        <w:rPr>
          <w:rFonts w:hint="eastAsia" w:ascii="Malgun Gothic" w:hAnsi="Malgun Gothic" w:eastAsia="Malgun Gothic" w:cs="Malgun Gothic"/>
          <w:b w:val="0"/>
          <w:bCs/>
          <w:sz w:val="40"/>
          <w:szCs w:val="40"/>
          <w:lang w:eastAsia="ko-KR"/>
        </w:rPr>
        <w:t>P</w:t>
      </w:r>
      <w:r>
        <w:rPr>
          <w:rFonts w:ascii="Malgun Gothic" w:hAnsi="Malgun Gothic" w:eastAsia="Malgun Gothic" w:cs="Malgun Gothic"/>
          <w:b w:val="0"/>
          <w:bCs/>
          <w:sz w:val="40"/>
          <w:szCs w:val="40"/>
          <w:lang w:eastAsia="ko-KR"/>
        </w:rPr>
        <w:t xml:space="preserve">aper </w:t>
      </w:r>
      <w:r>
        <w:rPr>
          <w:rFonts w:ascii="Times New Roman" w:hAnsi="Times New Roman" w:cs="Times New Roman"/>
          <w:b w:val="0"/>
          <w:bCs/>
          <w:sz w:val="40"/>
          <w:szCs w:val="40"/>
        </w:rPr>
        <w:t>Title:</w:t>
      </w:r>
      <w:bookmarkStart w:id="0" w:name="_Toc19625"/>
      <w:r>
        <w:rPr>
          <w:b w:val="0"/>
          <w:bCs/>
          <w:color w:val="000000" w:themeColor="text1"/>
          <w:sz w:val="40"/>
          <w:szCs w:val="40"/>
          <w14:textFill>
            <w14:solidFill>
              <w14:schemeClr w14:val="tx1"/>
            </w14:solidFill>
          </w14:textFill>
        </w:rPr>
        <w:t>Research on Water Quality Evaluation Model of Yanlong Lake Ecological Purification System Based on Machine Learning</w:t>
      </w:r>
      <w:bookmarkEnd w:id="0"/>
    </w:p>
    <w:p w14:paraId="06D64829">
      <w:pPr>
        <w:jc w:val="center"/>
        <w:rPr>
          <w:rFonts w:ascii="Times New Roman" w:hAnsi="Times New Roman" w:cs="Times New Roman"/>
          <w:sz w:val="40"/>
          <w:szCs w:val="40"/>
        </w:rPr>
      </w:pPr>
      <w:r>
        <w:rPr>
          <w:rFonts w:ascii="Times New Roman" w:hAnsi="Times New Roman" w:cs="Times New Roman"/>
          <w:sz w:val="40"/>
          <w:szCs w:val="40"/>
        </w:rPr>
        <w:t xml:space="preserve"> </w:t>
      </w:r>
    </w:p>
    <w:p w14:paraId="24C8AB55">
      <w:pPr>
        <w:jc w:val="center"/>
        <w:rPr>
          <w:rFonts w:ascii="Malgun Gothic" w:hAnsi="Malgun Gothic" w:eastAsia="Malgun Gothic" w:cs="Malgun Gothic"/>
          <w:sz w:val="28"/>
          <w:lang w:eastAsia="ko-KR"/>
        </w:rPr>
      </w:pPr>
    </w:p>
    <w:p w14:paraId="174A44E6">
      <w:pPr>
        <w:jc w:val="center"/>
        <w:rPr>
          <w:rFonts w:ascii="Malgun Gothic" w:hAnsi="Malgun Gothic" w:eastAsia="Malgun Gothic" w:cs="Malgun Gothic"/>
          <w:sz w:val="28"/>
          <w:lang w:eastAsia="ko-KR"/>
        </w:rPr>
      </w:pPr>
    </w:p>
    <w:p w14:paraId="1043846A">
      <w:pPr>
        <w:jc w:val="center"/>
        <w:rPr>
          <w:rFonts w:hint="default" w:ascii="Malgun Gothic" w:hAnsi="Malgun Gothic" w:eastAsia="宋体" w:cs="Malgun Gothic"/>
          <w:sz w:val="28"/>
          <w:lang w:val="en-US" w:eastAsia="zh-CN"/>
        </w:rPr>
      </w:pPr>
      <w:r>
        <w:rPr>
          <w:rFonts w:hint="eastAsia" w:ascii="Malgun Gothic" w:hAnsi="Malgun Gothic" w:eastAsia="Malgun Gothic" w:cs="Malgun Gothic"/>
          <w:sz w:val="28"/>
          <w:lang w:eastAsia="ko-KR"/>
        </w:rPr>
        <w:t>S</w:t>
      </w:r>
      <w:r>
        <w:rPr>
          <w:rFonts w:ascii="Malgun Gothic" w:hAnsi="Malgun Gothic" w:eastAsia="Malgun Gothic" w:cs="Malgun Gothic"/>
          <w:sz w:val="28"/>
          <w:lang w:eastAsia="ko-KR"/>
        </w:rPr>
        <w:t xml:space="preserve">tudent: </w:t>
      </w:r>
      <w:r>
        <w:rPr>
          <w:rFonts w:hint="eastAsia" w:ascii="Malgun Gothic" w:hAnsi="Malgun Gothic" w:eastAsia="宋体" w:cs="Malgun Gothic"/>
          <w:sz w:val="28"/>
          <w:lang w:val="en-US" w:eastAsia="zh-CN"/>
        </w:rPr>
        <w:t>WANG HAOJUN</w:t>
      </w:r>
    </w:p>
    <w:p w14:paraId="0B6B938C">
      <w:pPr>
        <w:jc w:val="center"/>
        <w:rPr>
          <w:rFonts w:hint="eastAsia" w:ascii="Times New Roman" w:hAnsi="Times New Roman" w:eastAsia="Malgun Gothic" w:cs="Times New Roman"/>
          <w:sz w:val="28"/>
          <w:lang w:eastAsia="ko-KR"/>
        </w:rPr>
      </w:pPr>
      <w:r>
        <w:rPr>
          <w:rFonts w:hint="eastAsia" w:ascii="Times New Roman" w:hAnsi="Times New Roman" w:eastAsia="Malgun Gothic" w:cs="Times New Roman"/>
          <w:sz w:val="28"/>
          <w:lang w:eastAsia="ko-KR"/>
        </w:rPr>
        <w:t>P</w:t>
      </w:r>
      <w:r>
        <w:rPr>
          <w:rFonts w:ascii="Times New Roman" w:hAnsi="Times New Roman" w:eastAsia="Malgun Gothic" w:cs="Times New Roman"/>
          <w:sz w:val="28"/>
          <w:lang w:eastAsia="ko-KR"/>
        </w:rPr>
        <w:t xml:space="preserve">rofessor: </w:t>
      </w:r>
      <w:r>
        <w:rPr>
          <w:rFonts w:hint="eastAsia" w:ascii="Times New Roman" w:hAnsi="Times New Roman" w:eastAsia="Malgun Gothic" w:cs="Times New Roman"/>
          <w:sz w:val="28"/>
          <w:lang w:eastAsia="ko-KR"/>
        </w:rPr>
        <w:t>Baek KeonHyo</w:t>
      </w:r>
    </w:p>
    <w:p w14:paraId="2D1A3810">
      <w:pPr>
        <w:jc w:val="center"/>
        <w:rPr>
          <w:rFonts w:ascii="Times New Roman" w:hAnsi="Times New Roman" w:eastAsia="Malgun Gothic" w:cs="Times New Roman"/>
          <w:sz w:val="28"/>
          <w:lang w:eastAsia="ko-KR"/>
        </w:rPr>
      </w:pPr>
    </w:p>
    <w:p w14:paraId="6BD7E7DE">
      <w:pPr>
        <w:jc w:val="center"/>
        <w:rPr>
          <w:rFonts w:ascii="Times New Roman" w:hAnsi="Times New Roman" w:cs="Times New Roman"/>
          <w:sz w:val="30"/>
          <w:szCs w:val="30"/>
        </w:rPr>
      </w:pPr>
    </w:p>
    <w:p w14:paraId="21FBBD13">
      <w:pPr>
        <w:jc w:val="center"/>
        <w:rPr>
          <w:rFonts w:ascii="Times New Roman" w:hAnsi="Times New Roman" w:cs="Times New Roman"/>
          <w:sz w:val="30"/>
          <w:szCs w:val="30"/>
        </w:rPr>
      </w:pPr>
    </w:p>
    <w:p w14:paraId="7F18D013">
      <w:pPr>
        <w:rPr>
          <w:rFonts w:ascii="Times New Roman" w:hAnsi="Times New Roman" w:cs="Times New Roman"/>
          <w:sz w:val="32"/>
          <w:szCs w:val="32"/>
        </w:rPr>
      </w:pPr>
    </w:p>
    <w:p w14:paraId="75F372D8">
      <w:pPr>
        <w:jc w:val="center"/>
        <w:rPr>
          <w:rFonts w:ascii="Times New Roman" w:hAnsi="Times New Roman" w:cs="Times New Roman"/>
          <w:sz w:val="32"/>
          <w:szCs w:val="32"/>
        </w:rPr>
      </w:pPr>
      <w:r>
        <w:rPr>
          <w:rFonts w:ascii="Times New Roman" w:hAnsi="Times New Roman" w:cs="Times New Roman"/>
          <w:sz w:val="32"/>
          <w:szCs w:val="32"/>
        </w:rPr>
        <w:t>June 2026</w:t>
      </w:r>
    </w:p>
    <w:p w14:paraId="1789B1BF">
      <w:pPr>
        <w:jc w:val="center"/>
        <w:rPr>
          <w:rFonts w:ascii="Times New Roman" w:hAnsi="Times New Roman" w:cs="Times New Roman"/>
          <w:sz w:val="32"/>
          <w:szCs w:val="32"/>
        </w:rPr>
      </w:pPr>
    </w:p>
    <w:p w14:paraId="0EFD4B79">
      <w:pPr>
        <w:jc w:val="center"/>
        <w:rPr>
          <w:rFonts w:ascii="Times New Roman" w:hAnsi="Times New Roman" w:cs="Times New Roman"/>
          <w:sz w:val="32"/>
          <w:szCs w:val="32"/>
        </w:rPr>
      </w:pPr>
    </w:p>
    <w:p w14:paraId="3568BBC7">
      <w:pPr>
        <w:jc w:val="both"/>
        <w:rPr>
          <w:rFonts w:ascii="Times New Roman" w:hAnsi="Times New Roman" w:cs="Times New Roman"/>
          <w:sz w:val="32"/>
          <w:szCs w:val="32"/>
        </w:rPr>
      </w:pPr>
    </w:p>
    <w:p w14:paraId="3C9A29F1">
      <w:pPr>
        <w:jc w:val="center"/>
        <w:rPr>
          <w:rFonts w:ascii="Times New Roman" w:hAnsi="Times New Roman" w:cs="Times New Roman"/>
          <w:sz w:val="32"/>
          <w:szCs w:val="32"/>
        </w:rPr>
      </w:pPr>
      <w:r>
        <w:rPr>
          <w:rFonts w:ascii="Times New Roman" w:hAnsi="Times New Roman" w:eastAsia="한양신명조" w:cs="Times New Roman"/>
          <w:sz w:val="32"/>
          <w:szCs w:val="32"/>
        </w:rPr>
        <w:t>Major</w:t>
      </w:r>
      <w:r>
        <w:rPr>
          <w:rFonts w:ascii="Times New Roman" w:hAnsi="Times New Roman" w:cs="Times New Roman"/>
          <w:sz w:val="32"/>
          <w:szCs w:val="32"/>
        </w:rPr>
        <w:t xml:space="preserve"> of Computer Science and Technology</w:t>
      </w:r>
    </w:p>
    <w:p w14:paraId="637712CD">
      <w:pPr>
        <w:pStyle w:val="12"/>
        <w:wordWrap/>
        <w:spacing w:line="240" w:lineRule="auto"/>
        <w:jc w:val="center"/>
        <w:rPr>
          <w:rFonts w:ascii="Times New Roman" w:hAnsi="Times New Roman" w:eastAsia="한양신명조" w:cs="Times New Roman"/>
          <w:sz w:val="32"/>
          <w:szCs w:val="32"/>
        </w:rPr>
      </w:pPr>
      <w:r>
        <w:rPr>
          <w:rFonts w:ascii="Times New Roman" w:hAnsi="Times New Roman" w:eastAsia="한양신명조" w:cs="Times New Roman"/>
          <w:sz w:val="32"/>
          <w:szCs w:val="32"/>
        </w:rPr>
        <w:t>Graduate School of Youngsan University</w:t>
      </w:r>
    </w:p>
    <w:p w14:paraId="60203FFF">
      <w:pPr>
        <w:pStyle w:val="12"/>
        <w:wordWrap/>
        <w:spacing w:line="960" w:lineRule="auto"/>
        <w:ind w:left="1398" w:right="1440"/>
        <w:jc w:val="center"/>
        <w:rPr>
          <w:rFonts w:ascii="Times New Roman" w:hAnsi="Times New Roman" w:eastAsia="바탕체" w:cs="Times New Roman"/>
          <w:b/>
          <w:bCs/>
          <w:sz w:val="30"/>
          <w:szCs w:val="30"/>
        </w:rPr>
      </w:pPr>
      <w:bookmarkStart w:id="129" w:name="_GoBack"/>
      <w:bookmarkEnd w:id="129"/>
    </w:p>
    <w:p w14:paraId="75FE6E42">
      <w:pPr>
        <w:pStyle w:val="12"/>
        <w:wordWrap/>
        <w:spacing w:line="960" w:lineRule="auto"/>
        <w:ind w:left="1398" w:right="1440"/>
        <w:jc w:val="center"/>
        <w:rPr>
          <w:rFonts w:hint="eastAsia" w:ascii="Times New Roman" w:hAnsi="Times New Roman" w:eastAsia="바탕체" w:cs="Times New Roman"/>
          <w:b/>
          <w:bCs/>
          <w:sz w:val="30"/>
          <w:szCs w:val="30"/>
        </w:rPr>
        <w:sectPr>
          <w:pgSz w:w="11906" w:h="16838"/>
          <w:pgMar w:top="2154" w:right="1701" w:bottom="850" w:left="1701" w:header="851" w:footer="992" w:gutter="0"/>
          <w:cols w:space="720" w:num="1"/>
          <w:docGrid w:linePitch="360" w:charSpace="0"/>
        </w:sectPr>
      </w:pPr>
    </w:p>
    <w:sdt>
      <w:sdtPr>
        <w:rPr>
          <w:rFonts w:ascii="宋体" w:hAnsi="宋体" w:eastAsia="宋体" w:cstheme="minorEastAsia"/>
          <w:kern w:val="2"/>
          <w:sz w:val="21"/>
          <w:szCs w:val="22"/>
          <w:lang w:val="en-US" w:eastAsia="ko-KR" w:bidi="ar-SA"/>
        </w:rPr>
        <w:id w:val="147483588"/>
        <w15:color w:val="DBDBDB"/>
        <w:docPartObj>
          <w:docPartGallery w:val="Table of Contents"/>
          <w:docPartUnique/>
        </w:docPartObj>
      </w:sdtPr>
      <w:sdtEndPr>
        <w:rPr>
          <w:rFonts w:hint="eastAsia" w:ascii="Times New Roman" w:hAnsi="Times New Roman" w:eastAsia="바탕체" w:cs="Times New Roman"/>
          <w:bCs/>
          <w:color w:val="000000"/>
          <w:kern w:val="0"/>
          <w:sz w:val="21"/>
          <w:szCs w:val="30"/>
          <w:lang w:val="en-US" w:eastAsia="ko-KR" w:bidi="ar-SA"/>
        </w:rPr>
      </w:sdtEndPr>
      <w:sdtContent>
        <w:p w14:paraId="10C99CB6">
          <w:pPr>
            <w:pStyle w:val="12"/>
            <w:wordWrap/>
            <w:spacing w:line="960" w:lineRule="auto"/>
            <w:ind w:left="1398" w:right="1440"/>
            <w:jc w:val="center"/>
            <w:rPr>
              <w:rFonts w:ascii="宋体" w:hAnsi="宋体" w:eastAsia="宋体" w:cstheme="minorEastAsia"/>
              <w:kern w:val="2"/>
              <w:sz w:val="21"/>
              <w:szCs w:val="22"/>
              <w:lang w:val="en-US" w:eastAsia="ko-KR" w:bidi="ar-SA"/>
            </w:rPr>
          </w:pPr>
          <w:r>
            <w:rPr>
              <w:rFonts w:hint="eastAsia" w:ascii="Times New Roman" w:hAnsi="Times New Roman" w:eastAsia="바탕체" w:cs="Times New Roman"/>
              <w:b/>
              <w:bCs/>
              <w:sz w:val="30"/>
              <w:szCs w:val="30"/>
            </w:rPr>
            <w:t>Contents</w:t>
          </w:r>
        </w:p>
        <w:p w14:paraId="0735F1D1">
          <w:pPr>
            <w:rPr>
              <w:rFonts w:hint="default" w:ascii="Times New Roman" w:hAnsi="Times New Roman" w:cs="Times New Roman"/>
              <w:sz w:val="21"/>
              <w:szCs w:val="21"/>
            </w:rPr>
          </w:pPr>
          <w:r>
            <w:rPr>
              <w:rFonts w:hint="default" w:ascii="Times New Roman" w:hAnsi="Times New Roman" w:eastAsia="Times New Roman" w:cs="Times New Roman"/>
              <w:sz w:val="21"/>
              <w:szCs w:val="21"/>
              <w:u w:color="auto"/>
            </w:rPr>
            <w:t>CONTENTS</w:t>
          </w:r>
          <w:r>
            <w:rPr>
              <w:rFonts w:hint="default" w:ascii="Times New Roman" w:hAnsi="Times New Roman" w:eastAsia="바탕체" w:cs="Times New Roman"/>
              <w:b/>
              <w:bCs/>
              <w:sz w:val="21"/>
              <w:szCs w:val="21"/>
            </w:rPr>
            <w:fldChar w:fldCharType="begin"/>
          </w:r>
          <w:r>
            <w:rPr>
              <w:rFonts w:hint="default" w:ascii="Times New Roman" w:hAnsi="Times New Roman" w:eastAsia="바탕체" w:cs="Times New Roman"/>
              <w:b/>
              <w:bCs/>
              <w:sz w:val="21"/>
              <w:szCs w:val="21"/>
            </w:rPr>
            <w:instrText xml:space="preserve">TOC \o "1-3" \h \u </w:instrText>
          </w:r>
          <w:r>
            <w:rPr>
              <w:rFonts w:hint="default" w:ascii="Times New Roman" w:hAnsi="Times New Roman" w:eastAsia="바탕체" w:cs="Times New Roman"/>
              <w:b/>
              <w:bCs/>
              <w:sz w:val="21"/>
              <w:szCs w:val="21"/>
            </w:rPr>
            <w:fldChar w:fldCharType="separate"/>
          </w:r>
        </w:p>
        <w:p w14:paraId="5783FB0A">
          <w:pPr>
            <w:pStyle w:val="8"/>
            <w:tabs>
              <w:tab w:val="right" w:leader="dot" w:pos="8504"/>
            </w:tabs>
            <w:ind w:left="0" w:leftChars="0" w:firstLine="0" w:firstLineChars="0"/>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_Toc3055 </w:instrText>
          </w:r>
          <w:r>
            <w:rPr>
              <w:rFonts w:hint="default" w:ascii="Times New Roman" w:hAnsi="Times New Roman" w:eastAsia="바탕체" w:cs="Times New Roman"/>
              <w:bCs/>
              <w:sz w:val="21"/>
              <w:szCs w:val="21"/>
            </w:rPr>
            <w:fldChar w:fldCharType="separate"/>
          </w:r>
          <w:r>
            <w:rPr>
              <w:rFonts w:hint="default" w:ascii="Times New Roman" w:hAnsi="Times New Roman" w:eastAsia="바탕체" w:cs="Times New Roman"/>
              <w:bCs/>
              <w:kern w:val="0"/>
              <w:sz w:val="21"/>
              <w:szCs w:val="21"/>
              <w:shd w:val="clear"/>
              <w:lang w:val="en-US" w:eastAsia="zh-CN"/>
            </w:rPr>
            <w:t>List of Figures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_Toc3055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1A7E99D">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_Toc28403 </w:instrText>
          </w:r>
          <w:r>
            <w:rPr>
              <w:rFonts w:hint="default" w:ascii="Times New Roman" w:hAnsi="Times New Roman" w:eastAsia="바탕체" w:cs="Times New Roman"/>
              <w:bCs/>
              <w:sz w:val="21"/>
              <w:szCs w:val="21"/>
            </w:rPr>
            <w:fldChar w:fldCharType="separate"/>
          </w:r>
          <w:r>
            <w:rPr>
              <w:rFonts w:hint="default" w:ascii="Times New Roman" w:hAnsi="Times New Roman" w:eastAsia="바탕체" w:cs="Times New Roman"/>
              <w:bCs/>
              <w:kern w:val="0"/>
              <w:sz w:val="21"/>
              <w:szCs w:val="21"/>
              <w:shd w:val="clear"/>
              <w:lang w:val="en-US" w:eastAsia="zh-CN"/>
            </w:rPr>
            <w:t>ABSTRACT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_Toc28403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817396F">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_Toc26580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1 Introduction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_Toc26580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DB3F944">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_Toc18969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1.1 Research Background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_Toc18969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B9AB29F">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_Toc25726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1.1.1 Current Status of Pollution in River-type Drinking Water Sources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_Toc25726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DBDFC8B">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_Toc6627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1.1.2 Overview of the Yanlong Lake Ecological Purification System</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_Toc6627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63CB7B8">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_Toc21353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1.1.3 Endogenous pollution problems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_Toc21353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79895C2">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_Toc9061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1.2 Current Status of Research at Home and Abroad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_Toc9061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DBDF68F">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_Toc24765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1.2.1 Research Progress on Endogenous Pollution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_Toc24765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59117BA">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_Toc30720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1.2.2 Applications of Machine Learning in the Water Environment Field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_Toc30720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9D5DF48">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_Toc32451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1.3 Research Objectives and Significance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_Toc32451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11</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7BD27C2">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_Toc5508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1.4 Research Content and Technical Approach</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_Toc5508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E2B8459">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_Toc24082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 Survey and data collection in the study area</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_Toc24082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28DEB4C">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_Toc29736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 Data preprocessing and exploratory analysis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_Toc29736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A60EB19">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_Toc24597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 Machine learning model construction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_Toc24597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37FE359">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_Toc22898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 Analysis of the correlation mechanism between environmental factors and pollutants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_Toc22898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770D882">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_Toc7900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 Engineering application and optimization suggestions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_Toc7900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7B6F226">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_Toc16206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2 Theoretical Foundation and Research Methods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_Toc16206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09197D9">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_Toc15444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2.1 Theoretical Basis of Water Quality Assessment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_Toc15444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2C12DE3">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_Toc22752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2.1.1 Single-factor evaluation method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_Toc22752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67C2CF4">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_Toc31831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2.1.2 Comprehensive Pollution Index Method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_Toc31831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FA71148">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_Toc19152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2.2 Machine Learning Model Theory</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_Toc19152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B7BB6DB">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_Toc2107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2.2.1 Principles of the Random Forest Model</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_Toc2107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A24B337">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_Toc6954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2.2.2 Support Vector Machine Model Principle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_Toc6954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20</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C51E744">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_Toc28608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2.3 Data Preprocessing Methods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_Toc28608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21</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B121263">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_Toc15620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2.3.1 Handling Missing Values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_Toc15620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7B6E600">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_Toc23185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2.3.2 Outlier Handling</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_Toc23185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448FA32">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_Toc32393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2.3.3 Data Standardization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_Toc32393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CDE1038">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_Toc14009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2.4 Model Evaluation Indicators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_Toc14009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F47FCB2">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_Toc5140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Classification accuracy</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_Toc5140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5E04B07">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_Toc21422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F1 value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_Toc21422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73A1CE0">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_Toc4490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ROC curve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_Toc4490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D9B9735">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_Toc5870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3 Study Area and Dataset Construction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_Toc5870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4C8A817">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_Toc7740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3.1 Overview of the Yanlong Lake Ecological Purification System</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_Toc7740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B839078">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_Toc8382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3.2 Sampling Point Layout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_Toc8382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55B502D">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_Toc1273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3.3 Data Sources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_Toc1273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D886F94">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_Toc5426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3.4 Data Preprocessing Results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_Toc5426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B88AE8B">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_Toc27963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4 Exploratory Data Analysis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_Toc27963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29</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BC1478E">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_Toc19635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4.1 Analysis of TP Release Pattern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_Toc19635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29</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D6BF866">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_Toc12931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4.2 Impact of DO on Pollution Release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_Toc12931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30</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B1EA860">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_Toc918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4.3 Effect of pH on pollutant release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_Toc918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3B0C7F3">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_Toc6983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4.4 Temperature Change Pattern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_Toc6983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CEF50C3">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_Toc15396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4.5 Correlation Analysis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_Toc15396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A8762B4">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_Toc18348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5 Construction of Water Quality Assessment Model Based on Machine Learning</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_Toc18348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D0580E9">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_Toc10474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5.2 Random Forest Model Construction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_Toc10474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3C8D4BB">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_Toc20254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5.3 Support Vector Machine Model Construction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_Toc20254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1A6F0C3">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_Toc15981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5.4 Model Performance Comparison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_Toc15981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D76C86E">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_Toc19373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5.5 Feature Importance Analysis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_Toc19373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40</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3BB27E5">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_Toc20371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6 Analysis of the Correlation Mechanism between Environmental Factors and Pollutants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_Toc20371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41</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84533AC">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_Toc18781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6.1 Mechanism of DO's Influence on Pollution Release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_Toc18781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41</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CAF2CA3">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_Toc29249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6.2 Mechanism of pH's Influence on Pollutant Release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_Toc29249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0DFAA97">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_Toc188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6.3 Temperature Influence Mechanism</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0DC7386">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_Toc5632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6.4 Engineering Application Analysis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_Toc5632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4AA8AFE">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_Toc16266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 Optimization measures for the pretreatment area</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_Toc16266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3C59FB9B">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_Toc17567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 Optimization measures for ecological wetland purification areas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_Toc17567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D9AF533">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_Toc14129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 Optimization of deep purification zone operation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_Toc14129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4481B9E">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_Toc1338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 Online monitoring and intelligent management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_Toc1338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48</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8B4D1C9">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_Toc26711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 Engineering application prospects of machine learning models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_Toc26711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49</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152E2F1">
          <w:pPr>
            <w:pStyle w:val="7"/>
            <w:tabs>
              <w:tab w:val="right" w:leader="dot" w:pos="8504"/>
              <w:tab w:val="clear" w:pos="9350"/>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_Toc23554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Chapter 7 Conclusion and Outlook</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_Toc23554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50</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7B7A20F">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_Toc23526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7.1 Research Conclusions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_Toc23526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50</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4EB73311">
          <w:pPr>
            <w:pStyle w:val="8"/>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_Toc30140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7.2 Insufficient Research</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_Toc30140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67DB30F4">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_Toc7461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(1) The monitoring time span is relatively short.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_Toc7461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52</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0DB7B977">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_Toc17369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(2) The number of data samples is still limited.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_Toc17369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B5EFC76">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_Toc17891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(3) Insufficient consideration of complex hydrodynamic conditions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_Toc17891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53</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C49CC25">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_Toc13958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(4) The types of machine learning models are relatively limited.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_Toc13958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54</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1FBD4B87">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_Toc13512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(5) The real-time application capability of the model still needs to be improved.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_Toc13512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55</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774D2AC0">
          <w:pPr>
            <w:pStyle w:val="5"/>
            <w:tabs>
              <w:tab w:val="right" w:leader="dot" w:pos="8504"/>
            </w:tabs>
            <w:rPr>
              <w:rFonts w:hint="default" w:ascii="Times New Roman" w:hAnsi="Times New Roman" w:cs="Times New Roman"/>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_Toc27702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(6) Research on emerging pollutants is still insufficient.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_Toc27702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56</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2D486383">
          <w:pPr>
            <w:pStyle w:val="8"/>
            <w:tabs>
              <w:tab w:val="right" w:leader="dot" w:pos="8504"/>
            </w:tabs>
            <w:rPr>
              <w:rFonts w:hint="default" w:ascii="Times New Roman" w:hAnsi="Times New Roman" w:eastAsia="바탕체" w:cs="Times New Roman"/>
              <w:bCs/>
              <w:sz w:val="21"/>
              <w:szCs w:val="21"/>
            </w:rPr>
          </w:pPr>
          <w:r>
            <w:rPr>
              <w:rFonts w:hint="default" w:ascii="Times New Roman" w:hAnsi="Times New Roman" w:eastAsia="바탕체" w:cs="Times New Roman"/>
              <w:bCs/>
              <w:sz w:val="21"/>
              <w:szCs w:val="21"/>
            </w:rPr>
            <w:fldChar w:fldCharType="begin"/>
          </w:r>
          <w:r>
            <w:rPr>
              <w:rFonts w:hint="default" w:ascii="Times New Roman" w:hAnsi="Times New Roman" w:eastAsia="바탕체" w:cs="Times New Roman"/>
              <w:bCs/>
              <w:sz w:val="21"/>
              <w:szCs w:val="21"/>
            </w:rPr>
            <w:instrText xml:space="preserve"> HYPERLINK \l _Toc1851 </w:instrText>
          </w:r>
          <w:r>
            <w:rPr>
              <w:rFonts w:hint="default" w:ascii="Times New Roman" w:hAnsi="Times New Roman" w:eastAsia="바탕체" w:cs="Times New Roman"/>
              <w:bCs/>
              <w:sz w:val="21"/>
              <w:szCs w:val="21"/>
            </w:rPr>
            <w:fldChar w:fldCharType="separate"/>
          </w:r>
          <w:r>
            <w:rPr>
              <w:rFonts w:hint="default" w:ascii="Times New Roman" w:hAnsi="Times New Roman" w:cs="Times New Roman"/>
              <w:sz w:val="21"/>
              <w:szCs w:val="21"/>
            </w:rPr>
            <w:t>7.3 Future Research Directions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_Toc1851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57</w:t>
          </w:r>
          <w:r>
            <w:rPr>
              <w:rFonts w:hint="default" w:ascii="Times New Roman" w:hAnsi="Times New Roman" w:cs="Times New Roman"/>
              <w:sz w:val="21"/>
              <w:szCs w:val="21"/>
            </w:rPr>
            <w:fldChar w:fldCharType="end"/>
          </w:r>
          <w:r>
            <w:rPr>
              <w:rFonts w:hint="default" w:ascii="Times New Roman" w:hAnsi="Times New Roman" w:eastAsia="바탕체" w:cs="Times New Roman"/>
              <w:bCs/>
              <w:sz w:val="21"/>
              <w:szCs w:val="21"/>
            </w:rPr>
            <w:fldChar w:fldCharType="end"/>
          </w:r>
        </w:p>
        <w:p w14:paraId="5EB46B3C">
          <w:pPr>
            <w:pStyle w:val="13"/>
            <w:bidi w:val="0"/>
            <w:ind w:firstLine="420" w:firstLineChars="200"/>
            <w:jc w:val="both"/>
            <w:rPr>
              <w:rFonts w:hint="default" w:eastAsia="宋体"/>
              <w:b w:val="0"/>
              <w:bCs w:val="0"/>
              <w:sz w:val="21"/>
              <w:szCs w:val="21"/>
              <w:lang w:val="en-US" w:eastAsia="zh-CN"/>
            </w:rPr>
          </w:pPr>
          <w:r>
            <w:rPr>
              <w:rFonts w:hint="eastAsia" w:eastAsia="宋体"/>
              <w:b w:val="0"/>
              <w:bCs w:val="0"/>
              <w:sz w:val="21"/>
              <w:szCs w:val="21"/>
              <w:lang w:val="en-US" w:eastAsia="zh-CN"/>
            </w:rPr>
            <w:t>reference.......................................................................................................................................59</w:t>
          </w:r>
        </w:p>
        <w:p w14:paraId="11A4CE4A">
          <w:pPr>
            <w:rPr>
              <w:rFonts w:hint="default"/>
            </w:rPr>
          </w:pPr>
        </w:p>
        <w:p w14:paraId="026075AD">
          <w:pPr>
            <w:pStyle w:val="12"/>
            <w:wordWrap/>
            <w:spacing w:line="960" w:lineRule="auto"/>
            <w:ind w:right="1440"/>
            <w:jc w:val="both"/>
            <w:rPr>
              <w:rFonts w:hint="default" w:ascii="Times New Roman" w:hAnsi="Times New Roman" w:eastAsia="바탕체" w:cs="Times New Roman"/>
              <w:b/>
              <w:bCs/>
              <w:kern w:val="0"/>
              <w:sz w:val="30"/>
              <w:szCs w:val="30"/>
              <w:shd w:val="clear"/>
              <w:lang w:val="en-US" w:eastAsia="zh-CN"/>
            </w:rPr>
            <w:sectPr>
              <w:footerReference r:id="rId5" w:type="default"/>
              <w:pgSz w:w="11906" w:h="16838"/>
              <w:pgMar w:top="2154" w:right="1701" w:bottom="850" w:left="1701" w:header="851" w:footer="992" w:gutter="0"/>
              <w:pgNumType w:start="1"/>
              <w:cols w:space="720" w:num="1"/>
              <w:docGrid w:linePitch="360" w:charSpace="0"/>
            </w:sectPr>
          </w:pPr>
          <w:r>
            <w:rPr>
              <w:rFonts w:hint="default" w:ascii="Times New Roman" w:hAnsi="Times New Roman" w:eastAsia="바탕체" w:cs="Times New Roman"/>
              <w:bCs/>
              <w:sz w:val="21"/>
              <w:szCs w:val="21"/>
            </w:rPr>
            <w:fldChar w:fldCharType="end"/>
          </w:r>
          <w:bookmarkStart w:id="1" w:name="_Toc18162"/>
        </w:p>
      </w:sdtContent>
    </w:sdt>
    <w:p w14:paraId="19106AA7">
      <w:pPr>
        <w:pStyle w:val="14"/>
        <w:bidi w:val="0"/>
        <w:jc w:val="left"/>
        <w:rPr>
          <w:rFonts w:hint="default" w:ascii="Times New Roman" w:hAnsi="Times New Roman" w:eastAsia="바탕체" w:cs="Times New Roman"/>
          <w:b/>
          <w:bCs/>
          <w:kern w:val="0"/>
          <w:sz w:val="30"/>
          <w:szCs w:val="30"/>
          <w:shd w:val="clear"/>
          <w:lang w:val="en-US" w:eastAsia="zh-CN"/>
        </w:rPr>
      </w:pPr>
      <w:bookmarkStart w:id="2" w:name="_Toc3055"/>
      <w:r>
        <w:rPr>
          <w:rFonts w:hint="default" w:ascii="Times New Roman" w:hAnsi="Times New Roman" w:eastAsia="바탕체" w:cs="Times New Roman"/>
          <w:b/>
          <w:bCs/>
          <w:kern w:val="0"/>
          <w:sz w:val="30"/>
          <w:szCs w:val="30"/>
          <w:shd w:val="clear"/>
          <w:lang w:val="en-US" w:eastAsia="zh-CN"/>
        </w:rPr>
        <w:t xml:space="preserve">List of </w:t>
      </w:r>
      <w:bookmarkEnd w:id="1"/>
      <w:r>
        <w:rPr>
          <w:rFonts w:hint="default" w:ascii="Times New Roman" w:hAnsi="Times New Roman" w:eastAsia="바탕체" w:cs="Times New Roman"/>
          <w:b/>
          <w:bCs/>
          <w:kern w:val="0"/>
          <w:sz w:val="30"/>
          <w:szCs w:val="30"/>
          <w:shd w:val="clear"/>
          <w:lang w:val="en-US" w:eastAsia="zh-CN"/>
        </w:rPr>
        <w:t>Figures</w:t>
      </w:r>
      <w:bookmarkEnd w:id="2"/>
    </w:p>
    <w:p w14:paraId="4DE717A4">
      <w:pPr>
        <w:pStyle w:val="7"/>
        <w:tabs>
          <w:tab w:val="right" w:leader="dot" w:pos="8504"/>
          <w:tab w:val="clear" w:pos="9350"/>
        </w:tabs>
      </w:pPr>
      <w:r>
        <w:rPr>
          <w:rFonts w:hint="default" w:ascii="Times New Roman" w:hAnsi="Times New Roman" w:eastAsia="바탕체" w:cs="Times New Roman"/>
          <w:b/>
          <w:bCs/>
          <w:kern w:val="0"/>
          <w:sz w:val="30"/>
          <w:szCs w:val="30"/>
          <w:shd w:val="clear"/>
          <w:lang w:val="en-US" w:eastAsia="zh-CN"/>
        </w:rPr>
        <w:fldChar w:fldCharType="begin"/>
      </w:r>
      <w:r>
        <w:rPr>
          <w:rFonts w:hint="default" w:ascii="Times New Roman" w:hAnsi="Times New Roman" w:eastAsia="바탕체" w:cs="Times New Roman"/>
          <w:b/>
          <w:bCs/>
          <w:kern w:val="0"/>
          <w:sz w:val="30"/>
          <w:szCs w:val="30"/>
          <w:shd w:val="clear"/>
          <w:lang w:val="en-US" w:eastAsia="zh-CN"/>
        </w:rPr>
        <w:instrText xml:space="preserve">TOC \t "tu,1" \h</w:instrText>
      </w:r>
      <w:r>
        <w:rPr>
          <w:rFonts w:hint="default" w:ascii="Times New Roman" w:hAnsi="Times New Roman" w:eastAsia="바탕체" w:cs="Times New Roman"/>
          <w:b/>
          <w:bCs/>
          <w:kern w:val="0"/>
          <w:sz w:val="30"/>
          <w:szCs w:val="30"/>
          <w:shd w:val="clear"/>
          <w:lang w:val="en-US" w:eastAsia="zh-CN"/>
        </w:rPr>
        <w:fldChar w:fldCharType="separate"/>
      </w:r>
      <w:r>
        <w:rPr>
          <w:rFonts w:hint="default" w:ascii="Times New Roman" w:hAnsi="Times New Roman" w:eastAsia="바탕체" w:cs="Times New Roman"/>
          <w:bCs/>
          <w:kern w:val="0"/>
          <w:szCs w:val="30"/>
          <w:shd w:val="clear"/>
          <w:lang w:val="en-US" w:eastAsia="zh-CN"/>
        </w:rPr>
        <w:fldChar w:fldCharType="begin"/>
      </w:r>
      <w:r>
        <w:rPr>
          <w:rFonts w:hint="default" w:ascii="Times New Roman" w:hAnsi="Times New Roman" w:eastAsia="바탕체" w:cs="Times New Roman"/>
          <w:bCs/>
          <w:kern w:val="0"/>
          <w:szCs w:val="30"/>
          <w:shd w:val="clear"/>
          <w:lang w:val="en-US" w:eastAsia="zh-CN"/>
        </w:rPr>
        <w:instrText xml:space="preserve"> HYPERLINK \l _Toc20081 </w:instrText>
      </w:r>
      <w:r>
        <w:rPr>
          <w:rFonts w:hint="default" w:ascii="Times New Roman" w:hAnsi="Times New Roman" w:eastAsia="바탕체" w:cs="Times New Roman"/>
          <w:bCs/>
          <w:kern w:val="0"/>
          <w:szCs w:val="30"/>
          <w:shd w:val="clear"/>
          <w:lang w:val="en-US" w:eastAsia="zh-CN"/>
        </w:rPr>
        <w:fldChar w:fldCharType="separate"/>
      </w:r>
      <w:r>
        <w:rPr>
          <w:rFonts w:hint="default"/>
        </w:rPr>
        <w:t>Figure 3.2 Layout map of Yanlong Lake area</w:t>
      </w:r>
      <w:r>
        <w:tab/>
      </w:r>
      <w:r>
        <w:fldChar w:fldCharType="begin"/>
      </w:r>
      <w:r>
        <w:instrText xml:space="preserve"> PAGEREF _Toc20081 \h </w:instrText>
      </w:r>
      <w:r>
        <w:fldChar w:fldCharType="separate"/>
      </w:r>
      <w:r>
        <w:t>30</w:t>
      </w:r>
      <w:r>
        <w:fldChar w:fldCharType="end"/>
      </w:r>
      <w:r>
        <w:rPr>
          <w:rFonts w:hint="default" w:ascii="Times New Roman" w:hAnsi="Times New Roman" w:eastAsia="바탕체" w:cs="Times New Roman"/>
          <w:bCs/>
          <w:kern w:val="0"/>
          <w:szCs w:val="30"/>
          <w:shd w:val="clear"/>
          <w:lang w:val="en-US" w:eastAsia="zh-CN"/>
        </w:rPr>
        <w:fldChar w:fldCharType="end"/>
      </w:r>
    </w:p>
    <w:p w14:paraId="5089FF04">
      <w:pPr>
        <w:pStyle w:val="7"/>
        <w:tabs>
          <w:tab w:val="right" w:leader="dot" w:pos="8504"/>
          <w:tab w:val="clear" w:pos="9350"/>
        </w:tabs>
      </w:pPr>
      <w:r>
        <w:rPr>
          <w:rFonts w:hint="default" w:ascii="Times New Roman" w:hAnsi="Times New Roman" w:eastAsia="바탕체" w:cs="Times New Roman"/>
          <w:bCs/>
          <w:kern w:val="0"/>
          <w:szCs w:val="30"/>
          <w:shd w:val="clear"/>
          <w:lang w:val="en-US" w:eastAsia="zh-CN"/>
        </w:rPr>
        <w:fldChar w:fldCharType="begin"/>
      </w:r>
      <w:r>
        <w:rPr>
          <w:rFonts w:hint="default" w:ascii="Times New Roman" w:hAnsi="Times New Roman" w:eastAsia="바탕체" w:cs="Times New Roman"/>
          <w:bCs/>
          <w:kern w:val="0"/>
          <w:szCs w:val="30"/>
          <w:shd w:val="clear"/>
          <w:lang w:val="en-US" w:eastAsia="zh-CN"/>
        </w:rPr>
        <w:instrText xml:space="preserve"> HYPERLINK \l _Toc20613 </w:instrText>
      </w:r>
      <w:r>
        <w:rPr>
          <w:rFonts w:hint="default" w:ascii="Times New Roman" w:hAnsi="Times New Roman" w:eastAsia="바탕체" w:cs="Times New Roman"/>
          <w:bCs/>
          <w:kern w:val="0"/>
          <w:szCs w:val="30"/>
          <w:shd w:val="clear"/>
          <w:lang w:val="en-US" w:eastAsia="zh-CN"/>
        </w:rPr>
        <w:fldChar w:fldCharType="separate"/>
      </w:r>
      <w:r>
        <w:rPr>
          <w:rFonts w:hint="default"/>
          <w:szCs w:val="20"/>
          <w:lang w:eastAsia="zh-CN"/>
        </w:rPr>
        <w:t>Figure 6.1 Dissolved oxygen</w:t>
      </w:r>
      <w:r>
        <w:tab/>
      </w:r>
      <w:r>
        <w:fldChar w:fldCharType="begin"/>
      </w:r>
      <w:r>
        <w:instrText xml:space="preserve"> PAGEREF _Toc20613 \h </w:instrText>
      </w:r>
      <w:r>
        <w:fldChar w:fldCharType="separate"/>
      </w:r>
      <w:r>
        <w:t>46</w:t>
      </w:r>
      <w:r>
        <w:fldChar w:fldCharType="end"/>
      </w:r>
      <w:r>
        <w:rPr>
          <w:rFonts w:hint="default" w:ascii="Times New Roman" w:hAnsi="Times New Roman" w:eastAsia="바탕체" w:cs="Times New Roman"/>
          <w:bCs/>
          <w:kern w:val="0"/>
          <w:szCs w:val="30"/>
          <w:shd w:val="clear"/>
          <w:lang w:val="en-US" w:eastAsia="zh-CN"/>
        </w:rPr>
        <w:fldChar w:fldCharType="end"/>
      </w:r>
    </w:p>
    <w:p w14:paraId="007356FF">
      <w:pPr>
        <w:pStyle w:val="7"/>
        <w:tabs>
          <w:tab w:val="right" w:leader="dot" w:pos="8504"/>
          <w:tab w:val="clear" w:pos="9350"/>
        </w:tabs>
      </w:pPr>
      <w:r>
        <w:rPr>
          <w:rFonts w:hint="default" w:ascii="Times New Roman" w:hAnsi="Times New Roman" w:eastAsia="바탕체" w:cs="Times New Roman"/>
          <w:bCs/>
          <w:kern w:val="0"/>
          <w:szCs w:val="30"/>
          <w:shd w:val="clear"/>
          <w:lang w:val="en-US" w:eastAsia="zh-CN"/>
        </w:rPr>
        <w:fldChar w:fldCharType="begin"/>
      </w:r>
      <w:r>
        <w:rPr>
          <w:rFonts w:hint="default" w:ascii="Times New Roman" w:hAnsi="Times New Roman" w:eastAsia="바탕체" w:cs="Times New Roman"/>
          <w:bCs/>
          <w:kern w:val="0"/>
          <w:szCs w:val="30"/>
          <w:shd w:val="clear"/>
          <w:lang w:val="en-US" w:eastAsia="zh-CN"/>
        </w:rPr>
        <w:instrText xml:space="preserve"> HYPERLINK \l _Toc22230 </w:instrText>
      </w:r>
      <w:r>
        <w:rPr>
          <w:rFonts w:hint="default" w:ascii="Times New Roman" w:hAnsi="Times New Roman" w:eastAsia="바탕체" w:cs="Times New Roman"/>
          <w:bCs/>
          <w:kern w:val="0"/>
          <w:szCs w:val="30"/>
          <w:shd w:val="clear"/>
          <w:lang w:val="en-US" w:eastAsia="zh-CN"/>
        </w:rPr>
        <w:fldChar w:fldCharType="separate"/>
      </w:r>
      <w:r>
        <w:rPr>
          <w:rFonts w:hint="default"/>
          <w:szCs w:val="20"/>
          <w:lang w:eastAsia="zh-CN"/>
        </w:rPr>
        <w:t>Figure 6.2 pH changes</w:t>
      </w:r>
      <w:r>
        <w:tab/>
      </w:r>
      <w:r>
        <w:fldChar w:fldCharType="begin"/>
      </w:r>
      <w:r>
        <w:instrText xml:space="preserve"> PAGEREF _Toc22230 \h </w:instrText>
      </w:r>
      <w:r>
        <w:fldChar w:fldCharType="separate"/>
      </w:r>
      <w:r>
        <w:t>47</w:t>
      </w:r>
      <w:r>
        <w:fldChar w:fldCharType="end"/>
      </w:r>
      <w:r>
        <w:rPr>
          <w:rFonts w:hint="default" w:ascii="Times New Roman" w:hAnsi="Times New Roman" w:eastAsia="바탕체" w:cs="Times New Roman"/>
          <w:bCs/>
          <w:kern w:val="0"/>
          <w:szCs w:val="30"/>
          <w:shd w:val="clear"/>
          <w:lang w:val="en-US" w:eastAsia="zh-CN"/>
        </w:rPr>
        <w:fldChar w:fldCharType="end"/>
      </w:r>
    </w:p>
    <w:p w14:paraId="006692E2">
      <w:pPr>
        <w:pStyle w:val="7"/>
        <w:tabs>
          <w:tab w:val="right" w:leader="dot" w:pos="8504"/>
          <w:tab w:val="clear" w:pos="9350"/>
        </w:tabs>
      </w:pPr>
      <w:r>
        <w:rPr>
          <w:rFonts w:hint="default" w:ascii="Times New Roman" w:hAnsi="Times New Roman" w:eastAsia="바탕체" w:cs="Times New Roman"/>
          <w:bCs/>
          <w:kern w:val="0"/>
          <w:szCs w:val="30"/>
          <w:shd w:val="clear"/>
          <w:lang w:val="en-US" w:eastAsia="zh-CN"/>
        </w:rPr>
        <w:fldChar w:fldCharType="begin"/>
      </w:r>
      <w:r>
        <w:rPr>
          <w:rFonts w:hint="default" w:ascii="Times New Roman" w:hAnsi="Times New Roman" w:eastAsia="바탕체" w:cs="Times New Roman"/>
          <w:bCs/>
          <w:kern w:val="0"/>
          <w:szCs w:val="30"/>
          <w:shd w:val="clear"/>
          <w:lang w:val="en-US" w:eastAsia="zh-CN"/>
        </w:rPr>
        <w:instrText xml:space="preserve"> HYPERLINK \l _Toc5351 </w:instrText>
      </w:r>
      <w:r>
        <w:rPr>
          <w:rFonts w:hint="default" w:ascii="Times New Roman" w:hAnsi="Times New Roman" w:eastAsia="바탕체" w:cs="Times New Roman"/>
          <w:bCs/>
          <w:kern w:val="0"/>
          <w:szCs w:val="30"/>
          <w:shd w:val="clear"/>
          <w:lang w:val="en-US" w:eastAsia="zh-CN"/>
        </w:rPr>
        <w:fldChar w:fldCharType="separate"/>
      </w:r>
      <w:r>
        <w:rPr>
          <w:rFonts w:hint="default"/>
          <w:szCs w:val="20"/>
          <w:lang w:eastAsia="zh-CN"/>
        </w:rPr>
        <w:t>Figure 6.3 Temperature Change</w:t>
      </w:r>
      <w:r>
        <w:tab/>
      </w:r>
      <w:r>
        <w:fldChar w:fldCharType="begin"/>
      </w:r>
      <w:r>
        <w:instrText xml:space="preserve"> PAGEREF _Toc5351 \h </w:instrText>
      </w:r>
      <w:r>
        <w:fldChar w:fldCharType="separate"/>
      </w:r>
      <w:r>
        <w:t>49</w:t>
      </w:r>
      <w:r>
        <w:fldChar w:fldCharType="end"/>
      </w:r>
      <w:r>
        <w:rPr>
          <w:rFonts w:hint="default" w:ascii="Times New Roman" w:hAnsi="Times New Roman" w:eastAsia="바탕체" w:cs="Times New Roman"/>
          <w:bCs/>
          <w:kern w:val="0"/>
          <w:szCs w:val="30"/>
          <w:shd w:val="clear"/>
          <w:lang w:val="en-US" w:eastAsia="zh-CN"/>
        </w:rPr>
        <w:fldChar w:fldCharType="end"/>
      </w:r>
    </w:p>
    <w:p w14:paraId="32258164">
      <w:pPr>
        <w:rPr>
          <w:rFonts w:hint="default" w:ascii="Times New Roman" w:hAnsi="Times New Roman" w:eastAsia="바탕체" w:cs="Times New Roman"/>
          <w:b/>
          <w:bCs/>
          <w:kern w:val="0"/>
          <w:sz w:val="30"/>
          <w:szCs w:val="30"/>
          <w:shd w:val="clear"/>
          <w:lang w:val="en-US" w:eastAsia="zh-CN"/>
        </w:rPr>
      </w:pPr>
      <w:r>
        <w:rPr>
          <w:rFonts w:hint="default" w:ascii="Times New Roman" w:hAnsi="Times New Roman" w:eastAsia="바탕체" w:cs="Times New Roman"/>
          <w:bCs/>
          <w:kern w:val="0"/>
          <w:szCs w:val="30"/>
          <w:shd w:val="clear"/>
          <w:lang w:val="en-US" w:eastAsia="zh-CN"/>
        </w:rPr>
        <w:fldChar w:fldCharType="end"/>
      </w:r>
    </w:p>
    <w:p w14:paraId="5FBE7929">
      <w:pPr>
        <w:rPr>
          <w:rFonts w:hint="default" w:ascii="Times New Roman" w:hAnsi="Times New Roman" w:eastAsia="바탕체" w:cs="Times New Roman"/>
          <w:b/>
          <w:bCs/>
          <w:kern w:val="0"/>
          <w:sz w:val="30"/>
          <w:szCs w:val="30"/>
          <w:shd w:val="clear"/>
          <w:lang w:val="en-US" w:eastAsia="zh-CN"/>
        </w:rPr>
      </w:pPr>
    </w:p>
    <w:p w14:paraId="09BFD92A">
      <w:pPr>
        <w:rPr>
          <w:rFonts w:hint="default" w:ascii="Times New Roman" w:hAnsi="Times New Roman" w:eastAsia="바탕체" w:cs="Times New Roman"/>
          <w:b/>
          <w:bCs/>
          <w:kern w:val="0"/>
          <w:sz w:val="30"/>
          <w:szCs w:val="30"/>
          <w:shd w:val="clear"/>
          <w:lang w:val="en-US" w:eastAsia="zh-CN"/>
        </w:rPr>
      </w:pPr>
    </w:p>
    <w:p w14:paraId="46180677">
      <w:pPr>
        <w:rPr>
          <w:rFonts w:hint="default" w:ascii="Times New Roman" w:hAnsi="Times New Roman" w:eastAsia="바탕체" w:cs="Times New Roman"/>
          <w:b/>
          <w:bCs/>
          <w:kern w:val="0"/>
          <w:sz w:val="30"/>
          <w:szCs w:val="30"/>
          <w:shd w:val="clear"/>
          <w:lang w:val="en-US" w:eastAsia="zh-CN"/>
        </w:rPr>
      </w:pPr>
    </w:p>
    <w:p w14:paraId="34C34D9B">
      <w:pPr>
        <w:rPr>
          <w:rFonts w:hint="default" w:ascii="Times New Roman" w:hAnsi="Times New Roman" w:eastAsia="바탕체" w:cs="Times New Roman"/>
          <w:b/>
          <w:bCs/>
          <w:kern w:val="0"/>
          <w:sz w:val="30"/>
          <w:szCs w:val="30"/>
          <w:shd w:val="clear"/>
          <w:lang w:val="en-US" w:eastAsia="zh-CN"/>
        </w:rPr>
      </w:pPr>
    </w:p>
    <w:p w14:paraId="7C1D60F9">
      <w:pPr>
        <w:rPr>
          <w:rFonts w:hint="default" w:ascii="Times New Roman" w:hAnsi="Times New Roman" w:eastAsia="바탕체" w:cs="Times New Roman"/>
          <w:b/>
          <w:bCs/>
          <w:kern w:val="0"/>
          <w:sz w:val="30"/>
          <w:szCs w:val="30"/>
          <w:shd w:val="clear"/>
          <w:lang w:val="en-US" w:eastAsia="zh-CN"/>
        </w:rPr>
      </w:pPr>
    </w:p>
    <w:p w14:paraId="2986BF12">
      <w:pPr>
        <w:rPr>
          <w:rFonts w:hint="default" w:ascii="Times New Roman" w:hAnsi="Times New Roman" w:eastAsia="바탕체" w:cs="Times New Roman"/>
          <w:b/>
          <w:bCs/>
          <w:kern w:val="0"/>
          <w:sz w:val="30"/>
          <w:szCs w:val="30"/>
          <w:shd w:val="clear"/>
          <w:lang w:val="en-US" w:eastAsia="zh-CN"/>
        </w:rPr>
      </w:pPr>
    </w:p>
    <w:p w14:paraId="77726D92">
      <w:pPr>
        <w:rPr>
          <w:rFonts w:hint="default" w:ascii="Times New Roman" w:hAnsi="Times New Roman" w:eastAsia="바탕체" w:cs="Times New Roman"/>
          <w:b/>
          <w:bCs/>
          <w:kern w:val="0"/>
          <w:sz w:val="30"/>
          <w:szCs w:val="30"/>
          <w:shd w:val="clear"/>
          <w:lang w:val="en-US" w:eastAsia="zh-CN"/>
        </w:rPr>
      </w:pPr>
    </w:p>
    <w:p w14:paraId="50E87F21">
      <w:pPr>
        <w:rPr>
          <w:rFonts w:hint="default" w:ascii="Times New Roman" w:hAnsi="Times New Roman" w:eastAsia="바탕체" w:cs="Times New Roman"/>
          <w:b/>
          <w:bCs/>
          <w:kern w:val="0"/>
          <w:sz w:val="30"/>
          <w:szCs w:val="30"/>
          <w:shd w:val="clear"/>
          <w:lang w:val="en-US" w:eastAsia="zh-CN"/>
        </w:rPr>
      </w:pPr>
    </w:p>
    <w:p w14:paraId="44D288BD">
      <w:pPr>
        <w:rPr>
          <w:rFonts w:hint="default" w:ascii="Times New Roman" w:hAnsi="Times New Roman" w:eastAsia="바탕체" w:cs="Times New Roman"/>
          <w:b/>
          <w:bCs/>
          <w:kern w:val="0"/>
          <w:sz w:val="30"/>
          <w:szCs w:val="30"/>
          <w:shd w:val="clear"/>
          <w:lang w:val="en-US" w:eastAsia="zh-CN"/>
        </w:rPr>
      </w:pPr>
    </w:p>
    <w:p w14:paraId="277FD26B">
      <w:pPr>
        <w:rPr>
          <w:rFonts w:hint="default" w:ascii="Times New Roman" w:hAnsi="Times New Roman" w:eastAsia="바탕체" w:cs="Times New Roman"/>
          <w:b/>
          <w:bCs/>
          <w:kern w:val="0"/>
          <w:sz w:val="30"/>
          <w:szCs w:val="30"/>
          <w:shd w:val="clear"/>
          <w:lang w:val="en-US" w:eastAsia="zh-CN"/>
        </w:rPr>
      </w:pPr>
    </w:p>
    <w:p w14:paraId="40492439">
      <w:pPr>
        <w:rPr>
          <w:rFonts w:hint="default" w:ascii="Times New Roman" w:hAnsi="Times New Roman" w:eastAsia="바탕체" w:cs="Times New Roman"/>
          <w:b/>
          <w:bCs/>
          <w:kern w:val="0"/>
          <w:sz w:val="30"/>
          <w:szCs w:val="30"/>
          <w:shd w:val="clear"/>
          <w:lang w:val="en-US" w:eastAsia="zh-CN"/>
        </w:rPr>
      </w:pPr>
    </w:p>
    <w:p w14:paraId="718DEF8F">
      <w:pPr>
        <w:rPr>
          <w:rFonts w:hint="default" w:ascii="Times New Roman" w:hAnsi="Times New Roman" w:eastAsia="바탕체" w:cs="Times New Roman"/>
          <w:b/>
          <w:bCs/>
          <w:kern w:val="0"/>
          <w:sz w:val="30"/>
          <w:szCs w:val="30"/>
          <w:shd w:val="clear"/>
          <w:lang w:val="en-US" w:eastAsia="zh-CN"/>
        </w:rPr>
      </w:pPr>
    </w:p>
    <w:p w14:paraId="6A11F3F8">
      <w:pPr>
        <w:rPr>
          <w:rFonts w:hint="default" w:ascii="Times New Roman" w:hAnsi="Times New Roman" w:eastAsia="바탕체" w:cs="Times New Roman"/>
          <w:b/>
          <w:bCs/>
          <w:kern w:val="0"/>
          <w:sz w:val="30"/>
          <w:szCs w:val="30"/>
          <w:shd w:val="clear"/>
          <w:lang w:val="en-US" w:eastAsia="zh-CN"/>
        </w:rPr>
      </w:pPr>
    </w:p>
    <w:p w14:paraId="32F847DF">
      <w:pPr>
        <w:rPr>
          <w:rFonts w:hint="default" w:ascii="Times New Roman" w:hAnsi="Times New Roman" w:eastAsia="바탕체" w:cs="Times New Roman"/>
          <w:b/>
          <w:bCs/>
          <w:kern w:val="0"/>
          <w:sz w:val="30"/>
          <w:szCs w:val="30"/>
          <w:shd w:val="clear"/>
          <w:lang w:val="en-US" w:eastAsia="zh-CN"/>
        </w:rPr>
      </w:pPr>
    </w:p>
    <w:p w14:paraId="3B254616">
      <w:pPr>
        <w:rPr>
          <w:rFonts w:hint="default" w:ascii="Times New Roman" w:hAnsi="Times New Roman" w:eastAsia="바탕체" w:cs="Times New Roman"/>
          <w:b/>
          <w:bCs/>
          <w:kern w:val="0"/>
          <w:sz w:val="30"/>
          <w:szCs w:val="30"/>
          <w:shd w:val="clear"/>
          <w:lang w:val="en-US" w:eastAsia="zh-CN"/>
        </w:rPr>
      </w:pPr>
    </w:p>
    <w:p w14:paraId="06A51297">
      <w:pPr>
        <w:rPr>
          <w:rFonts w:hint="default" w:ascii="Times New Roman" w:hAnsi="Times New Roman" w:eastAsia="바탕체" w:cs="Times New Roman"/>
          <w:b/>
          <w:bCs/>
          <w:kern w:val="0"/>
          <w:sz w:val="30"/>
          <w:szCs w:val="30"/>
          <w:shd w:val="clear"/>
          <w:lang w:val="en-US" w:eastAsia="zh-CN"/>
        </w:rPr>
      </w:pPr>
    </w:p>
    <w:p w14:paraId="10488CC9">
      <w:pPr>
        <w:rPr>
          <w:rFonts w:hint="default" w:ascii="Times New Roman" w:hAnsi="Times New Roman" w:eastAsia="바탕체" w:cs="Times New Roman"/>
          <w:b/>
          <w:bCs/>
          <w:kern w:val="0"/>
          <w:sz w:val="30"/>
          <w:szCs w:val="30"/>
          <w:shd w:val="clear"/>
          <w:lang w:val="en-US" w:eastAsia="zh-CN"/>
        </w:rPr>
      </w:pPr>
    </w:p>
    <w:p w14:paraId="519D110A">
      <w:pPr>
        <w:rPr>
          <w:rFonts w:hint="default" w:ascii="Times New Roman" w:hAnsi="Times New Roman" w:eastAsia="바탕체" w:cs="Times New Roman"/>
          <w:b/>
          <w:bCs/>
          <w:kern w:val="0"/>
          <w:sz w:val="30"/>
          <w:szCs w:val="30"/>
          <w:shd w:val="clear"/>
          <w:lang w:val="en-US" w:eastAsia="zh-CN"/>
        </w:rPr>
      </w:pPr>
    </w:p>
    <w:p w14:paraId="1E5B496C">
      <w:pPr>
        <w:rPr>
          <w:rFonts w:hint="default" w:ascii="Times New Roman" w:hAnsi="Times New Roman" w:eastAsia="바탕체" w:cs="Times New Roman"/>
          <w:b/>
          <w:bCs/>
          <w:kern w:val="0"/>
          <w:sz w:val="30"/>
          <w:szCs w:val="30"/>
          <w:shd w:val="clear"/>
          <w:lang w:val="en-US" w:eastAsia="zh-CN"/>
        </w:rPr>
      </w:pPr>
    </w:p>
    <w:p w14:paraId="5E4F3DA4">
      <w:pPr>
        <w:pStyle w:val="9"/>
        <w:widowControl/>
        <w:rPr>
          <w:rFonts w:hint="default" w:ascii="Times New Roman" w:hAnsi="Times New Roman" w:eastAsia="바탕체" w:cs="Times New Roman"/>
          <w:b/>
          <w:bCs w:val="0"/>
          <w:kern w:val="0"/>
          <w:szCs w:val="30"/>
          <w:shd w:val="clear"/>
          <w:lang w:val="en-US" w:eastAsia="zh-CN"/>
        </w:rPr>
      </w:pPr>
      <w:r>
        <w:rPr>
          <w:rFonts w:hint="default" w:ascii="Times New Roman" w:hAnsi="Times New Roman" w:eastAsia="바탕체" w:cs="Times New Roman"/>
          <w:b/>
          <w:bCs w:val="0"/>
          <w:kern w:val="0"/>
          <w:szCs w:val="30"/>
          <w:shd w:val="clear"/>
          <w:lang w:val="en-US" w:eastAsia="zh-CN"/>
        </w:rPr>
        <w:t>ABSTRACT</w:t>
      </w:r>
    </w:p>
    <w:p w14:paraId="61D5EA53">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Due to the continuous advancement of urbanization and industrialization in my country, nitrogen, phosphorus, and organic pollutants have accumulated, generally affecting drinking water sources in rivers. Compared to lake-type water sources, river-type water sources are characterized by high fluidity, complex hydrodynamic conditions, and weak environmental carrying capacity. Therefore, they are more likely to be affected by both external and internal pollution sources. Consequently, ecological purification projects have gradually become an important means of controlling water pollution and internal pollution in river-type water sources in recent years. However, nutrients such as nitrogen and phosphorus accumulated in sediments may be released back into the overlying water bodies during the long-term operation of ecological purification systems. Under conditions of low dissolved oxygen, increased temperature, and hydrodynamic disturbances, this can lead to a "sink-source" transformation phenomenon that poses a continuous threat to drinking water safety.</w:t>
      </w:r>
    </w:p>
    <w:p w14:paraId="590FEEDC">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Traditional water quality assessment methods mainly include single-factor assessment methods (which are computationally simple but struggle to effectively handle nonlinear relationships in complex environmental systems), comprehensive pollution index methods, and fuzzy comprehensive assessment methods, as well as methods that accurately reflect the coupling mechanisms between environmental factors. With the development of artificial intelligence and big data technologies, machine learning is increasingly being widely applied in environmental science. In nonlinear feature recognition, high-dimensional data processing, and complex system prediction, algorithms such as Random Forest (RF) and Support Vector Machine (SVM) have demonstrated good performance.</w:t>
      </w:r>
    </w:p>
    <w:p w14:paraId="428D5AF1">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This study employs a combined approach of in-situ monitoring and laboratory static simulation, focusing on the Yanlong Lake ecological purification system in Yancheng City. A water quality database for the system was established, and a machine learning-based water quality assessment model was constructed. </w:t>
      </w:r>
      <w:r>
        <w:rPr>
          <w:rFonts w:ascii="Times New Roman" w:hAnsi="Times New Roman"/>
          <w:color w:val="000000" w:themeColor="text1"/>
          <w:sz w:val="21"/>
          <w:szCs w:val="21"/>
          <w14:textFill>
            <w14:solidFill>
              <w14:schemeClr w14:val="tx1"/>
            </w14:solidFill>
          </w14:textFill>
        </w:rPr>
        <w:t>The research primarily includes data acquisition, data preprocessing, exploratory data analysis, machine learning model construction, model optimization, and analysis of the correlation mechanisms between environmental factors and pollutants.</w:t>
      </w:r>
    </w:p>
    <w:p w14:paraId="584B983F">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This study established 12 sampling points, covering core functional units such as the pre-designed treatment area, the ecological wetland purification area, and the deep purification area. Monitoring indicators included pH, DO, temperature, conductivity, TN, TP, CODMN, and NH₄⁻-N. </w:t>
      </w:r>
      <w:r>
        <w:rPr>
          <w:rFonts w:ascii="Times New Roman" w:hAnsi="Times New Roman" w:eastAsia="Calibri"/>
          <w:color w:val="000000" w:themeColor="text1"/>
          <w:sz w:val="21"/>
          <w:szCs w:val="21"/>
          <w14:textFill>
            <w14:solidFill>
              <w14:schemeClr w14:val="tx1"/>
            </w14:solidFill>
          </w14:textFill>
        </w:rPr>
        <w:t>The monitoring period was from April and August 2022 to April and 30 days 2025.</w:t>
      </w:r>
    </w:p>
    <w:p w14:paraId="2786A61A">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research results show that:</w:t>
      </w:r>
    </w:p>
    <w:p w14:paraId="33662A98">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The pretreatment area had the highest level of pollution, with a peak total phosphorus (TP) concentration of 0.48 mg/L;</w:t>
      </w:r>
    </w:p>
    <w:p w14:paraId="3443E5D3">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DO is an important environmental factor affecting nitrogen and phosphorus release. When DO &lt; 2 mg/L, the nitrogen and phosphorus release flux increases by about 30% to 50%.</w:t>
      </w:r>
    </w:p>
    <w:p w14:paraId="5F8EF013">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An acidic environment (pH&lt;7) promotes TN release, while an alkaline environment (pH&gt;8) has a certain inhibitory effect on ammonia nitrogen release;</w:t>
      </w:r>
    </w:p>
    <w:p w14:paraId="0B43D26B">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The random forest model outperforms the support vector machine model in terms of classification accuracy, stability and feature interpretation ability;</w:t>
      </w:r>
    </w:p>
    <w:p w14:paraId="010F403F">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(5) Machine learning models can effectively identify nonlinear coupling relationships that are difficult to describe by traditional comprehensive pollution index methods.</w:t>
      </w:r>
    </w:p>
    <w:p w14:paraId="0214B8B2">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Further combining feature importance analysis, correlation analysis, and partial dependency analysis, this study aims to optimize the operation of the Yanlong Lake ecological purification system, reveal the coupling mechanism between environmental factors and pollutant release, and propose engineering recommendations.</w:t>
      </w:r>
    </w:p>
    <w:p w14:paraId="72336A14">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achievement can provide a theoretical basis for the precise regulation of the Yanlong Lake ecological purification system, the treatment of sediment pollution, and the construction of an online monitoring system. It can also provide a reference for the application of machine learning in river-type ecological purification systems.</w:t>
      </w:r>
    </w:p>
    <w:p w14:paraId="1DCFBBC9">
      <w:pPr>
        <w:pStyle w:val="9"/>
        <w:widowControl/>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Keywords: Machine learning; Random forest; Support vector machine; Yanlong Lake; Ecological purification system; Endogenous pollution; Water quality assessment</w:t>
      </w:r>
    </w:p>
    <w:p w14:paraId="6CCD4590">
      <w:pPr>
        <w:rPr>
          <w:rFonts w:hint="eastAsia" w:ascii="Times New Roman" w:hAnsi="Times New Roman" w:eastAsia="바탕체" w:cs="Times New Roman"/>
          <w:b/>
          <w:bCs/>
          <w:kern w:val="0"/>
          <w:sz w:val="30"/>
          <w:szCs w:val="30"/>
          <w:shd w:val="clear"/>
          <w:lang w:val="en-US" w:eastAsia="zh-CN"/>
        </w:rPr>
      </w:pPr>
    </w:p>
    <w:p w14:paraId="0E30085D">
      <w:pPr>
        <w:rPr>
          <w:rFonts w:hint="eastAsia" w:ascii="Times New Roman" w:hAnsi="Times New Roman" w:eastAsia="바탕체" w:cs="Times New Roman"/>
          <w:b/>
          <w:bCs/>
          <w:kern w:val="0"/>
          <w:sz w:val="30"/>
          <w:szCs w:val="30"/>
          <w:shd w:val="clear"/>
          <w:lang w:val="en-US" w:eastAsia="zh-CN"/>
        </w:rPr>
      </w:pPr>
    </w:p>
    <w:p w14:paraId="225FDEE6">
      <w:pPr>
        <w:rPr>
          <w:rFonts w:hint="eastAsia" w:ascii="Times New Roman" w:hAnsi="Times New Roman" w:eastAsia="바탕체" w:cs="Times New Roman"/>
          <w:b/>
          <w:bCs/>
          <w:kern w:val="0"/>
          <w:sz w:val="30"/>
          <w:szCs w:val="30"/>
          <w:shd w:val="clear"/>
          <w:lang w:val="en-US" w:eastAsia="zh-CN"/>
        </w:rPr>
      </w:pPr>
    </w:p>
    <w:p w14:paraId="335B3755">
      <w:pPr>
        <w:rPr>
          <w:rFonts w:hint="eastAsia" w:ascii="Times New Roman" w:hAnsi="Times New Roman" w:eastAsia="바탕체" w:cs="Times New Roman"/>
          <w:b/>
          <w:bCs/>
          <w:kern w:val="0"/>
          <w:sz w:val="30"/>
          <w:szCs w:val="30"/>
          <w:shd w:val="clear"/>
          <w:lang w:val="en-US" w:eastAsia="zh-CN"/>
        </w:rPr>
      </w:pPr>
    </w:p>
    <w:p w14:paraId="45BCACAD">
      <w:pPr>
        <w:rPr>
          <w:rFonts w:hint="eastAsia" w:ascii="Times New Roman" w:hAnsi="Times New Roman" w:eastAsia="바탕체" w:cs="Times New Roman"/>
          <w:b/>
          <w:bCs/>
          <w:kern w:val="0"/>
          <w:sz w:val="30"/>
          <w:szCs w:val="30"/>
          <w:shd w:val="clear"/>
          <w:lang w:val="en-US" w:eastAsia="zh-CN"/>
        </w:rPr>
      </w:pPr>
    </w:p>
    <w:p w14:paraId="24808A16">
      <w:pPr>
        <w:rPr>
          <w:rFonts w:hint="eastAsia" w:ascii="Times New Roman" w:hAnsi="Times New Roman" w:eastAsia="바탕체" w:cs="Times New Roman"/>
          <w:b/>
          <w:bCs/>
          <w:kern w:val="0"/>
          <w:sz w:val="30"/>
          <w:szCs w:val="30"/>
          <w:shd w:val="clear"/>
          <w:lang w:val="en-US" w:eastAsia="zh-CN"/>
        </w:rPr>
      </w:pPr>
    </w:p>
    <w:p w14:paraId="2C3EA9B3">
      <w:pPr>
        <w:rPr>
          <w:rFonts w:hint="eastAsia" w:ascii="Times New Roman" w:hAnsi="Times New Roman" w:eastAsia="바탕체" w:cs="Times New Roman"/>
          <w:b/>
          <w:bCs/>
          <w:kern w:val="0"/>
          <w:sz w:val="30"/>
          <w:szCs w:val="30"/>
          <w:shd w:val="clear"/>
          <w:lang w:val="en-US" w:eastAsia="zh-CN"/>
        </w:rPr>
      </w:pPr>
    </w:p>
    <w:p w14:paraId="21E46F6B">
      <w:pPr>
        <w:rPr>
          <w:rFonts w:hint="eastAsia" w:ascii="Times New Roman" w:hAnsi="Times New Roman" w:eastAsia="바탕체" w:cs="Times New Roman"/>
          <w:b/>
          <w:bCs/>
          <w:kern w:val="0"/>
          <w:sz w:val="30"/>
          <w:szCs w:val="30"/>
          <w:shd w:val="clear"/>
          <w:lang w:val="en-US" w:eastAsia="zh-CN"/>
        </w:rPr>
      </w:pPr>
    </w:p>
    <w:p w14:paraId="0FFD28E3">
      <w:pPr>
        <w:rPr>
          <w:rFonts w:hint="eastAsia" w:ascii="Times New Roman" w:hAnsi="Times New Roman" w:eastAsia="바탕체" w:cs="Times New Roman"/>
          <w:b/>
          <w:bCs/>
          <w:kern w:val="0"/>
          <w:sz w:val="30"/>
          <w:szCs w:val="30"/>
          <w:shd w:val="clear"/>
          <w:lang w:val="en-US" w:eastAsia="zh-CN"/>
        </w:rPr>
      </w:pPr>
    </w:p>
    <w:p w14:paraId="770DFA3C">
      <w:pPr>
        <w:rPr>
          <w:rFonts w:hint="eastAsia" w:ascii="Times New Roman" w:hAnsi="Times New Roman" w:eastAsia="바탕체" w:cs="Times New Roman"/>
          <w:b/>
          <w:bCs/>
          <w:kern w:val="0"/>
          <w:sz w:val="30"/>
          <w:szCs w:val="30"/>
          <w:shd w:val="clear"/>
          <w:lang w:val="en-US" w:eastAsia="zh-CN"/>
        </w:rPr>
      </w:pPr>
    </w:p>
    <w:p w14:paraId="1525671E">
      <w:pPr>
        <w:rPr>
          <w:rFonts w:hint="eastAsia" w:ascii="Times New Roman" w:hAnsi="Times New Roman" w:eastAsia="바탕체" w:cs="Times New Roman"/>
          <w:b/>
          <w:bCs/>
          <w:kern w:val="0"/>
          <w:sz w:val="30"/>
          <w:szCs w:val="30"/>
          <w:shd w:val="clear"/>
          <w:lang w:val="en-US" w:eastAsia="zh-CN"/>
        </w:rPr>
      </w:pPr>
    </w:p>
    <w:p w14:paraId="095E2CD0">
      <w:pPr>
        <w:rPr>
          <w:rFonts w:hint="eastAsia" w:ascii="Times New Roman" w:hAnsi="Times New Roman" w:eastAsia="바탕체" w:cs="Times New Roman"/>
          <w:b/>
          <w:bCs/>
          <w:kern w:val="0"/>
          <w:sz w:val="30"/>
          <w:szCs w:val="30"/>
          <w:shd w:val="clear"/>
          <w:lang w:val="en-US" w:eastAsia="zh-CN"/>
        </w:rPr>
      </w:pPr>
    </w:p>
    <w:p w14:paraId="6F639D7D">
      <w:pPr>
        <w:rPr>
          <w:rFonts w:hint="eastAsia" w:ascii="Times New Roman" w:hAnsi="Times New Roman" w:eastAsia="바탕체" w:cs="Times New Roman"/>
          <w:b/>
          <w:bCs/>
          <w:kern w:val="0"/>
          <w:sz w:val="30"/>
          <w:szCs w:val="30"/>
          <w:shd w:val="clear"/>
          <w:lang w:val="en-US" w:eastAsia="zh-CN"/>
        </w:rPr>
      </w:pPr>
    </w:p>
    <w:p w14:paraId="5ED81813">
      <w:pPr>
        <w:rPr>
          <w:rFonts w:hint="eastAsia" w:ascii="Times New Roman" w:hAnsi="Times New Roman" w:eastAsia="바탕체" w:cs="Times New Roman"/>
          <w:b/>
          <w:bCs/>
          <w:kern w:val="0"/>
          <w:sz w:val="30"/>
          <w:szCs w:val="30"/>
          <w:shd w:val="clear"/>
          <w:lang w:val="en-US" w:eastAsia="zh-CN"/>
        </w:rPr>
      </w:pPr>
    </w:p>
    <w:p w14:paraId="3B083866">
      <w:pPr>
        <w:rPr>
          <w:rFonts w:hint="eastAsia" w:ascii="Times New Roman" w:hAnsi="Times New Roman" w:eastAsia="바탕체" w:cs="Times New Roman"/>
          <w:b/>
          <w:bCs/>
          <w:kern w:val="0"/>
          <w:sz w:val="30"/>
          <w:szCs w:val="30"/>
          <w:shd w:val="clear"/>
          <w:lang w:val="en-US" w:eastAsia="zh-CN"/>
        </w:rPr>
      </w:pPr>
    </w:p>
    <w:p w14:paraId="3AD174E3">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3" w:name="_Toc26580"/>
      <w:bookmarkStart w:id="4" w:name="_Toc1588"/>
      <w:r>
        <w:rPr>
          <w:rFonts w:hint="default" w:ascii="Times New Roman" w:hAnsi="Times New Roman"/>
          <w:color w:val="000000" w:themeColor="text1"/>
          <w:sz w:val="21"/>
          <w:szCs w:val="21"/>
          <w14:textFill>
            <w14:solidFill>
              <w14:schemeClr w14:val="tx1"/>
            </w14:solidFill>
          </w14:textFill>
        </w:rPr>
        <w:t>Chapter 1 Introduction</w:t>
      </w:r>
      <w:bookmarkEnd w:id="3"/>
      <w:bookmarkEnd w:id="4"/>
    </w:p>
    <w:p w14:paraId="19979BC0">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5" w:name="_Toc17514"/>
      <w:bookmarkStart w:id="6" w:name="_Toc18969"/>
      <w:r>
        <w:rPr>
          <w:rFonts w:hint="default" w:ascii="Times New Roman" w:hAnsi="Times New Roman"/>
          <w:color w:val="000000" w:themeColor="text1"/>
          <w:sz w:val="21"/>
          <w:szCs w:val="21"/>
          <w14:textFill>
            <w14:solidFill>
              <w14:schemeClr w14:val="tx1"/>
            </w14:solidFill>
          </w14:textFill>
        </w:rPr>
        <w:t>1.1 Research Background</w:t>
      </w:r>
      <w:bookmarkEnd w:id="5"/>
      <w:bookmarkEnd w:id="6"/>
    </w:p>
    <w:p w14:paraId="13FFF82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7" w:name="_Toc25726"/>
      <w:bookmarkStart w:id="8" w:name="_Toc6981"/>
      <w:r>
        <w:rPr>
          <w:rFonts w:hint="default" w:ascii="Times New Roman" w:hAnsi="Times New Roman"/>
          <w:color w:val="000000" w:themeColor="text1"/>
          <w:sz w:val="21"/>
          <w:szCs w:val="21"/>
          <w14:textFill>
            <w14:solidFill>
              <w14:schemeClr w14:val="tx1"/>
            </w14:solidFill>
          </w14:textFill>
        </w:rPr>
        <w:t>1.1.1 Current Status of Pollution in River-type Drinking Water Sources</w:t>
      </w:r>
      <w:bookmarkEnd w:id="7"/>
      <w:bookmarkEnd w:id="8"/>
    </w:p>
    <w:p w14:paraId="55CF8D9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recent years, with the adjustment of my country's industrial structure and the continuous growth of the urban population, the environmental pressure on river-type drinking water sources has been increasing. Especially in economically developed regions such as the Yangtze River Delta, the Pearl River Delta, and the Beijing-Tianjin-Hebei region, a large amount of industrial wastewater, agricultural non-point source pollution, and urban domestic sewage have been entering river systems for a long time, making the river water environment characterized by complex pollution types, diversified pollution sources, and concealed pollution processes.</w:t>
      </w:r>
    </w:p>
    <w:p w14:paraId="7837444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In agricultural activities, the extensive use of chemical fertilizers and pesticides leads to the entry of nutrients such as nitrogen and phosphorus into river systems through surface runoff, exacerbating eutrophication. Particularly during the rainy season, large amounts of agricultural non-point source pollution enter water bodies in a short period, causing a rapid increase in total nitrogen (TN) and total phosphorus (TP) concentrations. </w:t>
      </w:r>
      <w:r>
        <w:rPr>
          <w:rFonts w:ascii="Times New Roman" w:hAnsi="Times New Roman" w:eastAsia="宋体"/>
          <w:color w:val="000000" w:themeColor="text1"/>
          <w:sz w:val="21"/>
          <w:szCs w:val="21"/>
          <w14:textFill>
            <w14:solidFill>
              <w14:schemeClr w14:val="tx1"/>
            </w14:solidFill>
          </w14:textFill>
        </w:rPr>
        <w:t>Furthermore, the relatively underdeveloped rural sewage treatment facilities further aggravate river pollution.</w:t>
      </w:r>
    </w:p>
    <w:p w14:paraId="37777DF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Regarding industrial pollution, some enterprises fail to treat wastewater to standards or engage in illegal discharge, resulting in heavy metals, organic pollutants, and recalcitrant substances entering waterways. Although my country has continuously strengthened its environmental supervision in recent years, some small and medium-sized enterprises still suffer from insufficient environmental governance capabilities.</w:t>
      </w:r>
    </w:p>
    <w:p w14:paraId="197E505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Meanwhile, the significant increase in impermeable surfaces and the growing problem of rainwater runoff pollution are both consequences of urbanization. </w:t>
      </w:r>
      <w:r>
        <w:rPr>
          <w:rFonts w:ascii="Times New Roman" w:hAnsi="Times New Roman"/>
          <w:color w:val="000000" w:themeColor="text1"/>
          <w:sz w:val="21"/>
          <w:szCs w:val="21"/>
          <w14:textFill>
            <w14:solidFill>
              <w14:schemeClr w14:val="tx1"/>
            </w14:solidFill>
          </w14:textFill>
        </w:rPr>
        <w:t>Road sediments, vehicle exhaust deposits, and pollutants from household waste are washed into river systems during rainfall, further complicating water environment management.</w:t>
      </w:r>
    </w:p>
    <w:p w14:paraId="1DB8F50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River-type drinking water sources, due to their rapid flow, frequent exchange, and fast pollution diffusion, exhibit significant characteristics compared to lake-type sources. Therefore, pollution incidents often impact downstream water supply safety within a short period. River-type water sources are particularly vulnerable during sudden pollution incidents.</w:t>
      </w:r>
    </w:p>
    <w:p w14:paraId="6082B38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establishing a scientific, efficient, and intelligent water quality assessment system has become an important research direction for the protection of river-type drinking water sources.</w:t>
      </w:r>
    </w:p>
    <w:p w14:paraId="3B14D3B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With the rapid development of industrialization and urbanization in China, large amounts of domestic sewage, agricultural non-point source pollution, and industrial wastewater are continuously entering river and lake systems, severely impacting river-based drinking water sources. Although China has made significant progress in wastewater treatment in recent years, some areas still suffer from excessive levels of nitrogen, phosphorus, and organic pollutants.</w:t>
      </w:r>
    </w:p>
    <w:p w14:paraId="060410D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Compared to lake-type water sources, river-type water sources have the following characteristics:</w:t>
      </w:r>
    </w:p>
    <w:p w14:paraId="0AEA448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Complex hydrodynamic conditions;</w:t>
      </w:r>
    </w:p>
    <w:p w14:paraId="6CAD937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Pollutants migrate rapidly;</w:t>
      </w:r>
    </w:p>
    <w:p w14:paraId="1AE93E3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The ecological stability is relatively weak;</w:t>
      </w:r>
    </w:p>
    <w:p w14:paraId="5F5D2DF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They are more susceptible to sudden pollution events.</w:t>
      </w:r>
    </w:p>
    <w:p w14:paraId="7AEFB65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Yancheng City, an important coastal city in Jiangsu Province, relies primarily on the Mangshe River-Tongyu River system for its drinking water. </w:t>
      </w:r>
      <w:r>
        <w:rPr>
          <w:rFonts w:ascii="Times New Roman" w:hAnsi="Times New Roman" w:eastAsia="宋体"/>
          <w:color w:val="000000" w:themeColor="text1"/>
          <w:sz w:val="21"/>
          <w:szCs w:val="21"/>
          <w14:textFill>
            <w14:solidFill>
              <w14:schemeClr w14:val="tx1"/>
            </w14:solidFill>
          </w14:textFill>
        </w:rPr>
        <w:t>However, for a long time, the area has been affected by agricultural non-point source pollution, domestic sewage, and endogenous pollution from bottom sediments, resulting in varying degrees of exceedances in indicators such as total nitrogen (TN), total phosphorus (TP), ammonia nitrogen (NH₃-N), and permanganate index (CODMN) in the water.</w:t>
      </w:r>
    </w:p>
    <w:p w14:paraId="5E3B07C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To ensure regional water supply security, Yancheng City has constructed the Yanlong Lake Ecological Purification System, which achieves pollution reduction and ecological restoration through artificial wetlands, ecological purification zones, and deep purification zones.</w:t>
      </w:r>
    </w:p>
    <w:p w14:paraId="0A8AA1DA">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9" w:name="_Toc6627"/>
      <w:bookmarkStart w:id="10" w:name="_Toc21041"/>
      <w:r>
        <w:rPr>
          <w:rFonts w:hint="default" w:ascii="Times New Roman" w:hAnsi="Times New Roman"/>
          <w:color w:val="000000" w:themeColor="text1"/>
          <w:sz w:val="21"/>
          <w:szCs w:val="21"/>
          <w14:textFill>
            <w14:solidFill>
              <w14:schemeClr w14:val="tx1"/>
            </w14:solidFill>
          </w14:textFill>
        </w:rPr>
        <w:t>1.1.2 Overview of the Yanlong Lake Ecological Purification System</w:t>
      </w:r>
      <w:bookmarkEnd w:id="9"/>
      <w:bookmarkEnd w:id="10"/>
    </w:p>
    <w:p w14:paraId="1E3C9AA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Yanlong Lake Ecological Purification System is a typical ecological purification project primarily based on river-type water sources. Its main components include:</w:t>
      </w:r>
    </w:p>
    <w:p w14:paraId="10B6B86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Pre-processing area;</w:t>
      </w:r>
    </w:p>
    <w:p w14:paraId="10E63AD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Ecological wetland purification area;</w:t>
      </w:r>
    </w:p>
    <w:p w14:paraId="1DA399A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Deep purification zone.</w:t>
      </w:r>
    </w:p>
    <w:p w14:paraId="246EA5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pretreatment zone improves dissolved oxygen levels by using cascading oxygenation, microporous aeration, and suspended packing materials; the ecological wetland purification zone removes nitrogen and phosphorus pollutants through emergent plants, submerged plants, and microorganisms; and the deep purification zone further stabilizes water quality and meets emergency water supply needs.</w:t>
      </w:r>
    </w:p>
    <w:p w14:paraId="2BB7EE0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Yanlong Lake ecological purification system has the following characteristics:</w:t>
      </w:r>
    </w:p>
    <w:p w14:paraId="44A5C05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Complex ecological functions;</w:t>
      </w:r>
    </w:p>
    <w:p w14:paraId="18B1669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The migration and transformation processes of pollutants are obvious;</w:t>
      </w:r>
    </w:p>
    <w:p w14:paraId="54D2E68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Significant differences exist between different functional units;</w:t>
      </w:r>
    </w:p>
    <w:p w14:paraId="2495055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It is susceptible to seasonal changes and environmental conditions.</w:t>
      </w:r>
    </w:p>
    <w:p w14:paraId="6CDF259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Therefore, conducting research on precise water quality evaluation of the Yanlong Lake ecological purification system is of great significance.</w:t>
      </w:r>
    </w:p>
    <w:p w14:paraId="698C9309">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1" w:name="_Toc27426"/>
      <w:bookmarkStart w:id="12" w:name="_Toc21353"/>
      <w:r>
        <w:rPr>
          <w:rFonts w:hint="default" w:ascii="Times New Roman" w:hAnsi="Times New Roman"/>
          <w:color w:val="000000" w:themeColor="text1"/>
          <w:sz w:val="21"/>
          <w:szCs w:val="21"/>
          <w14:textFill>
            <w14:solidFill>
              <w14:schemeClr w14:val="tx1"/>
            </w14:solidFill>
          </w14:textFill>
        </w:rPr>
        <w:t>1.1.3 Endogenous pollution problems</w:t>
      </w:r>
      <w:bookmarkEnd w:id="11"/>
      <w:bookmarkEnd w:id="12"/>
    </w:p>
    <w:p w14:paraId="17D9FD5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Sediments are both important sources and sinks of pollutants.</w:t>
      </w:r>
    </w:p>
    <w:p w14:paraId="2D69912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During the long-term accumulation of pollution, large amounts of nitrogen, phosphorus, and organic pollutants are deposited in the bottom sediment. When environmental conditions change, these pollutants enter the overlying water body, forming a "sink-source" transformation phenomenon, and are then released back into the sediment.</w:t>
      </w:r>
    </w:p>
    <w:p w14:paraId="477BC9B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Key factors influencing the release of endogenous pollutants include:</w:t>
      </w:r>
    </w:p>
    <w:p w14:paraId="641555C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DO (dissolved oxygen);</w:t>
      </w:r>
    </w:p>
    <w:p w14:paraId="387292D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pH;</w:t>
      </w:r>
    </w:p>
    <w:p w14:paraId="3A1D45F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Temperature;</w:t>
      </w:r>
    </w:p>
    <w:p w14:paraId="1B38FF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Hydrodynamic disturbance;</w:t>
      </w:r>
    </w:p>
    <w:p w14:paraId="0687F97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(5) Microbial activity.</w:t>
      </w:r>
    </w:p>
    <w:p w14:paraId="2E649EF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Studies show that in a low-oxygen environment, the reduction reaction will result in an iron-phosphorus bond state, promoting phosphorus release; increased temperature will enhance the metabolism of microorganisms and accelerate the nitrogen cycle; and changes in pH will affect the adsorption process of nutrients.</w:t>
      </w:r>
    </w:p>
    <w:p w14:paraId="64F6749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Therefore, optimizing the operation of ecological purification systems is crucial for studying the relationship between environmental factors and pollutant release.</w:t>
      </w:r>
    </w:p>
    <w:p w14:paraId="6F69B6CA">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3" w:name="_Toc9061"/>
      <w:bookmarkStart w:id="14" w:name="_Toc22178"/>
      <w:r>
        <w:rPr>
          <w:rFonts w:hint="default" w:ascii="Times New Roman" w:hAnsi="Times New Roman"/>
          <w:color w:val="000000" w:themeColor="text1"/>
          <w:sz w:val="21"/>
          <w:szCs w:val="21"/>
          <w14:textFill>
            <w14:solidFill>
              <w14:schemeClr w14:val="tx1"/>
            </w14:solidFill>
          </w14:textFill>
        </w:rPr>
        <w:t>1.2 Current Status of Research at Home and Abroad</w:t>
      </w:r>
      <w:bookmarkEnd w:id="13"/>
      <w:bookmarkEnd w:id="14"/>
    </w:p>
    <w:p w14:paraId="10FA4A0C">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5" w:name="_Toc25311"/>
      <w:bookmarkStart w:id="16" w:name="_Toc24765"/>
      <w:r>
        <w:rPr>
          <w:rFonts w:hint="default" w:ascii="Times New Roman" w:hAnsi="Times New Roman"/>
          <w:color w:val="000000" w:themeColor="text1"/>
          <w:sz w:val="21"/>
          <w:szCs w:val="21"/>
          <w14:textFill>
            <w14:solidFill>
              <w14:schemeClr w14:val="tx1"/>
            </w14:solidFill>
          </w14:textFill>
        </w:rPr>
        <w:t>1.2.1 Research Progress on Endogenous Pollution</w:t>
      </w:r>
      <w:bookmarkEnd w:id="15"/>
      <w:bookmarkEnd w:id="16"/>
    </w:p>
    <w:p w14:paraId="7AC9A75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Research on endogenous pollution of sedimentary materials began earlier abroad. Starting in the 1970s, European and American countries began to pay attention to the problem of lake eutrophication and discovered that sediments are important reservoirs of nitrogen and phosphorus.</w:t>
      </w:r>
    </w:p>
    <w:p w14:paraId="0DEF8CA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Mortimer was the first to propose the theory of nutrient migration at the sediment-water interface, pointing out that phosphorus in sediments can be released back into the water under low-oxygen conditions.</w:t>
      </w:r>
    </w:p>
    <w:p w14:paraId="2DEF3AA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Subsequently, numerous studies further revealed:</w:t>
      </w:r>
    </w:p>
    <w:p w14:paraId="4D5CDD5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DO is an important factor in controlling phosphorus release;</w:t>
      </w:r>
    </w:p>
    <w:p w14:paraId="42D12C6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(2) Increased temperature enhances microbial activity;</w:t>
      </w:r>
    </w:p>
    <w:p w14:paraId="7360F8A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pH changes affect the transformation of ammonia nitrogen forms;</w:t>
      </w:r>
    </w:p>
    <w:p w14:paraId="730860F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(4) The disturbance of wind and waves accelerates the re-suspending of sediments.</w:t>
      </w:r>
    </w:p>
    <w:p w14:paraId="01FC5F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Domestic research on endogenous pollution mainly focuses on eutrophic lakes, such as Taihu Lake, Chaohu Lake, and Dianchi Lake. </w:t>
      </w:r>
      <w:r>
        <w:rPr>
          <w:rFonts w:ascii="Times New Roman" w:hAnsi="Times New Roman"/>
          <w:color w:val="000000" w:themeColor="text1"/>
          <w:sz w:val="21"/>
          <w:szCs w:val="21"/>
          <w14:textFill>
            <w14:solidFill>
              <w14:schemeClr w14:val="tx1"/>
            </w14:solidFill>
          </w14:textFill>
        </w:rPr>
        <w:t>In recent years, research on river-type ecological purification systems has gradually increased, but research on the differences in pollution characteristics among different functional units is still relatively insufficient.</w:t>
      </w:r>
    </w:p>
    <w:p w14:paraId="4CB875B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7" w:name="_Toc30720"/>
      <w:bookmarkStart w:id="18" w:name="_Toc15581"/>
      <w:r>
        <w:rPr>
          <w:rFonts w:hint="default" w:ascii="Times New Roman" w:hAnsi="Times New Roman"/>
          <w:color w:val="000000" w:themeColor="text1"/>
          <w:sz w:val="21"/>
          <w:szCs w:val="21"/>
          <w14:textFill>
            <w14:solidFill>
              <w14:schemeClr w14:val="tx1"/>
            </w14:solidFill>
          </w14:textFill>
        </w:rPr>
        <w:t>1.2.2 Applications of Machine Learning in the Water Environment Field</w:t>
      </w:r>
      <w:bookmarkEnd w:id="17"/>
      <w:bookmarkEnd w:id="18"/>
    </w:p>
    <w:p w14:paraId="6A621DB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Machine learning is increasingly being widely applied in the field of environmental science, thanks to the development of artificial intelligence technology.</w:t>
      </w:r>
    </w:p>
    <w:p w14:paraId="4D41C44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Machine learning has the following advantages:</w:t>
      </w:r>
    </w:p>
    <w:p w14:paraId="56A8966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Capable of processing high-dimensional data;</w:t>
      </w:r>
    </w:p>
    <w:p w14:paraId="61067ED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It can identify complex nonlinear relationships;</w:t>
      </w:r>
    </w:p>
    <w:p w14:paraId="07A632B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It has strong generalization ability;</w:t>
      </w:r>
    </w:p>
    <w:p w14:paraId="0ACB804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It can automatically extract feature information.</w:t>
      </w:r>
    </w:p>
    <w:p w14:paraId="7BD9FF1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Random forest is a comprehensive learning algorithm based on the Bagging concept. It has strong resistance to overfitting and good interpretability.</w:t>
      </w:r>
    </w:p>
    <w:p w14:paraId="39E9106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Support vector machines are well-suited for small-sample and high-dimensional data problems in environmental prediction.</w:t>
      </w:r>
    </w:p>
    <w:p w14:paraId="689F523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Currently, machine learning is widely used in:</w:t>
      </w:r>
    </w:p>
    <w:p w14:paraId="54168E8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River water quality prediction;</w:t>
      </w:r>
    </w:p>
    <w:p w14:paraId="1CFC620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Evaluation of lake eutrophication;</w:t>
      </w:r>
    </w:p>
    <w:p w14:paraId="082AB9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Water resources management;</w:t>
      </w:r>
    </w:p>
    <w:p w14:paraId="053DA83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Pollution risk identification.</w:t>
      </w:r>
    </w:p>
    <w:p w14:paraId="785E047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However, there is still a lack of machine learning research on the differences in functional units of ecological purification systems.</w:t>
      </w:r>
    </w:p>
    <w:p w14:paraId="424A9DE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Traditional water environment assessment methods typically rely on empirical models or statistical methods, which are well-suited for simple linear relationships. However, they often suffer from insufficient prediction accuracy when dealing with the multivariate coupling effects in complex ecosystems. </w:t>
      </w:r>
      <w:r>
        <w:rPr>
          <w:rFonts w:ascii="Times New Roman" w:hAnsi="Times New Roman" w:eastAsia="宋体"/>
          <w:color w:val="000000" w:themeColor="text1"/>
          <w:sz w:val="21"/>
          <w:szCs w:val="21"/>
          <w14:textFill>
            <w14:solidFill>
              <w14:schemeClr w14:val="tx1"/>
            </w14:solidFill>
          </w14:textFill>
        </w:rPr>
        <w:t>In recent years, machine learning has gradually become an important research tool in the field of environmental science, and big data technology, cloud computing, and artificial intelligence technology are all developing rapidly.</w:t>
      </w:r>
    </w:p>
    <w:p w14:paraId="4F4107B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Machine learning algorithms can automatically learn the underlying patterns between variables from historical data, thereby enabling the prediction and classification of complex environmental systems. </w:t>
      </w:r>
      <w:r>
        <w:rPr>
          <w:rFonts w:ascii="Times New Roman" w:hAnsi="Times New Roman"/>
          <w:color w:val="000000" w:themeColor="text1"/>
          <w:sz w:val="21"/>
          <w:szCs w:val="21"/>
          <w14:textFill>
            <w14:solidFill>
              <w14:schemeClr w14:val="tx1"/>
            </w14:solidFill>
          </w14:textFill>
        </w:rPr>
        <w:t>Compared to traditional statistical models, machine learning is more suitable for data analysis scenarios involving high dimensions, nonlinearity, and multivariate coupling.</w:t>
      </w:r>
    </w:p>
    <w:p w14:paraId="478C77B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Currently, machine learning is mainly applied in the following aspects in the field of water environment:</w:t>
      </w:r>
    </w:p>
    <w:p w14:paraId="16C1E59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Water quality prediction: Using machine learning models to dynamically predict key indicators such as DO, COD, TN, and TP can effectively improve water quality early warning capabilities.</w:t>
      </w:r>
    </w:p>
    <w:p w14:paraId="1D321D4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(ii) By constructing a classification model, the eutrophication level of water bodies can be automatically identified for eutrophication assessment.</w:t>
      </w:r>
    </w:p>
    <w:p w14:paraId="75709F9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Pollution source identification: Using clustering algorithms and feature analysis methods, the contribution rate of different pollution sources to the water environment is identified.</w:t>
      </w:r>
    </w:p>
    <w:p w14:paraId="49AEF1E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(4) Conduct a comprehensive evaluation of ecological risks, and conduct ecological risk assessment by combining data on heavy metals, biotoxicity, and sediment characteristics.</w:t>
      </w:r>
    </w:p>
    <w:p w14:paraId="64CB584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(5) The construction of smart water systems combines the Internet of Things with machine learning to achieve online monitoring and intelligent control.</w:t>
      </w:r>
    </w:p>
    <w:p w14:paraId="69FCA18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Random forest models are widely used in environmental data analysis because they are highly robust to noise and have excellent feature interpretation capabilities. Support vector machines are suitable for modeling small-sample environmental data with higher accuracy in water quality classification.</w:t>
      </w:r>
    </w:p>
    <w:p w14:paraId="7F0C2C3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With the development of deep learning technology, water environment prediction research has gradually applied new algorithms such as convolutional neural networks, long short-term memory networks, and graph neural networks, providing new research directions for future intelligent management and ecological purification systems.</w:t>
      </w:r>
    </w:p>
    <w:p w14:paraId="033BC87F">
      <w:pPr>
        <w:pStyle w:val="9"/>
        <w:widowControl/>
        <w:spacing w:line="480" w:lineRule="auto"/>
        <w:rPr>
          <w:rFonts w:ascii="Times New Roman" w:hAnsi="Times New Roman"/>
          <w:color w:val="000000" w:themeColor="text1"/>
          <w:sz w:val="21"/>
          <w:szCs w:val="21"/>
          <w14:textFill>
            <w14:solidFill>
              <w14:schemeClr w14:val="tx1"/>
            </w14:solidFill>
          </w14:textFill>
        </w:rPr>
      </w:pPr>
    </w:p>
    <w:p w14:paraId="2D42D317">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9" w:name="_Toc12784"/>
      <w:bookmarkStart w:id="20" w:name="_Toc32451"/>
      <w:r>
        <w:rPr>
          <w:rFonts w:hint="default" w:ascii="Times New Roman" w:hAnsi="Times New Roman"/>
          <w:color w:val="000000" w:themeColor="text1"/>
          <w:sz w:val="21"/>
          <w:szCs w:val="21"/>
          <w14:textFill>
            <w14:solidFill>
              <w14:schemeClr w14:val="tx1"/>
            </w14:solidFill>
          </w14:textFill>
        </w:rPr>
        <w:t>1.3 Research Objectives and Significance</w:t>
      </w:r>
      <w:bookmarkEnd w:id="19"/>
      <w:bookmarkEnd w:id="20"/>
    </w:p>
    <w:p w14:paraId="7F12312F">
      <w:pPr>
        <w:pStyle w:val="9"/>
        <w:widowControl/>
        <w:spacing w:line="480" w:lineRule="auto"/>
        <w:rPr>
          <w:rFonts w:ascii="Times New Roman" w:hAnsi="Times New Roman"/>
          <w:color w:val="000000" w:themeColor="text1"/>
          <w:sz w:val="21"/>
          <w:szCs w:val="21"/>
          <w14:textFill>
            <w14:solidFill>
              <w14:schemeClr w14:val="tx1"/>
            </w14:solidFill>
          </w14:textFill>
        </w:rPr>
      </w:pPr>
      <w:bookmarkStart w:id="21" w:name="_Toc21590"/>
      <w:r>
        <w:rPr>
          <w:rFonts w:ascii="Times New Roman" w:hAnsi="Times New Roman"/>
          <w:color w:val="000000" w:themeColor="text1"/>
          <w:sz w:val="21"/>
          <w:szCs w:val="21"/>
          <w14:textFill>
            <w14:solidFill>
              <w14:schemeClr w14:val="tx1"/>
            </w14:solidFill>
          </w14:textFill>
        </w:rPr>
        <w:t>With the continuous advancement of ecological civilization construction in my country, drinking water source safety has gradually become an important research direction in the field of water environment governance. Traditional water quality assessment methods have certain limitations in the analysis of complex ecosystems, making it difficult to effectively identify the nonlinear coupling relationships between multiple environmental factors. Therefore, using machine learning technology to conduct water quality assessment research on river-type ecological purification systems has significant theoretical and engineering application value.</w:t>
      </w:r>
    </w:p>
    <w:p w14:paraId="0FC87B3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paper takes the Yanlong Lake ecological purification system as the research object, and combines in-situ monitoring data and laboratory simulation experimental data to construct a water quality evaluation model based on machine learning. The aim is to improve the accuracy of water quality evaluation of the ecological purification system and reveal the correlation mechanism between environmental factors and pollutant release.</w:t>
      </w:r>
    </w:p>
    <w:p w14:paraId="5DF3855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main research objectives are as follows:</w:t>
      </w:r>
    </w:p>
    <w:p w14:paraId="2B20CE1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(1) Through on-site sampling and laboratory analysis, a water quality database for the Yanlong Lake ecological purification system was constructed, and a water quality database for multiple indicators was established, including pH, DO, temperature, TN, TP, CODMN, NH--N, etc., to provide a data foundation for subsequent model construction.</w:t>
      </w:r>
    </w:p>
    <w:p w14:paraId="20C2E92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(2) Establish a water quality assessment model based on machine learning, and improve the accuracy of water quality assessment under complex ecological environment by classifying and predicting the water quality level of different functional areas and using random forest and support vector machine algorithms.</w:t>
      </w:r>
    </w:p>
    <w:p w14:paraId="3024962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(3) Study the influence mechanism of environmental factors such as DO, pH, and temperature on the nitrogen and phosphorus release process, analyze the coupling relationship between environmental factors and pollutants, and combine correlation analysis, characteristic importance analysis and model results.</w:t>
      </w:r>
    </w:p>
    <w:p w14:paraId="30BF7B0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Propose optimization suggestions for the ecological purification system. Based on the research results, provide theoretical basis and engineering suggestions for the operation optimization of the Yanlong Lake ecological purification system, the treatment of sediment pollution and the construction of online monitoring system.</w:t>
      </w:r>
    </w:p>
    <w:p w14:paraId="1A5F13A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significance of this question lies mainly in the following aspects:</w:t>
      </w:r>
    </w:p>
    <w:p w14:paraId="59B1B553">
      <w:pPr>
        <w:widowControl/>
        <w:numPr>
          <w:ilvl w:val="0"/>
          <w:numId w:val="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Theoretical significance</w:t>
      </w:r>
    </w:p>
    <w:p w14:paraId="7424D96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Traditional water quality assessment methods mostly employ linear analysis, which struggles to accurately reflect the nonlinear relationships between multiple variables in complex ecosystems. This paper applies machine learning methods to the study of river-type ecological purification systems, further enriching the theoretical application of artificial intelligence in environmental science.</w:t>
      </w:r>
    </w:p>
    <w:p w14:paraId="16F506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Meanwhile, by analyzing the migration patterns of pollutants in different functional units, this paper helps to deepen our understanding of the internal operating mechanism of the ecological purification system.</w:t>
      </w:r>
    </w:p>
    <w:p w14:paraId="5873FE4E">
      <w:pPr>
        <w:widowControl/>
        <w:numPr>
          <w:ilvl w:val="0"/>
          <w:numId w:val="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Engineering significance</w:t>
      </w:r>
    </w:p>
    <w:p w14:paraId="39D32FD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Yanlong Lake ecological purification system is a typical river-type drinking water source purification project, and its operational status directly affects regional water supply security. The results of this study can provide a reference for the operation and management of the ecological purification system, aeration optimization, and sediment treatment.</w:t>
      </w:r>
    </w:p>
    <w:p w14:paraId="180A703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addition, this achievement can provide technical support for the design and operational optimization of similar ecological wetland projects.</w:t>
      </w:r>
    </w:p>
    <w:p w14:paraId="502D17C0">
      <w:pPr>
        <w:widowControl/>
        <w:numPr>
          <w:ilvl w:val="0"/>
          <w:numId w:val="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Practical application significance</w:t>
      </w:r>
    </w:p>
    <w:p w14:paraId="70F4977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With the development of smart water management and digital environmental governance, the application prospects of machine learning in water environment monitoring are becoming increasingly broad. The machine learning water quality assessment model constructed in this paper has certain promotional value and can provide a research foundation for future intelligent online monitoring and pollution risk early warning.</w:t>
      </w:r>
    </w:p>
    <w:p w14:paraId="1D7BE04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Meanwhile, this study also has positive significance for improving regional water environment governance capabilities, ensuring drinking water safety, and promoting ecological civilization construction.</w:t>
      </w:r>
    </w:p>
    <w:p w14:paraId="21D8973D">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22" w:name="_Toc5508"/>
      <w:r>
        <w:rPr>
          <w:rFonts w:hint="default" w:ascii="Times New Roman" w:hAnsi="Times New Roman"/>
          <w:color w:val="000000" w:themeColor="text1"/>
          <w:sz w:val="21"/>
          <w:szCs w:val="21"/>
          <w14:textFill>
            <w14:solidFill>
              <w14:schemeClr w14:val="tx1"/>
            </w14:solidFill>
          </w14:textFill>
        </w:rPr>
        <w:t>1.4 Research Content and Technical Approach</w:t>
      </w:r>
      <w:bookmarkEnd w:id="21"/>
      <w:bookmarkEnd w:id="22"/>
    </w:p>
    <w:p w14:paraId="087E74E6">
      <w:pPr>
        <w:pStyle w:val="9"/>
        <w:widowControl/>
        <w:spacing w:line="480" w:lineRule="auto"/>
        <w:rPr>
          <w:rFonts w:ascii="Times New Roman" w:hAnsi="Times New Roman"/>
          <w:color w:val="000000" w:themeColor="text1"/>
          <w:sz w:val="21"/>
          <w:szCs w:val="21"/>
          <w14:textFill>
            <w14:solidFill>
              <w14:schemeClr w14:val="tx1"/>
            </w14:solidFill>
          </w14:textFill>
        </w:rPr>
      </w:pPr>
      <w:bookmarkStart w:id="23" w:name="_Toc1582"/>
      <w:r>
        <w:rPr>
          <w:rFonts w:ascii="Times New Roman" w:hAnsi="Times New Roman"/>
          <w:color w:val="000000" w:themeColor="text1"/>
          <w:sz w:val="21"/>
          <w:szCs w:val="21"/>
          <w14:textFill>
            <w14:solidFill>
              <w14:schemeClr w14:val="tx1"/>
            </w14:solidFill>
          </w14:textFill>
        </w:rPr>
        <w:t>This paper focuses on the water quality change patterns and machine learning evaluation model construction of the Yanlong Lake ecological purification system. Combining in-situ monitoring, laboratory simulation experiments, and machine learning algorithm analysis, it systematically studies the pollution characteristics and impact mechanisms of different functional areas.</w:t>
      </w:r>
    </w:p>
    <w:p w14:paraId="13A3295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learning session will mainly focus on the following aspects:</w:t>
      </w:r>
    </w:p>
    <w:p w14:paraId="33F9CE97">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24" w:name="_Toc24082"/>
      <w:r>
        <w:rPr>
          <w:rFonts w:hint="default" w:ascii="Times New Roman" w:hAnsi="Times New Roman"/>
          <w:color w:val="000000" w:themeColor="text1"/>
          <w:sz w:val="21"/>
          <w:szCs w:val="21"/>
          <w14:textFill>
            <w14:solidFill>
              <w14:schemeClr w14:val="tx1"/>
            </w14:solidFill>
          </w14:textFill>
        </w:rPr>
        <w:t>(1) Survey and data collection in the study area</w:t>
      </w:r>
      <w:bookmarkEnd w:id="24"/>
    </w:p>
    <w:p w14:paraId="1B7A0B6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First, a field investigation was conducted on the Yanlong Lake ecological purification system to analyze its structural composition, functional zoning, and operational characteristics.</w:t>
      </w:r>
    </w:p>
    <w:p w14:paraId="280D6C2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Based on the water environment characteristics of different functional areas, multiple sampling points were set up to conduct on-site monitoring and sample collection. Monitoring indicators included:</w:t>
      </w:r>
    </w:p>
    <w:p w14:paraId="279A4E46">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pH;</w:t>
      </w:r>
    </w:p>
    <w:p w14:paraId="26BE0774">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DO (dissolved oxygen);</w:t>
      </w:r>
    </w:p>
    <w:p w14:paraId="2B862F48">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temperature;</w:t>
      </w:r>
    </w:p>
    <w:p w14:paraId="5C89B470">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Electrical conductivity;</w:t>
      </w:r>
    </w:p>
    <w:p w14:paraId="583EF6B2">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TN (Total Nitrogen);</w:t>
      </w:r>
    </w:p>
    <w:p w14:paraId="5390C90F">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TP (Total Phosphorus);</w:t>
      </w:r>
    </w:p>
    <w:p w14:paraId="2DF9A216">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NH₄⁺-N (ammonia nitrogen);</w:t>
      </w:r>
    </w:p>
    <w:p w14:paraId="2CEAD393">
      <w:pPr>
        <w:widowControl/>
        <w:numPr>
          <w:ilvl w:val="0"/>
          <w:numId w:val="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CODMn (permanganate index), etc.</w:t>
      </w:r>
    </w:p>
    <w:p w14:paraId="7940FF3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Meanwhile, the release patterns of pollutants in sediments under different environmental conditions were studied through laboratory static simulation experiments.</w:t>
      </w:r>
    </w:p>
    <w:p w14:paraId="583FE73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25" w:name="_Toc29736"/>
      <w:r>
        <w:rPr>
          <w:rFonts w:hint="default" w:ascii="Times New Roman" w:hAnsi="Times New Roman"/>
          <w:color w:val="000000" w:themeColor="text1"/>
          <w:sz w:val="21"/>
          <w:szCs w:val="21"/>
          <w14:textFill>
            <w14:solidFill>
              <w14:schemeClr w14:val="tx1"/>
            </w14:solidFill>
          </w14:textFill>
        </w:rPr>
        <w:t>(2) Data preprocessing and exploratory analysis</w:t>
      </w:r>
      <w:bookmarkEnd w:id="25"/>
    </w:p>
    <w:p w14:paraId="13BEEA5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Due to missing values, outliers, and dimensional differences in the original monitoring data, system data preprocessing is necessary.</w:t>
      </w:r>
    </w:p>
    <w:p w14:paraId="5723C45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Z-SCORE normalization method is used to improve the stability of model training by employing the principles of mean imputation, linear interpolation, and handling of missing and outlier values using 3φ.</w:t>
      </w:r>
    </w:p>
    <w:p w14:paraId="43AC259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the exploratory analysis phase, statistical analysis, correlation analysis, and trend change analysis were used to study the water quality change patterns in different functional areas and identify key influencing factors.</w:t>
      </w:r>
    </w:p>
    <w:p w14:paraId="46D0E1C9">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26" w:name="_Toc24597"/>
      <w:r>
        <w:rPr>
          <w:rFonts w:hint="default" w:ascii="Times New Roman" w:hAnsi="Times New Roman"/>
          <w:color w:val="000000" w:themeColor="text1"/>
          <w:sz w:val="21"/>
          <w:szCs w:val="21"/>
          <w14:textFill>
            <w14:solidFill>
              <w14:schemeClr w14:val="tx1"/>
            </w14:solidFill>
          </w14:textFill>
        </w:rPr>
        <w:t>(3) Machine learning model construction</w:t>
      </w:r>
      <w:bookmarkEnd w:id="26"/>
    </w:p>
    <w:p w14:paraId="7A82484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Water quality assessment models were established using random forest and support vector machine (SVM) respectively.</w:t>
      </w:r>
    </w:p>
    <w:p w14:paraId="6CD9CE2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When analyzing complex nonlinear relationships and performing feature importance analysis, the random forest model is mainly used; the support vector machine model is used to classify and predict different water quality levels.</w:t>
      </w:r>
    </w:p>
    <w:p w14:paraId="4A47C82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During model training, cross-validation and parameter optimization methods are used to improve the model's generalization ability, and the model performance is evaluated using metrics such as accuracy, F1 score, and ROC curve.</w:t>
      </w:r>
    </w:p>
    <w:p w14:paraId="219FDCCE">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27" w:name="_Toc22898"/>
      <w:r>
        <w:rPr>
          <w:rFonts w:hint="default" w:ascii="Times New Roman" w:hAnsi="Times New Roman"/>
          <w:color w:val="000000" w:themeColor="text1"/>
          <w:sz w:val="21"/>
          <w:szCs w:val="21"/>
          <w14:textFill>
            <w14:solidFill>
              <w14:schemeClr w14:val="tx1"/>
            </w14:solidFill>
          </w14:textFill>
        </w:rPr>
        <w:t>(4) Analysis of the correlation mechanism between environmental factors and pollutants</w:t>
      </w:r>
      <w:bookmarkEnd w:id="27"/>
    </w:p>
    <w:p w14:paraId="598D8FD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Based on experimental data and model results, the mechanism by which environmental factors, such as DO, pH, and temperature, affect nitrogen and phosphorus release is analyzed.</w:t>
      </w:r>
    </w:p>
    <w:p w14:paraId="222A794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study focuses on the migration and transformation patterns of pollutants under conditions of low oxygen, acid-base changes, and elevated temperature, and reveals the coupling relationships between different environmental factors.</w:t>
      </w:r>
    </w:p>
    <w:p w14:paraId="183B4316">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28" w:name="_Toc7900"/>
      <w:r>
        <w:rPr>
          <w:rFonts w:hint="default" w:ascii="Times New Roman" w:hAnsi="Times New Roman"/>
          <w:color w:val="000000" w:themeColor="text1"/>
          <w:sz w:val="21"/>
          <w:szCs w:val="21"/>
          <w14:textFill>
            <w14:solidFill>
              <w14:schemeClr w14:val="tx1"/>
            </w14:solidFill>
          </w14:textFill>
        </w:rPr>
        <w:t>(5) Engineering application and optimization suggestions</w:t>
      </w:r>
      <w:bookmarkEnd w:id="28"/>
    </w:p>
    <w:p w14:paraId="2D60740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Based on the research findings, targeted optimization suggestions are proposed for different functional areas of the Yanlong Lake ecological purification system, including:</w:t>
      </w:r>
    </w:p>
    <w:p w14:paraId="43974702">
      <w:pPr>
        <w:widowControl/>
        <w:numPr>
          <w:ilvl w:val="0"/>
          <w:numId w:val="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Aeration and oxygenation;</w:t>
      </w:r>
    </w:p>
    <w:p w14:paraId="5FCDA73D">
      <w:pPr>
        <w:widowControl/>
        <w:numPr>
          <w:ilvl w:val="0"/>
          <w:numId w:val="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Bottom sediment dredging;</w:t>
      </w:r>
    </w:p>
    <w:p w14:paraId="0F6BD61C">
      <w:pPr>
        <w:widowControl/>
        <w:numPr>
          <w:ilvl w:val="0"/>
          <w:numId w:val="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Optimized configuration of aquatic plants;</w:t>
      </w:r>
    </w:p>
    <w:p w14:paraId="335213DB">
      <w:pPr>
        <w:widowControl/>
        <w:numPr>
          <w:ilvl w:val="0"/>
          <w:numId w:val="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Construction of online monitoring systems, etc.</w:t>
      </w:r>
    </w:p>
    <w:p w14:paraId="6203ACB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Meanwhile, in light of the development trend of smart water management, this paper explores the application prospects of machine learning in the intelligent management of future ecological purification systems.</w:t>
      </w:r>
    </w:p>
    <w:p w14:paraId="2EB49A24">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5B76815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overall technical approach of this article is as follows:</w:t>
      </w:r>
    </w:p>
    <w:p w14:paraId="78341DA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First, basic data is obtained through on-site and laboratory analysis; then, data is cleaned and exploratory analysis is conducted; based on this, a learning template for the exam is created, and performance evaluation is carried out; finally, the impact mechanism of environmental factors is analyzed, and project optimization suggestions are proposed based on the model results.</w:t>
      </w:r>
    </w:p>
    <w:p w14:paraId="0EB71AB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technical approach can be summarized as follows:</w:t>
      </w:r>
    </w:p>
    <w:p w14:paraId="7E030A9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Data acquisition, data cleaning and standardization, exploratory data analysis, feature selection, machine learning model building, model optimization and validation, environmental factor mechanism analysis, engineering application research (structure instruction).</w:t>
      </w:r>
    </w:p>
    <w:p w14:paraId="1538966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research approach enables a complete research process from data acquisition and model building to engineering application analysis, providing a theoretical basis for intelligent water quality evaluation of ecological purification systems.</w:t>
      </w:r>
    </w:p>
    <w:p w14:paraId="34FDA586">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29" w:name="_Toc16206"/>
      <w:r>
        <w:rPr>
          <w:rFonts w:hint="default" w:ascii="Times New Roman" w:hAnsi="Times New Roman"/>
          <w:color w:val="000000" w:themeColor="text1"/>
          <w:sz w:val="21"/>
          <w:szCs w:val="21"/>
          <w14:textFill>
            <w14:solidFill>
              <w14:schemeClr w14:val="tx1"/>
            </w14:solidFill>
          </w14:textFill>
        </w:rPr>
        <w:t>Chapter 2 Theoretical Foundation and Research Methods</w:t>
      </w:r>
      <w:bookmarkEnd w:id="23"/>
      <w:bookmarkEnd w:id="29"/>
    </w:p>
    <w:p w14:paraId="01A27458">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30" w:name="_Toc318"/>
      <w:bookmarkStart w:id="31" w:name="_Toc15444"/>
      <w:r>
        <w:rPr>
          <w:rFonts w:hint="default" w:ascii="Times New Roman" w:hAnsi="Times New Roman"/>
          <w:color w:val="000000" w:themeColor="text1"/>
          <w:sz w:val="21"/>
          <w:szCs w:val="21"/>
          <w14:textFill>
            <w14:solidFill>
              <w14:schemeClr w14:val="tx1"/>
            </w14:solidFill>
          </w14:textFill>
        </w:rPr>
        <w:t>2.1 Theoretical Basis of Water Quality Assessment</w:t>
      </w:r>
      <w:bookmarkEnd w:id="30"/>
      <w:bookmarkEnd w:id="31"/>
    </w:p>
    <w:p w14:paraId="200579E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32" w:name="_Toc22752"/>
      <w:bookmarkStart w:id="33" w:name="_Toc3896"/>
      <w:r>
        <w:rPr>
          <w:rFonts w:hint="default" w:ascii="Times New Roman" w:hAnsi="Times New Roman"/>
          <w:color w:val="000000" w:themeColor="text1"/>
          <w:sz w:val="21"/>
          <w:szCs w:val="21"/>
          <w14:textFill>
            <w14:solidFill>
              <w14:schemeClr w14:val="tx1"/>
            </w14:solidFill>
          </w14:textFill>
        </w:rPr>
        <w:t>2.1.1 Single-factor evaluation method</w:t>
      </w:r>
      <w:bookmarkEnd w:id="32"/>
      <w:bookmarkEnd w:id="33"/>
    </w:p>
    <w:p w14:paraId="0E1F141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my country's traditional water quality assessment, the single-factor evaluation method is the most common. Its core idea is to use the most severely polluted indicator as the final evaluation result, and then compare the measured values of each pollution indicator with the standard limits.</w:t>
      </w:r>
    </w:p>
    <w:p w14:paraId="422A7C2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advantages of this method include:</w:t>
      </w:r>
    </w:p>
    <w:p w14:paraId="27D386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The calculation is simple;</w:t>
      </w:r>
    </w:p>
    <w:p w14:paraId="5A63E43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The evaluation is intuitive;</w:t>
      </w:r>
    </w:p>
    <w:p w14:paraId="2C8D6AF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Applicable to rapid evaluation.</w:t>
      </w:r>
    </w:p>
    <w:p w14:paraId="49551A2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However, its drawbacks are also quite obvious:</w:t>
      </w:r>
    </w:p>
    <w:p w14:paraId="6C261BF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It cannot reflect the combined effects of multiple factors;</w:t>
      </w:r>
    </w:p>
    <w:p w14:paraId="5C747F2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It is easy to exaggerate the role of a single indicator;</w:t>
      </w:r>
    </w:p>
    <w:p w14:paraId="05CF828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It is difficult to reflect the characteristics of complex systems.</w:t>
      </w:r>
    </w:p>
    <w:p w14:paraId="60157A04">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34" w:name="_Toc5373"/>
      <w:bookmarkStart w:id="35" w:name="_Toc31831"/>
      <w:r>
        <w:rPr>
          <w:rFonts w:hint="default" w:ascii="Times New Roman" w:hAnsi="Times New Roman"/>
          <w:color w:val="000000" w:themeColor="text1"/>
          <w:sz w:val="21"/>
          <w:szCs w:val="21"/>
          <w14:textFill>
            <w14:solidFill>
              <w14:schemeClr w14:val="tx1"/>
            </w14:solidFill>
          </w14:textFill>
        </w:rPr>
        <w:t>2.1.2 Comprehensive Pollution Index Method</w:t>
      </w:r>
      <w:bookmarkEnd w:id="34"/>
      <w:bookmarkEnd w:id="35"/>
    </w:p>
    <w:p w14:paraId="37280CE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For multiple pollution indicators, the comprehensive pollution index method can take them into account.</w:t>
      </w:r>
    </w:p>
    <w:p w14:paraId="79E4150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formula is as follows:</w:t>
      </w:r>
    </w:p>
    <w:p w14:paraId="07EB15EA">
      <w:pPr>
        <w:pStyle w:val="9"/>
        <w:widowControl/>
        <w:spacing w:line="480" w:lineRule="auto"/>
        <w:rPr>
          <w:rFonts w:ascii="Times New Roman" w:hAnsi="Times New Roman"/>
          <w:color w:val="000000" w:themeColor="text1"/>
          <w:sz w:val="21"/>
          <w:szCs w:val="21"/>
          <w14:textFill>
            <w14:solidFill>
              <w14:schemeClr w14:val="tx1"/>
            </w14:solidFill>
          </w14:textFill>
        </w:rPr>
      </w:pPr>
      <m:oMathPara>
        <m:oMath>
          <m:r>
            <m:rPr>
              <m:nor/>
            </m:rPr>
            <w:rPr>
              <w:rFonts w:ascii="Times New Roman" w:hAnsi="Times New Roman"/>
              <w:i/>
              <w:color w:val="000000" w:themeColor="text1"/>
              <w:sz w:val="21"/>
              <w:szCs w:val="21"/>
              <w:lang w:bidi="ar"/>
              <w14:textFill>
                <w14:solidFill>
                  <w14:schemeClr w14:val="tx1"/>
                </w14:solidFill>
              </w14:textFill>
            </w:rPr>
            <m:t>P</m:t>
          </m:r>
          <m:r>
            <m:rPr>
              <m:nor/>
              <m:sty m:val="p"/>
            </m:rPr>
            <w:rPr>
              <w:rFonts w:ascii="Times New Roman" w:hAnsi="Times New Roman"/>
              <w:b w:val="0"/>
              <w:i w:val="0"/>
              <w:color w:val="000000" w:themeColor="text1"/>
              <w:sz w:val="21"/>
              <w:szCs w:val="21"/>
              <w:lang w:bidi="ar"/>
              <w14:textFill>
                <w14:solidFill>
                  <w14:schemeClr w14:val="tx1"/>
                </w14:solidFill>
              </w14:textFill>
            </w:rPr>
            <m:t>=</m:t>
          </m:r>
          <m:f>
            <m:fPr>
              <m:ctrlPr>
                <w:rPr>
                  <w:rFonts w:ascii="Cambria Math" w:hAnsi="Cambria Math"/>
                  <w:i/>
                  <w:color w:val="000000" w:themeColor="text1"/>
                  <w:sz w:val="21"/>
                  <w:szCs w:val="21"/>
                  <w:lang w:bidi="ar"/>
                  <w14:textFill>
                    <w14:solidFill>
                      <w14:schemeClr w14:val="tx1"/>
                    </w14:solidFill>
                  </w14:textFill>
                </w:rPr>
              </m:ctrlPr>
            </m:fPr>
            <m:num>
              <m:r>
                <m:rPr>
                  <m:nor/>
                  <m:sty m:val="p"/>
                </m:rPr>
                <w:rPr>
                  <w:rFonts w:ascii="Times New Roman" w:hAnsi="Times New Roman"/>
                  <w:b w:val="0"/>
                  <w:i w:val="0"/>
                  <w:color w:val="000000" w:themeColor="text1"/>
                  <w:sz w:val="21"/>
                  <w:szCs w:val="21"/>
                  <w:lang w:bidi="ar"/>
                  <w14:textFill>
                    <w14:solidFill>
                      <w14:schemeClr w14:val="tx1"/>
                    </w14:solidFill>
                  </w14:textFill>
                </w:rPr>
                <m:t>1</m:t>
              </m:r>
              <m:ctrlPr>
                <w:rPr>
                  <w:rFonts w:ascii="Cambria Math" w:hAnsi="Cambria Math"/>
                  <w:i/>
                  <w:color w:val="000000" w:themeColor="text1"/>
                  <w:sz w:val="21"/>
                  <w:szCs w:val="21"/>
                  <w:lang w:bidi="ar"/>
                  <w14:textFill>
                    <w14:solidFill>
                      <w14:schemeClr w14:val="tx1"/>
                    </w14:solidFill>
                  </w14:textFill>
                </w:rPr>
              </m:ctrlPr>
            </m:num>
            <m:den>
              <m:r>
                <m:rPr>
                  <m:nor/>
                </m:rPr>
                <w:rPr>
                  <w:rFonts w:ascii="Times New Roman" w:hAnsi="Times New Roman"/>
                  <w:i/>
                  <w:color w:val="000000" w:themeColor="text1"/>
                  <w:sz w:val="21"/>
                  <w:szCs w:val="21"/>
                  <w:lang w:bidi="ar"/>
                  <w14:textFill>
                    <w14:solidFill>
                      <w14:schemeClr w14:val="tx1"/>
                    </w14:solidFill>
                  </w14:textFill>
                </w:rPr>
                <m:t>n</m:t>
              </m:r>
              <m:ctrlPr>
                <w:rPr>
                  <w:rFonts w:ascii="Cambria Math" w:hAnsi="Cambria Math"/>
                  <w:i/>
                  <w:color w:val="000000" w:themeColor="text1"/>
                  <w:sz w:val="21"/>
                  <w:szCs w:val="21"/>
                  <w:lang w:bidi="ar"/>
                  <w14:textFill>
                    <w14:solidFill>
                      <w14:schemeClr w14:val="tx1"/>
                    </w14:solidFill>
                  </w14:textFill>
                </w:rPr>
              </m:ctrlPr>
            </m:den>
          </m:f>
          <m:nary>
            <m:naryPr>
              <m:chr m:val="∑"/>
              <m:limLoc m:val="undOvr"/>
              <m:ctrlPr>
                <w:rPr>
                  <w:rFonts w:ascii="Cambria Math" w:hAnsi="Cambria Math"/>
                  <w:i/>
                  <w:color w:val="000000" w:themeColor="text1"/>
                  <w:sz w:val="21"/>
                  <w:szCs w:val="21"/>
                  <w:lang w:bidi="ar"/>
                  <w14:textFill>
                    <w14:solidFill>
                      <w14:schemeClr w14:val="tx1"/>
                    </w14:solidFill>
                  </w14:textFill>
                </w:rPr>
              </m:ctrlPr>
            </m:naryPr>
            <m:sub>
              <m:r>
                <m:rPr>
                  <m:nor/>
                </m:rPr>
                <w:rPr>
                  <w:rFonts w:ascii="Times New Roman" w:hAnsi="Times New Roman"/>
                  <w:i/>
                  <w:color w:val="000000" w:themeColor="text1"/>
                  <w:sz w:val="21"/>
                  <w:szCs w:val="21"/>
                  <w:lang w:bidi="ar"/>
                  <w14:textFill>
                    <w14:solidFill>
                      <w14:schemeClr w14:val="tx1"/>
                    </w14:solidFill>
                  </w14:textFill>
                </w:rPr>
                <m:t>i</m:t>
              </m:r>
              <m:r>
                <m:rPr>
                  <m:nor/>
                  <m:sty m:val="p"/>
                </m:rPr>
                <w:rPr>
                  <w:rFonts w:ascii="Times New Roman" w:hAnsi="Times New Roman"/>
                  <w:b w:val="0"/>
                  <w:i w:val="0"/>
                  <w:color w:val="000000" w:themeColor="text1"/>
                  <w:sz w:val="21"/>
                  <w:szCs w:val="21"/>
                  <w:lang w:bidi="ar"/>
                  <w14:textFill>
                    <w14:solidFill>
                      <w14:schemeClr w14:val="tx1"/>
                    </w14:solidFill>
                  </w14:textFill>
                </w:rPr>
                <m:t>=1</m:t>
              </m:r>
              <m:ctrlPr>
                <w:rPr>
                  <w:rFonts w:ascii="Cambria Math" w:hAnsi="Cambria Math"/>
                  <w:i/>
                  <w:color w:val="000000" w:themeColor="text1"/>
                  <w:sz w:val="21"/>
                  <w:szCs w:val="21"/>
                  <w:lang w:bidi="ar"/>
                  <w14:textFill>
                    <w14:solidFill>
                      <w14:schemeClr w14:val="tx1"/>
                    </w14:solidFill>
                  </w14:textFill>
                </w:rPr>
              </m:ctrlPr>
            </m:sub>
            <m:sup>
              <m:r>
                <m:rPr>
                  <m:nor/>
                </m:rPr>
                <w:rPr>
                  <w:rFonts w:ascii="Times New Roman" w:hAnsi="Times New Roman"/>
                  <w:i/>
                  <w:color w:val="000000" w:themeColor="text1"/>
                  <w:sz w:val="21"/>
                  <w:szCs w:val="21"/>
                  <w:lang w:bidi="ar"/>
                  <w14:textFill>
                    <w14:solidFill>
                      <w14:schemeClr w14:val="tx1"/>
                    </w14:solidFill>
                  </w14:textFill>
                </w:rPr>
                <m:t>n</m:t>
              </m:r>
              <m:ctrlPr>
                <w:rPr>
                  <w:rFonts w:ascii="Cambria Math" w:hAnsi="Cambria Math"/>
                  <w:i/>
                  <w:color w:val="000000" w:themeColor="text1"/>
                  <w:sz w:val="21"/>
                  <w:szCs w:val="21"/>
                  <w:lang w:bidi="ar"/>
                  <w14:textFill>
                    <w14:solidFill>
                      <w14:schemeClr w14:val="tx1"/>
                    </w14:solidFill>
                  </w14:textFill>
                </w:rPr>
              </m:ctrlPr>
            </m:sup>
            <m:e>
              <m:f>
                <m:fPr>
                  <m:ctrlPr>
                    <w:rPr>
                      <w:rFonts w:ascii="Cambria Math" w:hAnsi="Cambria Math"/>
                      <w:i/>
                      <w:color w:val="000000" w:themeColor="text1"/>
                      <w:sz w:val="21"/>
                      <w:szCs w:val="21"/>
                      <w:lang w:bidi="ar"/>
                      <w14:textFill>
                        <w14:solidFill>
                          <w14:schemeClr w14:val="tx1"/>
                        </w14:solidFill>
                      </w14:textFill>
                    </w:rPr>
                  </m:ctrlPr>
                </m:fPr>
                <m:num>
                  <m:r>
                    <m:rPr>
                      <m:nor/>
                    </m:rPr>
                    <w:rPr>
                      <w:rFonts w:ascii="Times New Roman" w:hAnsi="Times New Roman"/>
                      <w:i/>
                      <w:color w:val="000000" w:themeColor="text1"/>
                      <w:sz w:val="21"/>
                      <w:szCs w:val="21"/>
                      <w:lang w:bidi="ar"/>
                      <w14:textFill>
                        <w14:solidFill>
                          <w14:schemeClr w14:val="tx1"/>
                        </w14:solidFill>
                      </w14:textFill>
                    </w:rPr>
                    <m:t>Ci</m:t>
                  </m:r>
                  <m:ctrlPr>
                    <w:rPr>
                      <w:rFonts w:ascii="Cambria Math" w:hAnsi="Cambria Math"/>
                      <w:i/>
                      <w:color w:val="000000" w:themeColor="text1"/>
                      <w:sz w:val="21"/>
                      <w:szCs w:val="21"/>
                      <w:lang w:bidi="ar"/>
                      <w14:textFill>
                        <w14:solidFill>
                          <w14:schemeClr w14:val="tx1"/>
                        </w14:solidFill>
                      </w14:textFill>
                    </w:rPr>
                  </m:ctrlPr>
                </m:num>
                <m:den>
                  <m:r>
                    <m:rPr>
                      <m:nor/>
                    </m:rPr>
                    <w:rPr>
                      <w:rFonts w:ascii="Times New Roman" w:hAnsi="Times New Roman"/>
                      <w:i/>
                      <w:color w:val="000000" w:themeColor="text1"/>
                      <w:sz w:val="21"/>
                      <w:szCs w:val="21"/>
                      <w:lang w:bidi="ar"/>
                      <w14:textFill>
                        <w14:solidFill>
                          <w14:schemeClr w14:val="tx1"/>
                        </w14:solidFill>
                      </w14:textFill>
                    </w:rPr>
                    <m:t>Si</m:t>
                  </m:r>
                  <m:ctrlPr>
                    <w:rPr>
                      <w:rFonts w:ascii="Cambria Math" w:hAnsi="Cambria Math"/>
                      <w:i/>
                      <w:color w:val="000000" w:themeColor="text1"/>
                      <w:sz w:val="21"/>
                      <w:szCs w:val="21"/>
                      <w:lang w:bidi="ar"/>
                      <w14:textFill>
                        <w14:solidFill>
                          <w14:schemeClr w14:val="tx1"/>
                        </w14:solidFill>
                      </w14:textFill>
                    </w:rPr>
                  </m:ctrlPr>
                </m:den>
              </m:f>
              <m:ctrlPr>
                <w:rPr>
                  <w:rFonts w:ascii="Cambria Math" w:hAnsi="Cambria Math"/>
                  <w:i/>
                  <w:color w:val="000000" w:themeColor="text1"/>
                  <w:sz w:val="21"/>
                  <w:szCs w:val="21"/>
                  <w:lang w:bidi="ar"/>
                  <w14:textFill>
                    <w14:solidFill>
                      <w14:schemeClr w14:val="tx1"/>
                    </w14:solidFill>
                  </w14:textFill>
                </w:rPr>
              </m:ctrlPr>
            </m:e>
          </m:nary>
        </m:oMath>
      </m:oMathPara>
    </w:p>
    <w:p w14:paraId="3A5B02B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w:t>
      </w:r>
    </w:p>
    <w:p w14:paraId="315BFDB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P represents the comprehensive pollution index;</w:t>
      </w:r>
    </w:p>
    <w:p w14:paraId="6BDF1EE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Ci represents the measured concentration of the pollutant.</w:t>
      </w:r>
    </w:p>
    <w:p w14:paraId="72C8048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Si represents the corresponding standard limit.</w:t>
      </w:r>
    </w:p>
    <w:p w14:paraId="5BE57FE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comprehensive pollution index method is more comprehensive than the single-factor method, but it is still difficult to describe nonlinear coupling relationships.</w:t>
      </w:r>
    </w:p>
    <w:p w14:paraId="5F446FE8">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36" w:name="_Toc19152"/>
      <w:bookmarkStart w:id="37" w:name="_Toc11525"/>
      <w:r>
        <w:rPr>
          <w:rFonts w:hint="default" w:ascii="Times New Roman" w:hAnsi="Times New Roman"/>
          <w:color w:val="000000" w:themeColor="text1"/>
          <w:sz w:val="21"/>
          <w:szCs w:val="21"/>
          <w14:textFill>
            <w14:solidFill>
              <w14:schemeClr w14:val="tx1"/>
            </w14:solidFill>
          </w14:textFill>
        </w:rPr>
        <w:t>2.2 Machine Learning Model Theory</w:t>
      </w:r>
      <w:bookmarkEnd w:id="36"/>
      <w:bookmarkEnd w:id="37"/>
    </w:p>
    <w:p w14:paraId="2DFF90D8">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38" w:name="_Toc32667"/>
      <w:bookmarkStart w:id="39" w:name="_Toc2107"/>
      <w:r>
        <w:rPr>
          <w:rFonts w:hint="default" w:ascii="Times New Roman" w:hAnsi="Times New Roman"/>
          <w:color w:val="000000" w:themeColor="text1"/>
          <w:sz w:val="21"/>
          <w:szCs w:val="21"/>
          <w14:textFill>
            <w14:solidFill>
              <w14:schemeClr w14:val="tx1"/>
            </w14:solidFill>
          </w14:textFill>
        </w:rPr>
        <w:t>2.2.1 Principles of the Random Forest Model</w:t>
      </w:r>
      <w:bookmarkEnd w:id="38"/>
      <w:bookmarkEnd w:id="39"/>
    </w:p>
    <w:p w14:paraId="09B4A2C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Random Forest (RF) is an ensemble learning method belonging to the Bagging class of algorithms. Its core idea is to improve the overall model stability and generalization ability by building a large number of decision trees and combining the results of various decision trees.</w:t>
      </w:r>
    </w:p>
    <w:p w14:paraId="5A49DAF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main steps are as follows: Random Forest Algorithm:</w:t>
      </w:r>
    </w:p>
    <w:p w14:paraId="60044BB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first step is to use the BOOTSTRAP method to randomly sample with replacement from the original data to generate several training subsets.</w:t>
      </w:r>
    </w:p>
    <w:p w14:paraId="1456555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second step is to build the decision tree model on each training subset. During node partitioning, random forests do not use all features, but rather randomly select some features for optimal partitioning, thus reducing the correlation between models.</w:t>
      </w:r>
    </w:p>
    <w:p w14:paraId="659A146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third step is to integrate the outputs of multiple decision trees. For classification problems, a majority vote is used; for return-type problems, the final output is the average value.</w:t>
      </w:r>
    </w:p>
    <w:p w14:paraId="4B599B5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Random forests have the following advantages:</w:t>
      </w:r>
    </w:p>
    <w:p w14:paraId="162B515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It can effectively reduce the risk of overfitting;</w:t>
      </w:r>
    </w:p>
    <w:p w14:paraId="76D3DEF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Not sensitive to outliers and noisy data;</w:t>
      </w:r>
    </w:p>
    <w:p w14:paraId="02549DA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(3) The ability to process large-scale, high-dimensional data;</w:t>
      </w:r>
    </w:p>
    <w:p w14:paraId="4CDA09B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Able to assess feature importance;</w:t>
      </w:r>
    </w:p>
    <w:p w14:paraId="3FE0673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(5) Applicable to the analysis of complex nonlinear systems.</w:t>
      </w:r>
    </w:p>
    <w:p w14:paraId="74FF2AA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water environment research, due to the complex coupling relationships among water quality indicators, random forests can effectively identify the nonlinear correlations between variables such as DO, temperature, pH, and TP, making them highly suitable for water quality evaluation research of ecological purification systems.</w:t>
      </w:r>
    </w:p>
    <w:p w14:paraId="7961545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Furthermore, the random forest model is highly interpretable. </w:t>
      </w:r>
      <w:r>
        <w:rPr>
          <w:rFonts w:ascii="Times New Roman" w:hAnsi="Times New Roman"/>
          <w:color w:val="000000" w:themeColor="text1"/>
          <w:sz w:val="21"/>
          <w:szCs w:val="21"/>
          <w14:textFill>
            <w14:solidFill>
              <w14:schemeClr w14:val="tx1"/>
            </w14:solidFill>
          </w14:textFill>
        </w:rPr>
        <w:t>Through feature importance analysis, key environmental factors affecting water quality changes can be identified, thus providing a theoretical basis for optimizing ecological purification systems.</w:t>
      </w:r>
    </w:p>
    <w:p w14:paraId="769BBF4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Random forest is an ensemble learning algorithm based on decision trees, proposed by Brehman in 2001.</w:t>
      </w:r>
    </w:p>
    <w:p w14:paraId="3176F3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Its main idea is:</w:t>
      </w:r>
    </w:p>
    <w:p w14:paraId="6EF0A1D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(1) Randomly select using the BOOTSTRAP method to generate several training subsets;</w:t>
      </w:r>
    </w:p>
    <w:p w14:paraId="3CA1BB1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Construct multiple decision trees;</w:t>
      </w:r>
    </w:p>
    <w:p w14:paraId="1148448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Output the final result through voting.</w:t>
      </w:r>
    </w:p>
    <w:p w14:paraId="2800440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Random forests have the following advantages:</w:t>
      </w:r>
    </w:p>
    <w:p w14:paraId="0736357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Strong resistance to overfitting;</w:t>
      </w:r>
    </w:p>
    <w:p w14:paraId="35A5B64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Applicable to high-dimensional data;</w:t>
      </w:r>
    </w:p>
    <w:p w14:paraId="0A8AD21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It can handle complex nonlinear relationships;</w:t>
      </w:r>
    </w:p>
    <w:p w14:paraId="1F420B8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Output the importance of features.</w:t>
      </w:r>
    </w:p>
    <w:p w14:paraId="4A5A3B67">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40" w:name="_Toc6954"/>
      <w:bookmarkStart w:id="41" w:name="_Toc13245"/>
      <w:r>
        <w:rPr>
          <w:rFonts w:hint="default" w:ascii="Times New Roman" w:hAnsi="Times New Roman"/>
          <w:color w:val="000000" w:themeColor="text1"/>
          <w:sz w:val="21"/>
          <w:szCs w:val="21"/>
          <w14:textFill>
            <w14:solidFill>
              <w14:schemeClr w14:val="tx1"/>
            </w14:solidFill>
          </w14:textFill>
        </w:rPr>
        <w:t>2.2.2 Support Vector Machine Model Principle</w:t>
      </w:r>
      <w:bookmarkEnd w:id="40"/>
      <w:bookmarkEnd w:id="41"/>
    </w:p>
    <w:p w14:paraId="4C3316F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Support Vector Machine (SVM) is a supervised learning algorithm (Progressive Learning Machine).</w:t>
      </w:r>
    </w:p>
    <w:p w14:paraId="0D12352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core idea is to achieve classification by finding the optimal classification of the hyperplane.</w:t>
      </w:r>
    </w:p>
    <w:p w14:paraId="733CCF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linear SVM expression is as follows:</w:t>
      </w:r>
    </w:p>
    <w:p w14:paraId="4519EF67">
      <w:pPr>
        <w:pStyle w:val="9"/>
        <w:widowControl/>
        <w:spacing w:line="480" w:lineRule="auto"/>
        <w:rPr>
          <w:rFonts w:ascii="Times New Roman" w:hAnsi="Times New Roman"/>
          <w:color w:val="000000" w:themeColor="text1"/>
          <w:sz w:val="21"/>
          <w:szCs w:val="21"/>
          <w14:textFill>
            <w14:solidFill>
              <w14:schemeClr w14:val="tx1"/>
            </w14:solidFill>
          </w14:textFill>
        </w:rPr>
      </w:pPr>
      <m:oMathPara>
        <m:oMath>
          <m:r>
            <m:rPr>
              <m:nor/>
            </m:rPr>
            <w:rPr>
              <w:rFonts w:ascii="Times New Roman" w:hAnsi="Times New Roman"/>
              <w:i/>
              <w:color w:val="000000" w:themeColor="text1"/>
              <w:sz w:val="21"/>
              <w:szCs w:val="21"/>
              <w:lang w:bidi="ar"/>
              <w14:textFill>
                <w14:solidFill>
                  <w14:schemeClr w14:val="tx1"/>
                </w14:solidFill>
              </w14:textFill>
            </w:rPr>
            <m:t>f</m:t>
          </m:r>
          <m:r>
            <m:rPr>
              <m:nor/>
              <m:sty m:val="p"/>
            </m:rPr>
            <w:rPr>
              <w:rFonts w:ascii="Times New Roman" w:hAnsi="Times New Roman"/>
              <w:b w:val="0"/>
              <w:i w:val="0"/>
              <w:color w:val="000000" w:themeColor="text1"/>
              <w:sz w:val="21"/>
              <w:szCs w:val="21"/>
              <w:lang w:bidi="ar"/>
              <w14:textFill>
                <w14:solidFill>
                  <w14:schemeClr w14:val="tx1"/>
                </w14:solidFill>
              </w14:textFill>
            </w:rPr>
            <m:t>(</m:t>
          </m:r>
          <m:r>
            <m:rPr>
              <m:nor/>
            </m:rPr>
            <w:rPr>
              <w:rFonts w:ascii="Times New Roman" w:hAnsi="Times New Roman"/>
              <w:i/>
              <w:color w:val="000000" w:themeColor="text1"/>
              <w:sz w:val="21"/>
              <w:szCs w:val="21"/>
              <w:lang w:bidi="ar"/>
              <w14:textFill>
                <w14:solidFill>
                  <w14:schemeClr w14:val="tx1"/>
                </w14:solidFill>
              </w14:textFill>
            </w:rPr>
            <m:t>x</m:t>
          </m:r>
          <m:r>
            <m:rPr>
              <m:nor/>
              <m:sty m:val="p"/>
            </m:rPr>
            <w:rPr>
              <w:rFonts w:ascii="Times New Roman" w:hAnsi="Times New Roman"/>
              <w:b w:val="0"/>
              <w:i w:val="0"/>
              <w:color w:val="000000" w:themeColor="text1"/>
              <w:sz w:val="21"/>
              <w:szCs w:val="21"/>
              <w:lang w:bidi="ar"/>
              <w14:textFill>
                <w14:solidFill>
                  <w14:schemeClr w14:val="tx1"/>
                </w14:solidFill>
              </w14:textFill>
            </w:rPr>
            <m:t>)=</m:t>
          </m:r>
          <m:sSup>
            <m:sSupPr>
              <m:ctrlPr>
                <w:rPr>
                  <w:rFonts w:ascii="Cambria Math" w:hAnsi="Cambria Math"/>
                  <w:i/>
                  <w:color w:val="000000" w:themeColor="text1"/>
                  <w:sz w:val="21"/>
                  <w:szCs w:val="21"/>
                  <w:lang w:bidi="ar"/>
                  <w14:textFill>
                    <w14:solidFill>
                      <w14:schemeClr w14:val="tx1"/>
                    </w14:solidFill>
                  </w14:textFill>
                </w:rPr>
              </m:ctrlPr>
            </m:sSupPr>
            <m:e>
              <m:r>
                <m:rPr>
                  <m:nor/>
                </m:rPr>
                <w:rPr>
                  <w:rFonts w:ascii="Times New Roman" w:hAnsi="Times New Roman"/>
                  <w:i/>
                  <w:color w:val="000000" w:themeColor="text1"/>
                  <w:sz w:val="21"/>
                  <w:szCs w:val="21"/>
                  <w:lang w:bidi="ar"/>
                  <w14:textFill>
                    <w14:solidFill>
                      <w14:schemeClr w14:val="tx1"/>
                    </w14:solidFill>
                  </w14:textFill>
                </w:rPr>
                <m:t>w</m:t>
              </m:r>
              <m:ctrlPr>
                <w:rPr>
                  <w:rFonts w:ascii="Cambria Math" w:hAnsi="Cambria Math"/>
                  <w:i/>
                  <w:color w:val="000000" w:themeColor="text1"/>
                  <w:sz w:val="21"/>
                  <w:szCs w:val="21"/>
                  <w:lang w:bidi="ar"/>
                  <w14:textFill>
                    <w14:solidFill>
                      <w14:schemeClr w14:val="tx1"/>
                    </w14:solidFill>
                  </w14:textFill>
                </w:rPr>
              </m:ctrlPr>
            </m:e>
            <m:sup>
              <m:r>
                <m:rPr>
                  <m:nor/>
                </m:rPr>
                <w:rPr>
                  <w:rFonts w:ascii="Times New Roman" w:hAnsi="Times New Roman"/>
                  <w:i/>
                  <w:color w:val="000000" w:themeColor="text1"/>
                  <w:sz w:val="21"/>
                  <w:szCs w:val="21"/>
                  <w:lang w:bidi="ar"/>
                  <w14:textFill>
                    <w14:solidFill>
                      <w14:schemeClr w14:val="tx1"/>
                    </w14:solidFill>
                  </w14:textFill>
                </w:rPr>
                <m:t>T</m:t>
              </m:r>
              <m:ctrlPr>
                <w:rPr>
                  <w:rFonts w:ascii="Cambria Math" w:hAnsi="Cambria Math"/>
                  <w:i/>
                  <w:color w:val="000000" w:themeColor="text1"/>
                  <w:sz w:val="21"/>
                  <w:szCs w:val="21"/>
                  <w:lang w:bidi="ar"/>
                  <w14:textFill>
                    <w14:solidFill>
                      <w14:schemeClr w14:val="tx1"/>
                    </w14:solidFill>
                  </w14:textFill>
                </w:rPr>
              </m:ctrlPr>
            </m:sup>
          </m:sSup>
          <m:r>
            <m:rPr>
              <m:nor/>
            </m:rPr>
            <w:rPr>
              <w:rFonts w:ascii="Times New Roman" w:hAnsi="Times New Roman"/>
              <w:i/>
              <w:color w:val="000000" w:themeColor="text1"/>
              <w:sz w:val="21"/>
              <w:szCs w:val="21"/>
              <w:lang w:bidi="ar"/>
              <w14:textFill>
                <w14:solidFill>
                  <w14:schemeClr w14:val="tx1"/>
                </w14:solidFill>
              </w14:textFill>
            </w:rPr>
            <m:t>x</m:t>
          </m:r>
          <m:r>
            <m:rPr>
              <m:nor/>
              <m:sty m:val="p"/>
            </m:rPr>
            <w:rPr>
              <w:rFonts w:ascii="Times New Roman" w:hAnsi="Times New Roman"/>
              <w:b w:val="0"/>
              <w:i w:val="0"/>
              <w:color w:val="000000" w:themeColor="text1"/>
              <w:sz w:val="21"/>
              <w:szCs w:val="21"/>
              <w:lang w:bidi="ar"/>
              <w14:textFill>
                <w14:solidFill>
                  <w14:schemeClr w14:val="tx1"/>
                </w14:solidFill>
              </w14:textFill>
            </w:rPr>
            <m:t>+</m:t>
          </m:r>
          <m:r>
            <m:rPr>
              <m:nor/>
            </m:rPr>
            <w:rPr>
              <w:rFonts w:ascii="Times New Roman" w:hAnsi="Times New Roman"/>
              <w:i/>
              <w:color w:val="000000" w:themeColor="text1"/>
              <w:sz w:val="21"/>
              <w:szCs w:val="21"/>
              <w:lang w:bidi="ar"/>
              <w14:textFill>
                <w14:solidFill>
                  <w14:schemeClr w14:val="tx1"/>
                </w14:solidFill>
              </w14:textFill>
            </w:rPr>
            <m:t>b</m:t>
          </m:r>
        </m:oMath>
      </m:oMathPara>
    </w:p>
    <w:p w14:paraId="567390B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paper utilizes the radial basis function (RBF) to achieve nonlinear classification.</w:t>
      </w:r>
    </w:p>
    <w:p w14:paraId="6188083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SVM has the following characteristics:</w:t>
      </w:r>
    </w:p>
    <w:p w14:paraId="7EA7048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Applicable to small sample data;</w:t>
      </w:r>
    </w:p>
    <w:p w14:paraId="42883D5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Possesses strong classification ability;</w:t>
      </w:r>
    </w:p>
    <w:p w14:paraId="321A036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High parameter sensitivity;</w:t>
      </w:r>
    </w:p>
    <w:p w14:paraId="3569E97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The training time is relatively long.</w:t>
      </w:r>
    </w:p>
    <w:p w14:paraId="2F88F204">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42" w:name="_Toc28608"/>
      <w:bookmarkStart w:id="43" w:name="_Toc24534"/>
      <w:r>
        <w:rPr>
          <w:rFonts w:hint="default" w:ascii="Times New Roman" w:hAnsi="Times New Roman"/>
          <w:color w:val="000000" w:themeColor="text1"/>
          <w:sz w:val="21"/>
          <w:szCs w:val="21"/>
          <w14:textFill>
            <w14:solidFill>
              <w14:schemeClr w14:val="tx1"/>
            </w14:solidFill>
          </w14:textFill>
        </w:rPr>
        <w:t>2.3 Data Preprocessing Methods</w:t>
      </w:r>
      <w:bookmarkEnd w:id="42"/>
      <w:bookmarkEnd w:id="43"/>
    </w:p>
    <w:p w14:paraId="1C63776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machine learning modeling, data preprocessing is a crucial step, directly impacting the accuracy and stability of model predictions. Because environmental monitoring data is susceptible to errors, instrument fluctuations, and human factors, raw data often contains missing values, outliers, and dimensional discrepancies.</w:t>
      </w:r>
    </w:p>
    <w:p w14:paraId="56F2C4F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existing monitoring data is systematically preprocessed to improve the reliability of the model.</w:t>
      </w:r>
    </w:p>
    <w:p w14:paraId="6902157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Firstly, in handling missing values, the mean-filling method is used to deal with a small number of random missing values; for missing data in continuous time series, linear interpolation is used to estimate the missing values in order to ensure the continuity of the data.</w:t>
      </w:r>
    </w:p>
    <w:p w14:paraId="31BB26A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Secondly, in handling outliers, the 3α principle was used to identify abnormal data. </w:t>
      </w:r>
      <w:r>
        <w:rPr>
          <w:rFonts w:ascii="Times New Roman" w:hAnsi="Times New Roman"/>
          <w:color w:val="000000" w:themeColor="text1"/>
          <w:sz w:val="21"/>
          <w:szCs w:val="21"/>
          <w14:textFill>
            <w14:solidFill>
              <w14:schemeClr w14:val="tx1"/>
            </w14:solidFill>
          </w14:textFill>
        </w:rPr>
        <w:t>When a data point exceeds the mean by ±3 standard deviations, it is considered that the data may be affected by instrument error or human interference. For outliers, manual verification is conducted in conjunction with on-site monitoring records and experimental logs, and corrections or removals are made based on the actual situation.</w:t>
      </w:r>
    </w:p>
    <w:p w14:paraId="1DEAA5A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Finally, to eliminate the impact of differences in the units of measurement of different indicators on model training, this paper adopts the Z-SCORE standardization method to normalize all input variables. After standardization, the mean value of each variable is 0 and the standard deviation is 1, which greatly helps the training speed and stability of the model.</w:t>
      </w:r>
    </w:p>
    <w:p w14:paraId="1CF5513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Data preprocessing can effectively improve data quality and reduce noise interference, thereby enhancing the predictive performance of machine learning models.</w:t>
      </w:r>
    </w:p>
    <w:p w14:paraId="66662E79">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44" w:name="_Toc15620"/>
      <w:bookmarkStart w:id="45" w:name="_Toc23932"/>
      <w:r>
        <w:rPr>
          <w:rFonts w:hint="default" w:ascii="Times New Roman" w:hAnsi="Times New Roman"/>
          <w:color w:val="000000" w:themeColor="text1"/>
          <w:sz w:val="21"/>
          <w:szCs w:val="21"/>
          <w14:textFill>
            <w14:solidFill>
              <w14:schemeClr w14:val="tx1"/>
            </w14:solidFill>
          </w14:textFill>
        </w:rPr>
        <w:t>2.3.1 Handling Missing Values</w:t>
      </w:r>
      <w:bookmarkEnd w:id="44"/>
      <w:bookmarkEnd w:id="45"/>
    </w:p>
    <w:p w14:paraId="5F31A20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Due to monitoring equipment malfunction and sampling errors, some data is missing.</w:t>
      </w:r>
    </w:p>
    <w:p w14:paraId="3310335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article adopts:</w:t>
      </w:r>
    </w:p>
    <w:p w14:paraId="5A230B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Mean filling;</w:t>
      </w:r>
    </w:p>
    <w:p w14:paraId="1A806DD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Linear interpolation method;</w:t>
      </w:r>
    </w:p>
    <w:p w14:paraId="7F3EA45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Complete the missing value handling.</w:t>
      </w:r>
    </w:p>
    <w:p w14:paraId="3AFCAA0E">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46" w:name="_Toc3178"/>
      <w:bookmarkStart w:id="47" w:name="_Toc23185"/>
      <w:r>
        <w:rPr>
          <w:rFonts w:hint="default" w:ascii="Times New Roman" w:hAnsi="Times New Roman"/>
          <w:color w:val="000000" w:themeColor="text1"/>
          <w:sz w:val="21"/>
          <w:szCs w:val="21"/>
          <w14:textFill>
            <w14:solidFill>
              <w14:schemeClr w14:val="tx1"/>
            </w14:solidFill>
          </w14:textFill>
        </w:rPr>
        <w:t>2.3.2 Outlier Handling</w:t>
      </w:r>
      <w:bookmarkEnd w:id="46"/>
      <w:bookmarkEnd w:id="47"/>
    </w:p>
    <w:p w14:paraId="4B28477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Use the 3σ principle to identify outliers:</w:t>
      </w:r>
    </w:p>
    <w:p w14:paraId="6EBE8954">
      <w:pPr>
        <w:pStyle w:val="9"/>
        <w:widowControl/>
        <w:spacing w:line="480" w:lineRule="auto"/>
        <w:rPr>
          <w:rFonts w:ascii="Times New Roman" w:hAnsi="Times New Roman"/>
          <w:color w:val="000000" w:themeColor="text1"/>
          <w:sz w:val="21"/>
          <w:szCs w:val="21"/>
          <w14:textFill>
            <w14:solidFill>
              <w14:schemeClr w14:val="tx1"/>
            </w14:solidFill>
          </w14:textFill>
        </w:rPr>
      </w:pPr>
      <m:oMathPara>
        <m:oMath>
          <m:d>
            <m:dPr>
              <m:begChr m:val="|"/>
              <m:endChr m:val="|"/>
              <m:ctrlPr>
                <w:rPr>
                  <w:rFonts w:ascii="Cambria Math" w:hAnsi="Cambria Math"/>
                  <w:i/>
                  <w:color w:val="000000" w:themeColor="text1"/>
                  <w:sz w:val="21"/>
                  <w:szCs w:val="21"/>
                  <w14:textFill>
                    <w14:solidFill>
                      <w14:schemeClr w14:val="tx1"/>
                    </w14:solidFill>
                  </w14:textFill>
                </w:rPr>
              </m:ctrlPr>
            </m:dPr>
            <m:e>
              <m:r>
                <m:rPr>
                  <m:nor/>
                </m:rPr>
                <w:rPr>
                  <w:rFonts w:ascii="Times New Roman" w:hAnsi="Times New Roman"/>
                  <w:i/>
                  <w:color w:val="000000" w:themeColor="text1"/>
                  <w:sz w:val="21"/>
                  <w:szCs w:val="21"/>
                  <w14:textFill>
                    <w14:solidFill>
                      <w14:schemeClr w14:val="tx1"/>
                    </w14:solidFill>
                  </w14:textFill>
                </w:rPr>
                <m:t>x</m:t>
              </m:r>
              <m:r>
                <m:rPr>
                  <m:nor/>
                  <m:sty m:val="p"/>
                </m:rPr>
                <w:rPr>
                  <w:rFonts w:ascii="Times New Roman" w:hAnsi="Times New Roman"/>
                  <w:b w:val="0"/>
                  <w:i w:val="0"/>
                  <w:color w:val="000000" w:themeColor="text1"/>
                  <w:sz w:val="21"/>
                  <w:szCs w:val="21"/>
                  <w14:textFill>
                    <w14:solidFill>
                      <w14:schemeClr w14:val="tx1"/>
                    </w14:solidFill>
                  </w14:textFill>
                </w:rPr>
                <m:t>-</m:t>
              </m:r>
              <m:r>
                <m:rPr>
                  <m:nor/>
                </m:rPr>
                <w:rPr>
                  <w:rFonts w:ascii="Times New Roman" w:hAnsi="Times New Roman"/>
                  <w:i/>
                  <w:color w:val="000000" w:themeColor="text1"/>
                  <w:sz w:val="21"/>
                  <w:szCs w:val="21"/>
                  <w14:textFill>
                    <w14:solidFill>
                      <w14:schemeClr w14:val="tx1"/>
                    </w14:solidFill>
                  </w14:textFill>
                </w:rPr>
                <m:t>μ</m:t>
              </m:r>
              <m:ctrlPr>
                <w:rPr>
                  <w:rFonts w:ascii="Cambria Math" w:hAnsi="Cambria Math"/>
                  <w:i/>
                  <w:color w:val="000000" w:themeColor="text1"/>
                  <w:sz w:val="21"/>
                  <w:szCs w:val="21"/>
                  <w14:textFill>
                    <w14:solidFill>
                      <w14:schemeClr w14:val="tx1"/>
                    </w14:solidFill>
                  </w14:textFill>
                </w:rPr>
              </m:ctrlPr>
            </m:e>
          </m:d>
          <m:r>
            <m:rPr>
              <m:nor/>
              <m:sty m:val="p"/>
            </m:rPr>
            <w:rPr>
              <w:rFonts w:ascii="Times New Roman" w:hAnsi="Times New Roman"/>
              <w:b w:val="0"/>
              <w:i w:val="0"/>
              <w:color w:val="000000" w:themeColor="text1"/>
              <w:sz w:val="21"/>
              <w:szCs w:val="21"/>
              <w14:textFill>
                <w14:solidFill>
                  <w14:schemeClr w14:val="tx1"/>
                </w14:solidFill>
              </w14:textFill>
            </w:rPr>
            <m:t>&gt;3</m:t>
          </m:r>
          <m:r>
            <m:rPr>
              <m:nor/>
            </m:rPr>
            <w:rPr>
              <w:rFonts w:ascii="Times New Roman" w:hAnsi="Times New Roman"/>
              <w:i/>
              <w:color w:val="000000" w:themeColor="text1"/>
              <w:sz w:val="21"/>
              <w:szCs w:val="21"/>
              <w14:textFill>
                <w14:solidFill>
                  <w14:schemeClr w14:val="tx1"/>
                </w14:solidFill>
              </w14:textFill>
            </w:rPr>
            <m:t>σ</m:t>
          </m:r>
        </m:oMath>
      </m:oMathPara>
    </w:p>
    <w:p w14:paraId="6CEAF5A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Outliers are removed and corrected.</w:t>
      </w:r>
    </w:p>
    <w:p w14:paraId="3AB13831">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48" w:name="_Toc16108"/>
      <w:bookmarkStart w:id="49" w:name="_Toc32393"/>
      <w:r>
        <w:rPr>
          <w:rFonts w:hint="default" w:ascii="Times New Roman" w:hAnsi="Times New Roman"/>
          <w:color w:val="000000" w:themeColor="text1"/>
          <w:sz w:val="21"/>
          <w:szCs w:val="21"/>
          <w14:textFill>
            <w14:solidFill>
              <w14:schemeClr w14:val="tx1"/>
            </w14:solidFill>
          </w14:textFill>
        </w:rPr>
        <w:t>2.3.3 Data Standardization</w:t>
      </w:r>
      <w:bookmarkEnd w:id="48"/>
      <w:bookmarkEnd w:id="49"/>
    </w:p>
    <w:p w14:paraId="540B6D5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Z-score standardization is adopted:</w:t>
      </w:r>
    </w:p>
    <w:p w14:paraId="4C63AB4E">
      <w:pPr>
        <w:pStyle w:val="9"/>
        <w:widowControl/>
        <w:spacing w:line="480" w:lineRule="auto"/>
        <w:rPr>
          <w:rFonts w:ascii="Times New Roman" w:hAnsi="Times New Roman"/>
          <w:color w:val="000000" w:themeColor="text1"/>
          <w:sz w:val="21"/>
          <w:szCs w:val="21"/>
          <w14:textFill>
            <w14:solidFill>
              <w14:schemeClr w14:val="tx1"/>
            </w14:solidFill>
          </w14:textFill>
        </w:rPr>
      </w:pPr>
      <m:oMathPara>
        <m:oMath>
          <m:r>
            <m:rPr>
              <m:nor/>
            </m:rPr>
            <w:rPr>
              <w:rFonts w:ascii="Times New Roman" w:hAnsi="Times New Roman"/>
              <w:i/>
              <w:color w:val="000000" w:themeColor="text1"/>
              <w:sz w:val="21"/>
              <w:szCs w:val="21"/>
              <w:lang w:bidi="ar"/>
              <w14:textFill>
                <w14:solidFill>
                  <w14:schemeClr w14:val="tx1"/>
                </w14:solidFill>
              </w14:textFill>
            </w:rPr>
            <m:t>z</m:t>
          </m:r>
          <m:r>
            <m:rPr>
              <m:nor/>
              <m:sty m:val="p"/>
            </m:rPr>
            <w:rPr>
              <w:rFonts w:ascii="Times New Roman" w:hAnsi="Times New Roman"/>
              <w:b w:val="0"/>
              <w:i w:val="0"/>
              <w:color w:val="000000" w:themeColor="text1"/>
              <w:sz w:val="21"/>
              <w:szCs w:val="21"/>
              <w:lang w:bidi="ar"/>
              <w14:textFill>
                <w14:solidFill>
                  <w14:schemeClr w14:val="tx1"/>
                </w14:solidFill>
              </w14:textFill>
            </w:rPr>
            <m:t>=</m:t>
          </m:r>
          <m:f>
            <m:fPr>
              <m:ctrlPr>
                <w:rPr>
                  <w:rFonts w:ascii="Cambria Math" w:hAnsi="Cambria Math"/>
                  <w:i/>
                  <w:color w:val="000000" w:themeColor="text1"/>
                  <w:sz w:val="21"/>
                  <w:szCs w:val="21"/>
                  <w:lang w:bidi="ar"/>
                  <w14:textFill>
                    <w14:solidFill>
                      <w14:schemeClr w14:val="tx1"/>
                    </w14:solidFill>
                  </w14:textFill>
                </w:rPr>
              </m:ctrlPr>
            </m:fPr>
            <m:num>
              <m:r>
                <m:rPr>
                  <m:nor/>
                </m:rPr>
                <w:rPr>
                  <w:rFonts w:ascii="Times New Roman" w:hAnsi="Times New Roman"/>
                  <w:i/>
                  <w:color w:val="000000" w:themeColor="text1"/>
                  <w:sz w:val="21"/>
                  <w:szCs w:val="21"/>
                  <w:lang w:bidi="ar"/>
                  <w14:textFill>
                    <w14:solidFill>
                      <w14:schemeClr w14:val="tx1"/>
                    </w14:solidFill>
                  </w14:textFill>
                </w:rPr>
                <m:t>x</m:t>
              </m:r>
              <m:r>
                <m:rPr>
                  <m:nor/>
                  <m:sty m:val="p"/>
                </m:rPr>
                <w:rPr>
                  <w:rFonts w:ascii="Times New Roman" w:hAnsi="Times New Roman"/>
                  <w:b w:val="0"/>
                  <w:i w:val="0"/>
                  <w:color w:val="000000" w:themeColor="text1"/>
                  <w:sz w:val="21"/>
                  <w:szCs w:val="21"/>
                  <w:lang w:bidi="ar"/>
                  <w14:textFill>
                    <w14:solidFill>
                      <w14:schemeClr w14:val="tx1"/>
                    </w14:solidFill>
                  </w14:textFill>
                </w:rPr>
                <m:t>-</m:t>
              </m:r>
              <m:r>
                <m:rPr>
                  <m:nor/>
                </m:rPr>
                <w:rPr>
                  <w:rFonts w:ascii="Times New Roman" w:hAnsi="Times New Roman"/>
                  <w:i/>
                  <w:color w:val="000000" w:themeColor="text1"/>
                  <w:sz w:val="21"/>
                  <w:szCs w:val="21"/>
                  <w:lang w:bidi="ar"/>
                  <w14:textFill>
                    <w14:solidFill>
                      <w14:schemeClr w14:val="tx1"/>
                    </w14:solidFill>
                  </w14:textFill>
                </w:rPr>
                <m:t>μ</m:t>
              </m:r>
              <m:ctrlPr>
                <w:rPr>
                  <w:rFonts w:ascii="Cambria Math" w:hAnsi="Cambria Math"/>
                  <w:i/>
                  <w:color w:val="000000" w:themeColor="text1"/>
                  <w:sz w:val="21"/>
                  <w:szCs w:val="21"/>
                  <w:lang w:bidi="ar"/>
                  <w14:textFill>
                    <w14:solidFill>
                      <w14:schemeClr w14:val="tx1"/>
                    </w14:solidFill>
                  </w14:textFill>
                </w:rPr>
              </m:ctrlPr>
            </m:num>
            <m:den>
              <m:r>
                <m:rPr>
                  <m:nor/>
                </m:rPr>
                <w:rPr>
                  <w:rFonts w:ascii="Times New Roman" w:hAnsi="Times New Roman"/>
                  <w:i/>
                  <w:color w:val="000000" w:themeColor="text1"/>
                  <w:sz w:val="21"/>
                  <w:szCs w:val="21"/>
                  <w:lang w:bidi="ar"/>
                  <w14:textFill>
                    <w14:solidFill>
                      <w14:schemeClr w14:val="tx1"/>
                    </w14:solidFill>
                  </w14:textFill>
                </w:rPr>
                <m:t>σ</m:t>
              </m:r>
              <m:ctrlPr>
                <w:rPr>
                  <w:rFonts w:ascii="Cambria Math" w:hAnsi="Cambria Math"/>
                  <w:i/>
                  <w:color w:val="000000" w:themeColor="text1"/>
                  <w:sz w:val="21"/>
                  <w:szCs w:val="21"/>
                  <w:lang w:bidi="ar"/>
                  <w14:textFill>
                    <w14:solidFill>
                      <w14:schemeClr w14:val="tx1"/>
                    </w14:solidFill>
                  </w14:textFill>
                </w:rPr>
              </m:ctrlPr>
            </m:den>
          </m:f>
        </m:oMath>
      </m:oMathPara>
    </w:p>
    <w:p w14:paraId="3FAD34E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Improve the stability of model training.</w:t>
      </w:r>
    </w:p>
    <w:p w14:paraId="31DD9CE6">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50" w:name="_Toc14009"/>
      <w:bookmarkStart w:id="51" w:name="_Toc1200"/>
      <w:r>
        <w:rPr>
          <w:rFonts w:hint="default" w:ascii="Times New Roman" w:hAnsi="Times New Roman"/>
          <w:color w:val="000000" w:themeColor="text1"/>
          <w:sz w:val="21"/>
          <w:szCs w:val="21"/>
          <w14:textFill>
            <w14:solidFill>
              <w14:schemeClr w14:val="tx1"/>
            </w14:solidFill>
          </w14:textFill>
        </w:rPr>
        <w:t>2.4 Model Evaluation Indicators</w:t>
      </w:r>
      <w:bookmarkEnd w:id="50"/>
      <w:bookmarkEnd w:id="51"/>
    </w:p>
    <w:p w14:paraId="31BC17D0">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52" w:name="_Toc5140"/>
      <w:bookmarkStart w:id="53" w:name="_Toc2554"/>
      <w:r>
        <w:rPr>
          <w:rFonts w:hint="default" w:ascii="Times New Roman" w:hAnsi="Times New Roman"/>
          <w:color w:val="000000" w:themeColor="text1"/>
          <w:sz w:val="21"/>
          <w:szCs w:val="21"/>
          <w14:textFill>
            <w14:solidFill>
              <w14:schemeClr w14:val="tx1"/>
            </w14:solidFill>
          </w14:textFill>
        </w:rPr>
        <w:t>Classification accuracy</w:t>
      </w:r>
      <w:bookmarkEnd w:id="52"/>
      <w:bookmarkEnd w:id="53"/>
    </w:p>
    <w:p w14:paraId="4C60D1CD">
      <w:pPr>
        <w:spacing w:line="480" w:lineRule="auto"/>
        <w:rPr>
          <w:rFonts w:ascii="Times New Roman" w:hAnsi="Times New Roman" w:cs="Times New Roman"/>
          <w:color w:val="000000" w:themeColor="text1"/>
          <w:sz w:val="21"/>
          <w:szCs w:val="21"/>
          <w14:textFill>
            <w14:solidFill>
              <w14:schemeClr w14:val="tx1"/>
            </w14:solidFill>
          </w14:textFill>
        </w:rPr>
      </w:pPr>
      <m:oMathPara>
        <m:oMath>
          <m:r>
            <m:rPr>
              <m:nor/>
            </m:rPr>
            <w:rPr>
              <w:rFonts w:ascii="Times New Roman" w:hAnsi="Times New Roman" w:cs="Times New Roman"/>
              <w:i/>
              <w:color w:val="000000" w:themeColor="text1"/>
              <w:sz w:val="21"/>
              <w:szCs w:val="21"/>
              <w14:textFill>
                <w14:solidFill>
                  <w14:schemeClr w14:val="tx1"/>
                </w14:solidFill>
              </w14:textFill>
            </w:rPr>
            <m:t>Accuracy</m:t>
          </m:r>
          <m:r>
            <m:rPr>
              <m:nor/>
              <m:sty m:val="p"/>
            </m:rPr>
            <w:rPr>
              <w:rFonts w:ascii="Times New Roman" w:hAnsi="Times New Roman" w:cs="Times New Roman"/>
              <w:b w:val="0"/>
              <w:i w:val="0"/>
              <w:color w:val="000000" w:themeColor="text1"/>
              <w:sz w:val="21"/>
              <w:szCs w:val="21"/>
              <w14:textFill>
                <w14:solidFill>
                  <w14:schemeClr w14:val="tx1"/>
                </w14:solidFill>
              </w14:textFill>
            </w:rPr>
            <m:t>=</m:t>
          </m:r>
          <m:f>
            <m:fPr>
              <m:ctrlPr>
                <w:rPr>
                  <w:rFonts w:ascii="Cambria Math" w:hAnsi="Cambria Math" w:cs="Times New Roman"/>
                  <w:i/>
                  <w:color w:val="000000" w:themeColor="text1"/>
                  <w:sz w:val="21"/>
                  <w:szCs w:val="21"/>
                  <w14:textFill>
                    <w14:solidFill>
                      <w14:schemeClr w14:val="tx1"/>
                    </w14:solidFill>
                  </w14:textFill>
                </w:rPr>
              </m:ctrlPr>
            </m:fPr>
            <m:num>
              <m:r>
                <m:rPr>
                  <m:nor/>
                </m:rPr>
                <w:rPr>
                  <w:rFonts w:ascii="Times New Roman" w:hAnsi="Times New Roman" w:cs="Times New Roman"/>
                  <w:i/>
                  <w:color w:val="000000" w:themeColor="text1"/>
                  <w:sz w:val="21"/>
                  <w:szCs w:val="21"/>
                  <w14:textFill>
                    <w14:solidFill>
                      <w14:schemeClr w14:val="tx1"/>
                    </w14:solidFill>
                  </w14:textFill>
                </w:rPr>
                <m:t>TP</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TN</m:t>
              </m:r>
              <m:ctrlPr>
                <w:rPr>
                  <w:rFonts w:ascii="Cambria Math" w:hAnsi="Cambria Math" w:cs="Times New Roman"/>
                  <w:i/>
                  <w:color w:val="000000" w:themeColor="text1"/>
                  <w:sz w:val="21"/>
                  <w:szCs w:val="21"/>
                  <w14:textFill>
                    <w14:solidFill>
                      <w14:schemeClr w14:val="tx1"/>
                    </w14:solidFill>
                  </w14:textFill>
                </w:rPr>
              </m:ctrlPr>
            </m:num>
            <m:den>
              <m:r>
                <m:rPr>
                  <m:nor/>
                </m:rPr>
                <w:rPr>
                  <w:rFonts w:ascii="Times New Roman" w:hAnsi="Times New Roman" w:cs="Times New Roman"/>
                  <w:i/>
                  <w:color w:val="000000" w:themeColor="text1"/>
                  <w:sz w:val="21"/>
                  <w:szCs w:val="21"/>
                  <w14:textFill>
                    <w14:solidFill>
                      <w14:schemeClr w14:val="tx1"/>
                    </w14:solidFill>
                  </w14:textFill>
                </w:rPr>
                <m:t>TP</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TN</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FP</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FN</m:t>
              </m:r>
              <m:ctrlPr>
                <w:rPr>
                  <w:rFonts w:ascii="Cambria Math" w:hAnsi="Cambria Math" w:cs="Times New Roman"/>
                  <w:i/>
                  <w:color w:val="000000" w:themeColor="text1"/>
                  <w:sz w:val="21"/>
                  <w:szCs w:val="21"/>
                  <w14:textFill>
                    <w14:solidFill>
                      <w14:schemeClr w14:val="tx1"/>
                    </w14:solidFill>
                  </w14:textFill>
                </w:rPr>
              </m:ctrlPr>
            </m:den>
          </m:f>
        </m:oMath>
      </m:oMathPara>
    </w:p>
    <w:p w14:paraId="4154929D">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54" w:name="_Toc27405"/>
      <w:bookmarkStart w:id="55" w:name="_Toc21422"/>
      <w:r>
        <w:rPr>
          <w:rFonts w:hint="default" w:ascii="Times New Roman" w:hAnsi="Times New Roman"/>
          <w:color w:val="000000" w:themeColor="text1"/>
          <w:sz w:val="21"/>
          <w:szCs w:val="21"/>
          <w14:textFill>
            <w14:solidFill>
              <w14:schemeClr w14:val="tx1"/>
            </w14:solidFill>
          </w14:textFill>
        </w:rPr>
        <w:t>F1 value</w:t>
      </w:r>
      <w:bookmarkEnd w:id="54"/>
      <w:bookmarkEnd w:id="55"/>
    </w:p>
    <w:p w14:paraId="7D3CC53D">
      <w:pPr>
        <w:spacing w:line="480" w:lineRule="auto"/>
        <w:rPr>
          <w:rFonts w:ascii="Times New Roman" w:hAnsi="Times New Roman" w:cs="Times New Roman"/>
          <w:color w:val="000000" w:themeColor="text1"/>
          <w:sz w:val="21"/>
          <w:szCs w:val="21"/>
          <w14:textFill>
            <w14:solidFill>
              <w14:schemeClr w14:val="tx1"/>
            </w14:solidFill>
          </w14:textFill>
        </w:rPr>
      </w:pPr>
      <m:oMathPara>
        <m:oMath>
          <m:r>
            <m:rPr>
              <m:nor/>
            </m:rPr>
            <w:rPr>
              <w:rFonts w:ascii="Times New Roman" w:hAnsi="Times New Roman" w:cs="Times New Roman"/>
              <w:i/>
              <w:color w:val="000000" w:themeColor="text1"/>
              <w:sz w:val="21"/>
              <w:szCs w:val="21"/>
              <w14:textFill>
                <w14:solidFill>
                  <w14:schemeClr w14:val="tx1"/>
                </w14:solidFill>
              </w14:textFill>
            </w:rPr>
            <m:t>F</m:t>
          </m:r>
          <m:r>
            <m:rPr>
              <m:nor/>
              <m:sty m:val="p"/>
            </m:rPr>
            <w:rPr>
              <w:rFonts w:ascii="Times New Roman" w:hAnsi="Times New Roman" w:cs="Times New Roman"/>
              <w:b w:val="0"/>
              <w:i w:val="0"/>
              <w:color w:val="000000" w:themeColor="text1"/>
              <w:sz w:val="21"/>
              <w:szCs w:val="21"/>
              <w14:textFill>
                <w14:solidFill>
                  <w14:schemeClr w14:val="tx1"/>
                </w14:solidFill>
              </w14:textFill>
            </w:rPr>
            <m:t>1=2×</m:t>
          </m:r>
          <m:f>
            <m:fPr>
              <m:ctrlPr>
                <w:rPr>
                  <w:rFonts w:ascii="Cambria Math" w:hAnsi="Cambria Math" w:cs="Times New Roman"/>
                  <w:i/>
                  <w:color w:val="000000" w:themeColor="text1"/>
                  <w:sz w:val="21"/>
                  <w:szCs w:val="21"/>
                  <w14:textFill>
                    <w14:solidFill>
                      <w14:schemeClr w14:val="tx1"/>
                    </w14:solidFill>
                  </w14:textFill>
                </w:rPr>
              </m:ctrlPr>
            </m:fPr>
            <m:num>
              <m:r>
                <m:rPr>
                  <m:nor/>
                </m:rPr>
                <w:rPr>
                  <w:rFonts w:ascii="Times New Roman" w:hAnsi="Times New Roman" w:cs="Times New Roman"/>
                  <w:i/>
                  <w:color w:val="000000" w:themeColor="text1"/>
                  <w:sz w:val="21"/>
                  <w:szCs w:val="21"/>
                  <w14:textFill>
                    <w14:solidFill>
                      <w14:schemeClr w14:val="tx1"/>
                    </w14:solidFill>
                  </w14:textFill>
                </w:rPr>
                <m:t>Precision</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Recall</m:t>
              </m:r>
              <m:ctrlPr>
                <w:rPr>
                  <w:rFonts w:ascii="Cambria Math" w:hAnsi="Cambria Math" w:cs="Times New Roman"/>
                  <w:i/>
                  <w:color w:val="000000" w:themeColor="text1"/>
                  <w:sz w:val="21"/>
                  <w:szCs w:val="21"/>
                  <w14:textFill>
                    <w14:solidFill>
                      <w14:schemeClr w14:val="tx1"/>
                    </w14:solidFill>
                  </w14:textFill>
                </w:rPr>
              </m:ctrlPr>
            </m:num>
            <m:den>
              <m:r>
                <m:rPr>
                  <m:nor/>
                </m:rPr>
                <w:rPr>
                  <w:rFonts w:ascii="Times New Roman" w:hAnsi="Times New Roman" w:cs="Times New Roman"/>
                  <w:i/>
                  <w:color w:val="000000" w:themeColor="text1"/>
                  <w:sz w:val="21"/>
                  <w:szCs w:val="21"/>
                  <w14:textFill>
                    <w14:solidFill>
                      <w14:schemeClr w14:val="tx1"/>
                    </w14:solidFill>
                  </w14:textFill>
                </w:rPr>
                <m:t>Precision</m:t>
              </m:r>
              <m:r>
                <m:rPr>
                  <m:nor/>
                  <m:sty m:val="p"/>
                </m:rPr>
                <w:rPr>
                  <w:rFonts w:ascii="Times New Roman" w:hAnsi="Times New Roman" w:cs="Times New Roman"/>
                  <w:b w:val="0"/>
                  <w:i w:val="0"/>
                  <w:color w:val="000000" w:themeColor="text1"/>
                  <w:sz w:val="21"/>
                  <w:szCs w:val="21"/>
                  <w14:textFill>
                    <w14:solidFill>
                      <w14:schemeClr w14:val="tx1"/>
                    </w14:solidFill>
                  </w14:textFill>
                </w:rPr>
                <m:t>+</m:t>
              </m:r>
              <m:r>
                <m:rPr>
                  <m:nor/>
                </m:rPr>
                <w:rPr>
                  <w:rFonts w:ascii="Times New Roman" w:hAnsi="Times New Roman" w:cs="Times New Roman"/>
                  <w:i/>
                  <w:color w:val="000000" w:themeColor="text1"/>
                  <w:sz w:val="21"/>
                  <w:szCs w:val="21"/>
                  <w14:textFill>
                    <w14:solidFill>
                      <w14:schemeClr w14:val="tx1"/>
                    </w14:solidFill>
                  </w14:textFill>
                </w:rPr>
                <m:t>Recall</m:t>
              </m:r>
              <m:ctrlPr>
                <w:rPr>
                  <w:rFonts w:ascii="Cambria Math" w:hAnsi="Cambria Math" w:cs="Times New Roman"/>
                  <w:i/>
                  <w:color w:val="000000" w:themeColor="text1"/>
                  <w:sz w:val="21"/>
                  <w:szCs w:val="21"/>
                  <w14:textFill>
                    <w14:solidFill>
                      <w14:schemeClr w14:val="tx1"/>
                    </w14:solidFill>
                  </w14:textFill>
                </w:rPr>
              </m:ctrlPr>
            </m:den>
          </m:f>
        </m:oMath>
      </m:oMathPara>
    </w:p>
    <w:p w14:paraId="4F42EC4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56" w:name="_Toc4490"/>
      <w:bookmarkStart w:id="57" w:name="_Toc22261"/>
      <w:r>
        <w:rPr>
          <w:rFonts w:hint="default" w:ascii="Times New Roman" w:hAnsi="Times New Roman"/>
          <w:color w:val="000000" w:themeColor="text1"/>
          <w:sz w:val="21"/>
          <w:szCs w:val="21"/>
          <w14:textFill>
            <w14:solidFill>
              <w14:schemeClr w14:val="tx1"/>
            </w14:solidFill>
          </w14:textFill>
        </w:rPr>
        <w:t>ROC curve</w:t>
      </w:r>
      <w:bookmarkEnd w:id="56"/>
      <w:bookmarkEnd w:id="57"/>
    </w:p>
    <w:p w14:paraId="5DFCF3B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ROC curve for evaluating the classification ability of the model.</w:t>
      </w:r>
    </w:p>
    <w:p w14:paraId="0DFE101C">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61656ED0">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58" w:name="_Toc5870"/>
      <w:bookmarkStart w:id="59" w:name="_Toc10"/>
      <w:r>
        <w:rPr>
          <w:rFonts w:hint="default" w:ascii="Times New Roman" w:hAnsi="Times New Roman"/>
          <w:color w:val="000000" w:themeColor="text1"/>
          <w:sz w:val="21"/>
          <w:szCs w:val="21"/>
          <w14:textFill>
            <w14:solidFill>
              <w14:schemeClr w14:val="tx1"/>
            </w14:solidFill>
          </w14:textFill>
        </w:rPr>
        <w:t>Chapter 3 Study Area and Dataset Construction</w:t>
      </w:r>
      <w:bookmarkEnd w:id="58"/>
      <w:bookmarkEnd w:id="59"/>
    </w:p>
    <w:p w14:paraId="10579B48">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60" w:name="_Toc12242"/>
      <w:bookmarkStart w:id="61" w:name="_Toc7740"/>
      <w:r>
        <w:rPr>
          <w:rFonts w:hint="default" w:ascii="Times New Roman" w:hAnsi="Times New Roman"/>
          <w:color w:val="000000" w:themeColor="text1"/>
          <w:sz w:val="21"/>
          <w:szCs w:val="21"/>
          <w14:textFill>
            <w14:solidFill>
              <w14:schemeClr w14:val="tx1"/>
            </w14:solidFill>
          </w14:textFill>
        </w:rPr>
        <w:t>3.1 Overview of the Yanlong Lake Ecological Purification System</w:t>
      </w:r>
      <w:bookmarkEnd w:id="60"/>
      <w:bookmarkEnd w:id="61"/>
    </w:p>
    <w:p w14:paraId="5F6B4D7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Yanlong Lake Ecological Purification System, located in Yancheng City, Jiangsu Province, is an important drinking water source protection project and a typical river-type ecological purification system. The project's main objectives are to improve regional water quality, ensure the safety of residents' drinking water, and restore the ecological functions of the river.</w:t>
      </w:r>
    </w:p>
    <w:p w14:paraId="04FF51A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The Yanlong Lake ecological purification system is built upon the Mangshe River-Tongyu River water system, achieving pollutant reduction through ecological wetlands, artificial purification units, and deep purification areas. </w:t>
      </w:r>
      <w:r>
        <w:rPr>
          <w:rFonts w:ascii="Times New Roman" w:hAnsi="Times New Roman" w:eastAsia="宋体"/>
          <w:color w:val="000000" w:themeColor="text1"/>
          <w:sz w:val="21"/>
          <w:szCs w:val="21"/>
          <w14:textFill>
            <w14:solidFill>
              <w14:schemeClr w14:val="tx1"/>
            </w14:solidFill>
          </w14:textFill>
        </w:rPr>
        <w:t>The entire system has multiple functions, including ecological restoration, water purification, and landscape enhancement.</w:t>
      </w:r>
    </w:p>
    <w:p w14:paraId="3BF8C66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Because Yancheng City is located in a coastal plain area with a dense river network and complex hydrodynamic conditions, it is frequently affected by external pollution sources. Therefore, the operation of the ecological purification system is easily affected by agricultural non-point source pollution, domestic sewage and internal pollution sources.</w:t>
      </w:r>
    </w:p>
    <w:p w14:paraId="66965D5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pretreatment zone in the system mainly undertakes the function of primary pollution reduction, and improves the dissolved oxygen level and removes some suspended particulate matter through measures such as cascading oxygenation, microporous aeration and suspended packing.</w:t>
      </w:r>
    </w:p>
    <w:p w14:paraId="7534DE3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ecological wetland purification zone is the core area of the entire system, which utilizes emergent plants, submerged plants and microorganisms to remove nitrogen, phosphorus and organic pollutants.</w:t>
      </w:r>
    </w:p>
    <w:p w14:paraId="2D89D14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deep purification zone is mainly used to further stabilize water quality and serve as an emergency storage area to ensure water supply security. This area has relatively stable hydrodynamic conditions and a good ecological environment, playing a crucial role in suppressing the release of pollutants.</w:t>
      </w:r>
    </w:p>
    <w:p w14:paraId="57B0F04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Overall, the Yanlong Lake ecological purification system exhibits typical multifunctional unit coupling characteristics, with significant differences in pollutant migration, ecological structure, and hydrodynamic conditions among different areas, making it highly suitable as a research object for machine learning-based water quality assessment.</w:t>
      </w:r>
    </w:p>
    <w:p w14:paraId="1FCC4F75">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62" w:name="_Toc2835"/>
      <w:bookmarkStart w:id="63" w:name="_Toc8382"/>
      <w:r>
        <w:rPr>
          <w:rFonts w:hint="default" w:ascii="Times New Roman" w:hAnsi="Times New Roman"/>
          <w:color w:val="000000" w:themeColor="text1"/>
          <w:sz w:val="21"/>
          <w:szCs w:val="21"/>
          <w14:textFill>
            <w14:solidFill>
              <w14:schemeClr w14:val="tx1"/>
            </w14:solidFill>
          </w14:textFill>
        </w:rPr>
        <w:t>3.2 Sampling Point Layout</w:t>
      </w:r>
      <w:bookmarkEnd w:id="62"/>
      <w:bookmarkEnd w:id="63"/>
    </w:p>
    <w:p w14:paraId="3A8D49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To comprehensively reflect the water quality change characteristics of different functional units of the Yanlong Lake ecological purification system, 12 sampling points were set up to cover the core areas such as the pre-treatment area, the ecological wetland purification area, and the deep purification area.</w:t>
      </w:r>
    </w:p>
    <w:p w14:paraId="446E2AD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following principles should be followed when setting up sampling points:</w:t>
      </w:r>
    </w:p>
    <w:p w14:paraId="6FF460F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(1) The principle of representativeness: the sampling points can reflect different functional areas with typical water quality characteristics.</w:t>
      </w:r>
    </w:p>
    <w:p w14:paraId="2E5B9A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The principle of uniformity: the sampling points are relatively uniform in spatial distribution to avoid data deviation.</w:t>
      </w:r>
    </w:p>
    <w:p w14:paraId="086CAA3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Comparability principle: There is good comparability between sampling points in different areas, which facilitates the analysis of pollutant migration patterns.</w:t>
      </w:r>
    </w:p>
    <w:p w14:paraId="2928F06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Safety principle: The sampling location should facilitate long-term monitoring and data collection.</w:t>
      </w:r>
    </w:p>
    <w:p w14:paraId="0701C7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Among them, Y1 at the system inlet reflects the original water quality; Y2-Y4 are located in the pretreatment zone, where aeration and pretreatment are the main focus of monitoring; Y5-Y6, located in the emergent plant zone, are mainly analyzed for plant adsorption; Y7-Y9, located in the submerged plant zone, studies the impact of submerged plants on nitrogen and phosphorus migration; and Y10-Y12 are located in the deep purification zone to evaluate the final purification effect.</w:t>
      </w:r>
    </w:p>
    <w:p w14:paraId="61E6ED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During the sampling process, a unified sampling method and preservation measures were adopted to ensure the consistency and reliability of data from different times and regions.</w:t>
      </w:r>
    </w:p>
    <w:p w14:paraId="3B8BE911">
      <w:pPr>
        <w:pStyle w:val="9"/>
        <w:widowControl/>
        <w:spacing w:line="480" w:lineRule="auto"/>
        <w:rPr>
          <w:rFonts w:ascii="Times New Roman" w:hAnsi="Times New Roman"/>
          <w:color w:val="000000" w:themeColor="text1"/>
          <w:sz w:val="21"/>
          <w:szCs w:val="21"/>
          <w:lang w:eastAsia="zh-CN"/>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main functional units of Yanlong Lake cover sampling points.</w:t>
      </w:r>
      <w:r>
        <w:rPr>
          <w:rFonts w:ascii="Times New Roman" w:hAnsi="Times New Roman"/>
          <w:color w:val="000000" w:themeColor="text1"/>
          <w:sz w:val="21"/>
          <w:szCs w:val="21"/>
          <w:lang w:eastAsia="zh-CN"/>
          <w14:textFill>
            <w14:solidFill>
              <w14:schemeClr w14:val="tx1"/>
            </w14:solidFill>
          </w14:textFill>
        </w:rPr>
        <w:drawing>
          <wp:inline distT="0" distB="0" distL="114300" distR="114300">
            <wp:extent cx="4453255" cy="4108450"/>
            <wp:effectExtent l="0" t="0" r="12065"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7"/>
                    <a:stretch>
                      <a:fillRect/>
                    </a:stretch>
                  </pic:blipFill>
                  <pic:spPr>
                    <a:xfrm>
                      <a:off x="0" y="0"/>
                      <a:ext cx="4453255" cy="4108450"/>
                    </a:xfrm>
                    <a:prstGeom prst="rect">
                      <a:avLst/>
                    </a:prstGeom>
                    <a:noFill/>
                    <a:ln>
                      <a:noFill/>
                    </a:ln>
                  </pic:spPr>
                </pic:pic>
              </a:graphicData>
            </a:graphic>
          </wp:inline>
        </w:drawing>
      </w:r>
    </w:p>
    <w:p w14:paraId="264B7BFD">
      <w:pPr>
        <w:pStyle w:val="15"/>
        <w:bidi w:val="0"/>
        <w:jc w:val="center"/>
        <w:rPr>
          <w:rFonts w:hint="default"/>
          <w:sz w:val="20"/>
          <w:szCs w:val="20"/>
        </w:rPr>
      </w:pPr>
      <w:bookmarkStart w:id="64" w:name="_Toc20081"/>
      <w:bookmarkStart w:id="65" w:name="_Toc18311"/>
      <w:bookmarkStart w:id="66" w:name="_Toc13937"/>
      <w:r>
        <w:rPr>
          <w:rFonts w:hint="default"/>
          <w:sz w:val="20"/>
          <w:szCs w:val="20"/>
        </w:rPr>
        <w:t>Figure 3.2 Layout map of Yanlong Lake area</w:t>
      </w:r>
      <w:bookmarkEnd w:id="64"/>
      <w:bookmarkEnd w:id="65"/>
    </w:p>
    <w:p w14:paraId="3ADF4875">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67" w:name="_Toc1273"/>
      <w:r>
        <w:rPr>
          <w:rFonts w:hint="default" w:ascii="Times New Roman" w:hAnsi="Times New Roman"/>
          <w:color w:val="000000" w:themeColor="text1"/>
          <w:sz w:val="21"/>
          <w:szCs w:val="21"/>
          <w14:textFill>
            <w14:solidFill>
              <w14:schemeClr w14:val="tx1"/>
            </w14:solidFill>
          </w14:textFill>
        </w:rPr>
        <w:t>3.3 Data Sources</w:t>
      </w:r>
      <w:bookmarkEnd w:id="66"/>
      <w:bookmarkEnd w:id="67"/>
    </w:p>
    <w:p w14:paraId="2EA6AC2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data in this study mainly consist of two parts: in-situ monitoring data and laboratory analysis data.</w:t>
      </w:r>
    </w:p>
    <w:p w14:paraId="318669E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In-situ monitoring data are mainly measured on-site using a portable multi-parameter water quality analyzer, specifically including:</w:t>
      </w:r>
    </w:p>
    <w:p w14:paraId="7D5C1F8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pH; (2) DO (dissolved oxygen); (3) temperature; (4) conductivity; (5) turbidity.</w:t>
      </w:r>
    </w:p>
    <w:p w14:paraId="6D1C0CC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On-site monitoring can reflect the characteristics of water environment changes in different areas in real time, providing basic data support for subsequent machine learning modeling.</w:t>
      </w:r>
    </w:p>
    <w:p w14:paraId="7966A30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Laboratory analysis data mainly include:</w:t>
      </w:r>
    </w:p>
    <w:p w14:paraId="3F1C66F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Total nitrogen (TN); (2) Total phosphorus (TP); (3) Ammonia nitrogen (NH₄⁺-N); (4) Permanganate index (CODMn); (5) Nitrate nitrogen (NO₃⁻-N).</w:t>
      </w:r>
    </w:p>
    <w:p w14:paraId="241ACDB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Experimental analysis was conducted strictly in accordance with relevant standards for water and wastewater monitoring and analysis. TN and TP were determined by ultraviolet spectrophotometry after digestion with alkaline potassium persulfate and by ammonium molybdate spectrophotometry, respectively; CODMn was determined by acidic potassium permanganate.</w:t>
      </w:r>
    </w:p>
    <w:p w14:paraId="49B6ABF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monitoring period is from April 8, 2025 to April 30, 2025, and the analysis work for multiple time points will be completed.</w:t>
      </w:r>
    </w:p>
    <w:p w14:paraId="6824D00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To improve data reliability, parallel experiments were set up for each group of samples, and some key indicators were repeatedly measured.</w:t>
      </w:r>
    </w:p>
    <w:p w14:paraId="0DBD9921">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68" w:name="_Toc5426"/>
      <w:bookmarkStart w:id="69" w:name="_Toc17957"/>
      <w:r>
        <w:rPr>
          <w:rFonts w:hint="default" w:ascii="Times New Roman" w:hAnsi="Times New Roman"/>
          <w:color w:val="000000" w:themeColor="text1"/>
          <w:sz w:val="21"/>
          <w:szCs w:val="21"/>
          <w14:textFill>
            <w14:solidFill>
              <w14:schemeClr w14:val="tx1"/>
            </w14:solidFill>
          </w14:textFill>
        </w:rPr>
        <w:t>3.4 Data Preprocessing Results</w:t>
      </w:r>
      <w:bookmarkEnd w:id="68"/>
      <w:bookmarkEnd w:id="69"/>
    </w:p>
    <w:p w14:paraId="17E1DA5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Raw monitoring data is inevitably affected by instrument errors, environmental fluctuations, and human factors during the collection process, so systematic data preprocessing is required.</w:t>
      </w:r>
    </w:p>
    <w:p w14:paraId="5EA6172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First, statistical analysis was performed on the missing values. The results showed that a small number of data points were missing due to momentary malfunctions of the monitoring equipment. </w:t>
      </w:r>
      <w:r>
        <w:rPr>
          <w:rFonts w:ascii="Times New Roman" w:hAnsi="Times New Roman" w:eastAsia="宋体"/>
          <w:color w:val="000000" w:themeColor="text1"/>
          <w:sz w:val="21"/>
          <w:szCs w:val="21"/>
          <w14:textFill>
            <w14:solidFill>
              <w14:schemeClr w14:val="tx1"/>
            </w14:solidFill>
          </w14:textFill>
        </w:rPr>
        <w:t>For randomly missing data, the mean-based imputation method was used; for data with continuous time gaps, linear interpolation (internal injection) was employed for estimation.</w:t>
      </w:r>
    </w:p>
    <w:p w14:paraId="3901432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Secondly, outliers are identified. The 3σ principle is used to filter the data. When the data exceeds the normal fluctuation range, it is determined whether it belongs to a real anomaly by combining it with on-site records.</w:t>
      </w:r>
    </w:p>
    <w:p w14:paraId="0BC3364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addition, to improve the stability of machine learning model training, this paper adopts the Z-SCORE standardization method to normalize all variables, thereby eliminating the difference in the units of measurement of different indicators.</w:t>
      </w:r>
    </w:p>
    <w:p w14:paraId="45938E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After data cleaning, the integrity and consistency of the data are significantly improved, which can meet the needs of subsequent machine learning modeling.</w:t>
      </w:r>
    </w:p>
    <w:p w14:paraId="7220A2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Finally, this paper divides the data into training, validation, and test sets in a 7:1:2 ratio. Model learning is performed using the training set, parameter optimization using the validation set, and model performance evaluation using the test set.</w:t>
      </w:r>
    </w:p>
    <w:p w14:paraId="4788A9F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By filling in missing values and eliminating outliers, the integrity of the data was significantly improved.</w:t>
      </w:r>
    </w:p>
    <w:p w14:paraId="6CE200F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ratio of the training set, validation set, and test set is 7:1:2:2.</w:t>
      </w:r>
    </w:p>
    <w:p w14:paraId="02361FB3">
      <w:pPr>
        <w:pStyle w:val="12"/>
        <w:wordWrap/>
        <w:spacing w:line="960" w:lineRule="auto"/>
        <w:rPr>
          <w:rFonts w:ascii="Times New Roman" w:hAnsi="Times New Roman" w:eastAsia="바탕체" w:cs="Times New Roman"/>
          <w:b/>
          <w:bCs/>
          <w:sz w:val="30"/>
          <w:szCs w:val="30"/>
        </w:rPr>
      </w:pPr>
    </w:p>
    <w:p w14:paraId="4E6C082F">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1AB5E4A6">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4D4093B9">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2B6E2125">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1043AAC2">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7398A77A">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5F77C124">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71360C45">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401FBF27">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6D464980">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2E4F21C2">
      <w:pPr>
        <w:pStyle w:val="12"/>
        <w:wordWrap/>
        <w:spacing w:line="960" w:lineRule="auto"/>
        <w:jc w:val="center"/>
        <w:rPr>
          <w:rFonts w:ascii="Times New Roman" w:hAnsi="Times New Roman" w:cs="Times New Roman"/>
          <w:b/>
          <w:bCs/>
          <w:sz w:val="30"/>
          <w:szCs w:val="30"/>
        </w:rPr>
      </w:pPr>
      <w:r>
        <w:rPr>
          <w:rFonts w:ascii="Times New Roman" w:hAnsi="Times New Roman" w:eastAsia="바탕체" w:cs="Times New Roman"/>
          <w:b/>
          <w:bCs/>
          <w:sz w:val="30"/>
          <w:szCs w:val="30"/>
        </w:rPr>
        <w:t>Conclusion</w:t>
      </w:r>
    </w:p>
    <w:p w14:paraId="4940836A">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70" w:name="_Toc17933"/>
      <w:bookmarkStart w:id="71" w:name="_Toc27963"/>
      <w:r>
        <w:rPr>
          <w:rFonts w:hint="default" w:ascii="Times New Roman" w:hAnsi="Times New Roman"/>
          <w:color w:val="000000" w:themeColor="text1"/>
          <w:sz w:val="21"/>
          <w:szCs w:val="21"/>
          <w14:textFill>
            <w14:solidFill>
              <w14:schemeClr w14:val="tx1"/>
            </w14:solidFill>
          </w14:textFill>
        </w:rPr>
        <w:t>Chapter 4 Exploratory Data Analysis</w:t>
      </w:r>
      <w:bookmarkEnd w:id="70"/>
      <w:bookmarkEnd w:id="71"/>
    </w:p>
    <w:p w14:paraId="3DEB0B8A">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72" w:name="_Toc19635"/>
      <w:bookmarkStart w:id="73" w:name="_Toc19446"/>
      <w:r>
        <w:rPr>
          <w:rFonts w:hint="default" w:ascii="Times New Roman" w:hAnsi="Times New Roman"/>
          <w:color w:val="000000" w:themeColor="text1"/>
          <w:sz w:val="21"/>
          <w:szCs w:val="21"/>
          <w14:textFill>
            <w14:solidFill>
              <w14:schemeClr w14:val="tx1"/>
            </w14:solidFill>
          </w14:textFill>
        </w:rPr>
        <w:t>4.1 Analysis of TP Release Pattern</w:t>
      </w:r>
      <w:bookmarkEnd w:id="72"/>
      <w:bookmarkEnd w:id="73"/>
    </w:p>
    <w:p w14:paraId="6988277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Total phosphorus (TP) is an important indicator for measuring the degree of eutrophication in water bodies and a significant limiting factor affecting abnormal algal proliferation. </w:t>
      </w:r>
      <w:r>
        <w:rPr>
          <w:rFonts w:ascii="Times New Roman" w:hAnsi="Times New Roman"/>
          <w:color w:val="000000" w:themeColor="text1"/>
          <w:sz w:val="21"/>
          <w:szCs w:val="21"/>
          <w14:textFill>
            <w14:solidFill>
              <w14:schemeClr w14:val="tx1"/>
            </w14:solidFill>
          </w14:textFill>
        </w:rPr>
        <w:t>In this study, there were significant differences in TP concentration across different functional units, with the highest TP concentration in the pretreatment zone, followed by the submerged plant zone, while the deep purification zone showed relatively lower concentrations.</w:t>
      </w:r>
    </w:p>
    <w:p w14:paraId="6881433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The results showed that the peak TP concentration in the pretreatment area reached 0.48 mg/L, which was significantly higher than the Class III standard limit for surface water environmental quality. </w:t>
      </w:r>
      <w:r>
        <w:rPr>
          <w:rFonts w:ascii="Times New Roman" w:hAnsi="Times New Roman"/>
          <w:color w:val="000000" w:themeColor="text1"/>
          <w:sz w:val="21"/>
          <w:szCs w:val="21"/>
          <w14:textFill>
            <w14:solidFill>
              <w14:schemeClr w14:val="tx1"/>
            </w14:solidFill>
          </w14:textFill>
        </w:rPr>
        <w:t>This is mainly related to the long-term accumulation of pollutants in the area. Since the pretreatment zone is located at the inlet, a large amount of suspended particulate matter and organic debris are deposited there, leading to the continuous enrichment of phosphorus in the sediment.</w:t>
      </w:r>
    </w:p>
    <w:p w14:paraId="27D1B5B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Meanwhile, the pretreatment zone has a high organic matter content, and the microorganisms consume a large amount of oxygen during the decomposition of organic matter, creating a localized hypoxic environment. </w:t>
      </w:r>
      <w:r>
        <w:rPr>
          <w:rFonts w:ascii="Times New Roman" w:hAnsi="Times New Roman" w:eastAsia="宋体"/>
          <w:color w:val="000000" w:themeColor="text1"/>
          <w:sz w:val="21"/>
          <w:szCs w:val="21"/>
          <w14:textFill>
            <w14:solidFill>
              <w14:schemeClr w14:val="tx1"/>
            </w14:solidFill>
          </w14:textFill>
        </w:rPr>
        <w:t>Under hypoxic conditions, the bound iron and phosphorus are gradually reduced, causing the phosphorus adsorbed in the sediment to be released back into the overlying water.</w:t>
      </w:r>
    </w:p>
    <w:p w14:paraId="344B4C4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Furthermore, the changes in TP concentration exhibited a clear temporal pattern during the study. The release rate of TP was relatively low in the initial stages of the static experiment; a concentration gradient gradually formed between the sediment and overlying water, promoting continuous phosphorus release as the experimental time increased. </w:t>
      </w:r>
      <w:r>
        <w:rPr>
          <w:rFonts w:ascii="Times New Roman" w:hAnsi="Times New Roman"/>
          <w:color w:val="000000" w:themeColor="text1"/>
          <w:sz w:val="21"/>
          <w:szCs w:val="21"/>
          <w14:textFill>
            <w14:solidFill>
              <w14:schemeClr w14:val="tx1"/>
            </w14:solidFill>
          </w14:textFill>
        </w:rPr>
        <w:t>By the third day of the experiment, the TP concentration had risen rapidly, subsequently stabilizing.</w:t>
      </w:r>
    </w:p>
    <w:p w14:paraId="1F4CBC3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main factor related to plant absorption is the relatively gradual change in TP concentration in submerged plant areas. While plant photosynthesis increases DO levels, submerged plants can adsorb some phosphorus through their roots, thereby inhibiting phosphorus release.</w:t>
      </w:r>
    </w:p>
    <w:p w14:paraId="69C35BA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lowest TP concentration in the deep purification zone indicates that the ecological environment in this area is relatively stable and has a strong purification capacity for pollutants.</w:t>
      </w:r>
    </w:p>
    <w:p w14:paraId="62F3FB5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Overall, the TP release process is influenced by a variety of factors, including DO, temperature, organic matter content, and sediment properties, exhibiting significant complexity and nonlinear characteristics.</w:t>
      </w:r>
    </w:p>
    <w:p w14:paraId="3430417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study found that the highest TP release was observed in the pretreatment zone, reaching a peak of 0.48 mg/L.</w:t>
      </w:r>
    </w:p>
    <w:p w14:paraId="7319DA6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main reasons include:</w:t>
      </w:r>
    </w:p>
    <w:p w14:paraId="3F88915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Phosphorus enrichment in bottom sediment;</w:t>
      </w:r>
    </w:p>
    <w:p w14:paraId="3BDE76C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Low-oxygen environments promote phosphorus release;</w:t>
      </w:r>
    </w:p>
    <w:p w14:paraId="550090B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Enhanced decomposition of organic matter.</w:t>
      </w:r>
    </w:p>
    <w:p w14:paraId="248A0D4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the submerged plant area, TP levels rose rapidly after three days of settling, and then stabilized.</w:t>
      </w:r>
    </w:p>
    <w:p w14:paraId="0F62B15B">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74" w:name="_Toc12616"/>
      <w:bookmarkStart w:id="75" w:name="_Toc12931"/>
      <w:r>
        <w:rPr>
          <w:rFonts w:hint="default" w:ascii="Times New Roman" w:hAnsi="Times New Roman"/>
          <w:color w:val="000000" w:themeColor="text1"/>
          <w:sz w:val="21"/>
          <w:szCs w:val="21"/>
          <w14:textFill>
            <w14:solidFill>
              <w14:schemeClr w14:val="tx1"/>
            </w14:solidFill>
          </w14:textFill>
        </w:rPr>
        <w:t>4.2 Impact of DO on Pollution Release</w:t>
      </w:r>
      <w:bookmarkEnd w:id="74"/>
      <w:bookmarkEnd w:id="75"/>
    </w:p>
    <w:p w14:paraId="7D5BFBA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One of the important environmental factors affecting the release of pollutants from sediments is dissolved oxygen (DO). During the research, it was found that the variation patterns of DO differ significantly across different functional units.</w:t>
      </w:r>
    </w:p>
    <w:p w14:paraId="2F89F5C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Due to the high concentration of organic pollutants in the pretreatment zone, the microbial decomposition process consumes a large amount of oxygen, resulting in relatively low dissolved oxygen (DO) levels. </w:t>
      </w:r>
      <w:r>
        <w:rPr>
          <w:rFonts w:ascii="Times New Roman" w:hAnsi="Times New Roman" w:eastAsia="宋体"/>
          <w:color w:val="000000" w:themeColor="text1"/>
          <w:sz w:val="21"/>
          <w:szCs w:val="21"/>
          <w14:textFill>
            <w14:solidFill>
              <w14:schemeClr w14:val="tx1"/>
            </w14:solidFill>
          </w14:textFill>
        </w:rPr>
        <w:t>In some areas, DO concentrations even fell below 2 mg/L, indicating a significant hypoxic environment.</w:t>
      </w:r>
    </w:p>
    <w:p w14:paraId="06EFACE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Iron oxides in sediments are gradually reduced under low-oxygen conditions, causing phosphorus to be released into the overlying water, where it was originally adsorbed on the surface of the iron oxides. At the same time, by increasing the release rate of nitrogen pollutants, the low-oxygen environment promotes the activity of anaerobic microorganisms, enhancing denitrification and ammonification.</w:t>
      </w:r>
    </w:p>
    <w:p w14:paraId="35556DB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Experimental results show that when DO is below 2 mg/L, the total phosphorus release flux increases by about 30% to 50%, indicating that a low-oxygen environment is an important condition for inducing the release of endogenous pollutants.</w:t>
      </w:r>
    </w:p>
    <w:p w14:paraId="61B45F2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Furthermore, there is a clear coupling relationship between dissolved oxygen (DO) and temperature. </w:t>
      </w:r>
      <w:r>
        <w:rPr>
          <w:rFonts w:ascii="Times New Roman" w:hAnsi="Times New Roman" w:eastAsia="宋体"/>
          <w:color w:val="000000" w:themeColor="text1"/>
          <w:sz w:val="21"/>
          <w:szCs w:val="21"/>
          <w14:textFill>
            <w14:solidFill>
              <w14:schemeClr w14:val="tx1"/>
            </w14:solidFill>
          </w14:textFill>
        </w:rPr>
        <w:t>Increased temperature, while raising the metabolic rate of microorganisms, reduces oxygen solubility, further exacerbating DO consumption. Therefore, ecological purification systems are more prone to hypoxia during the high-temperature periods of summer.</w:t>
      </w:r>
    </w:p>
    <w:p w14:paraId="34B6366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Because the deep purification zone has a strong water exchange capacity and submerged plants can release oxygen through photosynthesis, the DO level is relatively high, which has a certain inhibitory effect on the release of pollutants.</w:t>
      </w:r>
    </w:p>
    <w:p w14:paraId="5F36043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conclusion, maintaining a high DO level is an important measure to reduce the risk of endogenous pollution.</w:t>
      </w:r>
    </w:p>
    <w:p w14:paraId="3314DD7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Studies have shown that when DO &lt; 2 mg/L:</w:t>
      </w:r>
    </w:p>
    <w:p w14:paraId="45D9D48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TP release was significantly enhanced;</w:t>
      </w:r>
    </w:p>
    <w:p w14:paraId="608EF4F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The redox potential of the sediment decreased;</w:t>
      </w:r>
    </w:p>
    <w:p w14:paraId="1574CA1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The iron-phosphorus bonded state is reduced.</w:t>
      </w:r>
    </w:p>
    <w:p w14:paraId="21B17C5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Nitrogen and phosphorus release fluxes increased by approximately 30% to 50%.</w:t>
      </w:r>
    </w:p>
    <w:p w14:paraId="3367BCF3">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76" w:name="_Toc918"/>
      <w:bookmarkStart w:id="77" w:name="_Toc17502"/>
      <w:r>
        <w:rPr>
          <w:rFonts w:hint="default" w:ascii="Times New Roman" w:hAnsi="Times New Roman"/>
          <w:color w:val="000000" w:themeColor="text1"/>
          <w:sz w:val="21"/>
          <w:szCs w:val="21"/>
          <w14:textFill>
            <w14:solidFill>
              <w14:schemeClr w14:val="tx1"/>
            </w14:solidFill>
          </w14:textFill>
        </w:rPr>
        <w:t>4.3 Effect of pH on pollutant release</w:t>
      </w:r>
      <w:bookmarkEnd w:id="76"/>
      <w:bookmarkEnd w:id="77"/>
    </w:p>
    <w:p w14:paraId="2D5E332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pH is a crucial environmental factor affecting the chemical balance of water bodies, as well as the migration and transformation of pollutants. </w:t>
      </w:r>
      <w:r>
        <w:rPr>
          <w:rFonts w:ascii="Times New Roman" w:hAnsi="Times New Roman"/>
          <w:color w:val="000000" w:themeColor="text1"/>
          <w:sz w:val="21"/>
          <w:szCs w:val="21"/>
          <w14:textFill>
            <w14:solidFill>
              <w14:schemeClr w14:val="tx1"/>
            </w14:solidFill>
          </w14:textFill>
        </w:rPr>
        <w:t>In ecological purification systems, pH changes not only affect nutrient release but also alter microbial activity and the forms in which ammonia nitrogen exists.</w:t>
      </w:r>
    </w:p>
    <w:p w14:paraId="71253EC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The study found that the release rate of total nitrogen in sediments was significantly improved under acidic conditions (pH &lt; 7). </w:t>
      </w:r>
      <w:r>
        <w:rPr>
          <w:rFonts w:ascii="Times New Roman" w:hAnsi="Times New Roman"/>
          <w:color w:val="000000" w:themeColor="text1"/>
          <w:sz w:val="21"/>
          <w:szCs w:val="21"/>
          <w14:textFill>
            <w14:solidFill>
              <w14:schemeClr w14:val="tx1"/>
            </w14:solidFill>
          </w14:textFill>
        </w:rPr>
        <w:t>This is mainly because an acidic environment enhances the mineralization of organic nitrogen and promotes the release of some adsorbed nitrogen into the water.</w:t>
      </w:r>
    </w:p>
    <w:p w14:paraId="34441F2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addition, an acidic environment reduces the ability of sediment particles to adsorb nutrients, making it easier for pollutants to enter the overlying water.</w:t>
      </w:r>
    </w:p>
    <w:p w14:paraId="43E3803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Ammonia nitrogen release shows a certain inhibitory effect under alkaline conditions (pH 8). </w:t>
      </w:r>
      <w:r>
        <w:rPr>
          <w:rFonts w:ascii="Times New Roman" w:hAnsi="Times New Roman"/>
          <w:color w:val="000000" w:themeColor="text1"/>
          <w:sz w:val="21"/>
          <w:szCs w:val="21"/>
          <w14:textFill>
            <w14:solidFill>
              <w14:schemeClr w14:val="tx1"/>
            </w14:solidFill>
          </w14:textFill>
        </w:rPr>
        <w:t>This is because as pH increases, some NH₄⁺ is converted to NH₃ and volatilizes, thereby reducing the concentration of ammonia nitrogen in the water.</w:t>
      </w:r>
    </w:p>
    <w:p w14:paraId="24E0D92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study also found a correlation between pH and DO. When algae photosynthesis increases, they consume CO2 (CO2) in the water, causing the pH to rise; while at night or in low-oxygen environments, increased respiration causes the pH to fall.</w:t>
      </w:r>
    </w:p>
    <w:p w14:paraId="4839C39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pH fluctuations also vary significantly between different functional units. The pH level in the ecological wetland purification area is higher during the day due to strong plant photosynthesis; the pretreatment area is locally slightly acidic due to significant decomposition of organic matter.</w:t>
      </w:r>
    </w:p>
    <w:p w14:paraId="3EC14DB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Overall, the impact of pH on pollutant release is complex. It not only directly affects nitrogen and phosphorus migration processes, but also indirectly affects water quality changes by altering microbial metabolism and redox conditions.</w:t>
      </w:r>
    </w:p>
    <w:p w14:paraId="0E71584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An acidic environment promotes the release of TN.</w:t>
      </w:r>
    </w:p>
    <w:p w14:paraId="1E57D78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Alkaline conditions inhibit the release of NH₄⁺-N.</w:t>
      </w:r>
    </w:p>
    <w:p w14:paraId="6571E8F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indicates that pH is a crucial controlling factor in the nitrogen cycle.</w:t>
      </w:r>
    </w:p>
    <w:p w14:paraId="5A476985">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78" w:name="_Toc6983"/>
      <w:bookmarkStart w:id="79" w:name="_Toc2411"/>
      <w:r>
        <w:rPr>
          <w:rFonts w:hint="default" w:ascii="Times New Roman" w:hAnsi="Times New Roman"/>
          <w:color w:val="000000" w:themeColor="text1"/>
          <w:sz w:val="21"/>
          <w:szCs w:val="21"/>
          <w14:textFill>
            <w14:solidFill>
              <w14:schemeClr w14:val="tx1"/>
            </w14:solidFill>
          </w14:textFill>
        </w:rPr>
        <w:t>4.4 Temperature Change Pattern</w:t>
      </w:r>
      <w:bookmarkEnd w:id="78"/>
      <w:bookmarkEnd w:id="79"/>
    </w:p>
    <w:p w14:paraId="1897810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Temperature is one of the key environmental factors affecting the operational stability of ecological purification systems. </w:t>
      </w:r>
      <w:r>
        <w:rPr>
          <w:rFonts w:ascii="Times New Roman" w:hAnsi="Times New Roman"/>
          <w:color w:val="000000" w:themeColor="text1"/>
          <w:sz w:val="21"/>
          <w:szCs w:val="21"/>
          <w14:textFill>
            <w14:solidFill>
              <w14:schemeClr w14:val="tx1"/>
            </w14:solidFill>
          </w14:textFill>
        </w:rPr>
        <w:t>Research results show that temperature changes have a significant impact on microbial activity, dissolved oxygen concentration, and pollutant migration and transformation processes.</w:t>
      </w:r>
    </w:p>
    <w:p w14:paraId="07B4DC9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metabolic rate of microorganisms increased significantly with increasing temperature during the experiment. The accelerated decomposition of organic matter led to a higher release rate of nutrients such as nitrogen and phosphorus. Simultaneously, increased temperature reduced oxygen solubility in water, increasing the likelihood of a hypoxic environment.</w:t>
      </w:r>
    </w:p>
    <w:p w14:paraId="5AD8680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The activity of anaerobic microorganisms in sediments is enhanced at higher temperatures, thereby promoting antinitrification in conjunction with organic nitrogen mineralization processes. </w:t>
      </w:r>
      <w:r>
        <w:rPr>
          <w:rFonts w:ascii="Times New Roman" w:hAnsi="Times New Roman"/>
          <w:color w:val="000000" w:themeColor="text1"/>
          <w:sz w:val="21"/>
          <w:szCs w:val="21"/>
          <w14:textFill>
            <w14:solidFill>
              <w14:schemeClr w14:val="tx1"/>
            </w14:solidFill>
          </w14:textFill>
        </w:rPr>
        <w:t>This further increases the concentrations of total nitrogen (TN) and NH₄⁺-N.</w:t>
      </w:r>
    </w:p>
    <w:p w14:paraId="0028022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Temperature variations also differ across regions. </w:t>
      </w:r>
      <w:r>
        <w:rPr>
          <w:rFonts w:ascii="Times New Roman" w:hAnsi="Times New Roman"/>
          <w:color w:val="000000" w:themeColor="text1"/>
          <w:sz w:val="21"/>
          <w:szCs w:val="21"/>
          <w14:textFill>
            <w14:solidFill>
              <w14:schemeClr w14:val="tx1"/>
            </w14:solidFill>
          </w14:textFill>
        </w:rPr>
        <w:t>In the pretreatment zone, due to the faster water flow and more frequent water exchange, temperature fluctuations are relatively smaller; while in the ecological wetland purification zone, the impact of solar radiation is more pronounced, resulting in a faster temperature rise during the day.</w:t>
      </w:r>
    </w:p>
    <w:p w14:paraId="01C24BA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addition, temperature changes can also affect plant growth. Within a suitable temperature range, aquatic plants can enhance purification by absorbing nitrogen and phosphorus; however, when the temperature is too high, some plants may wither, thus reducing their ecological purification capacity.</w:t>
      </w:r>
    </w:p>
    <w:p w14:paraId="37C7BAA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High temperatures can also induce rapid algal growth. After the algae die, large amounts of organic matter are deposited in the bottom sediment, further exacerbating the risk of endogenous pollution.</w:t>
      </w:r>
    </w:p>
    <w:p w14:paraId="29EF4AE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during the operation of the ecological purification system, special attention should be paid to water quality changes during the high-temperature period in summer, and measures such as aeration and oxygenation, water circulation, and optimized plant configuration should be taken to reduce the risk of pollution.</w:t>
      </w:r>
    </w:p>
    <w:p w14:paraId="5934C4A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Temperature rise will:</w:t>
      </w:r>
    </w:p>
    <w:p w14:paraId="3B9EF04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Enhance microbial activity;</w:t>
      </w:r>
    </w:p>
    <w:p w14:paraId="53935C4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Reduce DO;</w:t>
      </w:r>
    </w:p>
    <w:p w14:paraId="58B60F5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Accelerates the decomposition of organic matter;</w:t>
      </w:r>
    </w:p>
    <w:p w14:paraId="3FFF116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(4) Promote nitrogen and phosphorus cycling.</w:t>
      </w:r>
    </w:p>
    <w:p w14:paraId="13A8234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the risk of pollution is higher during the hot season.</w:t>
      </w:r>
    </w:p>
    <w:p w14:paraId="004B77B0">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80" w:name="_Toc15396"/>
      <w:bookmarkStart w:id="81" w:name="_Toc10505"/>
      <w:r>
        <w:rPr>
          <w:rFonts w:hint="default" w:ascii="Times New Roman" w:hAnsi="Times New Roman"/>
          <w:color w:val="000000" w:themeColor="text1"/>
          <w:sz w:val="21"/>
          <w:szCs w:val="21"/>
          <w14:textFill>
            <w14:solidFill>
              <w14:schemeClr w14:val="tx1"/>
            </w14:solidFill>
          </w14:textFill>
        </w:rPr>
        <w:t>4.5 Correlation Analysis</w:t>
      </w:r>
      <w:bookmarkEnd w:id="80"/>
      <w:bookmarkEnd w:id="81"/>
    </w:p>
    <w:p w14:paraId="03DD9BD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Pearson correlation coefficient method was used to conduct correlation analysis on the main water quality indicators in order to further analyze the interrelationships among environmental factors.</w:t>
      </w:r>
    </w:p>
    <w:p w14:paraId="056E598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results showed a significant negative correlation between dissolved oxygen (DO) and total phosphorus (TP). This confirms the conclusion that hypoxic environments promote phosphorus release, as the risk of phosphorus release gradually increases with decreasing dissolved oxygen.</w:t>
      </w:r>
    </w:p>
    <w:p w14:paraId="2ACFB78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Temperature and total nitrogen (TN) show a significant positive correlation. </w:t>
      </w:r>
      <w:r>
        <w:rPr>
          <w:rFonts w:ascii="Times New Roman" w:hAnsi="Times New Roman" w:eastAsia="宋体"/>
          <w:color w:val="000000" w:themeColor="text1"/>
          <w:sz w:val="21"/>
          <w:szCs w:val="21"/>
          <w14:textFill>
            <w14:solidFill>
              <w14:schemeClr w14:val="tx1"/>
            </w14:solidFill>
          </w14:textFill>
        </w:rPr>
        <w:t>This is mainly because increased temperature enhances the metabolic activity of microorganisms, thereby accelerating the mineralization of organic nitrogen and the ammonification process.</w:t>
      </w:r>
    </w:p>
    <w:p w14:paraId="43B9965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pH is negatively correlated with NH₄⁺-N. </w:t>
      </w:r>
      <w:r>
        <w:rPr>
          <w:rFonts w:ascii="Times New Roman" w:hAnsi="Times New Roman" w:eastAsia="宋体"/>
          <w:color w:val="000000" w:themeColor="text1"/>
          <w:sz w:val="21"/>
          <w:szCs w:val="21"/>
          <w14:textFill>
            <w14:solidFill>
              <w14:schemeClr w14:val="tx1"/>
            </w14:solidFill>
          </w14:textFill>
        </w:rPr>
        <w:t>When pH increases, some ammonium nitrogen gas will be converted into ammonia gas and volatilized, thus reducing the concentration of ammonia nitrogen in the water.</w:t>
      </w:r>
    </w:p>
    <w:p w14:paraId="770EF02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Furthermore, a strong correlation was also observed between CODMn and turbidity, indicating that as the content of organic pollutants increases, the concentration of suspended particulate matter also increases accordingly.</w:t>
      </w:r>
    </w:p>
    <w:p w14:paraId="12B15FB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Correlation analysis results indicate that there are complex coupling relationships among environmental factors in the ecological purification system, and a single indicator cannot fully reflect the state of water pollution. Therefore, introducing machine learning models to comprehensively analyze multivariate relationships is of great significance.</w:t>
      </w:r>
    </w:p>
    <w:p w14:paraId="241B954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research results show that:</w:t>
      </w:r>
    </w:p>
    <w:p w14:paraId="79856D7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DO and TP showed a significant negative correlation;</w:t>
      </w:r>
    </w:p>
    <w:p w14:paraId="3093D6B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Temperature is positively correlated with TN;</w:t>
      </w:r>
    </w:p>
    <w:p w14:paraId="2D17FD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pH is negatively correlated with NH₄⁺-N.</w:t>
      </w:r>
    </w:p>
    <w:p w14:paraId="2AFB573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It reveals a complex coupling relationship between environmental factors.</w:t>
      </w:r>
    </w:p>
    <w:p w14:paraId="6BD71552">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4214479C">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82" w:name="_Toc210"/>
      <w:bookmarkStart w:id="83" w:name="_Toc18348"/>
      <w:r>
        <w:rPr>
          <w:rFonts w:hint="default" w:ascii="Times New Roman" w:hAnsi="Times New Roman"/>
          <w:color w:val="000000" w:themeColor="text1"/>
          <w:sz w:val="21"/>
          <w:szCs w:val="21"/>
          <w14:textFill>
            <w14:solidFill>
              <w14:schemeClr w14:val="tx1"/>
            </w14:solidFill>
          </w14:textFill>
        </w:rPr>
        <w:t>Chapter 5 Construction of Water Quality Assessment Model Based on Machine Learning</w:t>
      </w:r>
      <w:bookmarkEnd w:id="82"/>
      <w:bookmarkEnd w:id="83"/>
    </w:p>
    <w:p w14:paraId="3431628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The selection of input features for machine learning models plays a crucial role in predicting accuracy. </w:t>
      </w:r>
      <w:r>
        <w:rPr>
          <w:rFonts w:ascii="Times New Roman" w:hAnsi="Times New Roman"/>
          <w:color w:val="000000" w:themeColor="text1"/>
          <w:sz w:val="21"/>
          <w:szCs w:val="21"/>
          <w14:textFill>
            <w14:solidFill>
              <w14:schemeClr w14:val="tx1"/>
            </w14:solidFill>
          </w14:textFill>
        </w:rPr>
        <w:t>Based on the actual monitoring data of the Yanlong Lake ecological purification system and the results of previous correlation analysis, this paper ultimately selected pH, DO, temperature, TN, TP, CODMn, conductivity, and turbidity as input variables for the model.</w:t>
      </w:r>
    </w:p>
    <w:p w14:paraId="70C723B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Among them, DO, an important factor affecting nitrogen and phosphorus release, can reflect the redox state of water bodies; the metabolism of microorganisms and the migration of pollutants can be affected by temperature; while pH will affect the transformation of ammonia nitrogen forms and the absorption process of phosphorus adsorption and desorption.</w:t>
      </w:r>
    </w:p>
    <w:p w14:paraId="58EC8F9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TN, TP, and CODMN are typical pollution indicators that can reflect the degree of eutrophication and organic pollution levels in water bodies. Electrical conductivity can reflect changes in ion concentration in water bodies, and the content of suspended particulate matter can be reflected by turbidity.</w:t>
      </w:r>
    </w:p>
    <w:p w14:paraId="79008ED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output variables use water quality grade classification results to achieve automatic identification of water quality status in different areas.</w:t>
      </w:r>
    </w:p>
    <w:p w14:paraId="06F1A01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All input variables are standardized to reduce the influence between different outlines and improve the model training effect.</w:t>
      </w:r>
      <w:r>
        <w:rPr>
          <w:rFonts w:ascii="Times New Roman" w:hAnsi="Times New Roman"/>
          <w:color w:val="000000" w:themeColor="text1"/>
          <w:sz w:val="21"/>
          <w:szCs w:val="21"/>
          <w14:textFill>
            <w14:solidFill>
              <w14:schemeClr w14:val="tx1"/>
            </w14:solidFill>
          </w14:textFill>
        </w:rPr>
        <w:t xml:space="preserve"> </w:t>
      </w:r>
    </w:p>
    <w:p w14:paraId="63A32E03">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84" w:name="_Toc10474"/>
      <w:bookmarkStart w:id="85" w:name="_Toc3259"/>
      <w:r>
        <w:rPr>
          <w:rFonts w:hint="default" w:ascii="Times New Roman" w:hAnsi="Times New Roman"/>
          <w:color w:val="000000" w:themeColor="text1"/>
          <w:sz w:val="21"/>
          <w:szCs w:val="21"/>
          <w14:textFill>
            <w14:solidFill>
              <w14:schemeClr w14:val="tx1"/>
            </w14:solidFill>
          </w14:textFill>
        </w:rPr>
        <w:t>5.2 Random Forest Model Construction</w:t>
      </w:r>
      <w:bookmarkEnd w:id="84"/>
      <w:bookmarkEnd w:id="85"/>
    </w:p>
    <w:p w14:paraId="7E62BEE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water quality assessment model was constructed using the random forest algorithm. Random forests can effectively improve model stability and generalization ability by integrating multiple decision trees to achieve the classification task.</w:t>
      </w:r>
    </w:p>
    <w:p w14:paraId="1C4D601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During the model building process, the training data is first generated by random sampling to form several training subsets; then the decision tree model is built on each subset; finally, the classification result is output through majority voting.</w:t>
      </w:r>
    </w:p>
    <w:p w14:paraId="267DD5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To improve vehicle performance, key parameters of the random forest were optimized, including:</w:t>
      </w:r>
    </w:p>
    <w:p w14:paraId="696C406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Number of trees (n_estimators); (2) Maximum tree depth (max_depth); (3) Minimum number of leaf node samples (min_samples_leaf).</w:t>
      </w:r>
    </w:p>
    <w:p w14:paraId="2EEFF74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Through multiple comparative experiments, it was found that as the number of trees increases, the model stability significantly improves, but the training time also increases accordingly. </w:t>
      </w:r>
      <w:r>
        <w:rPr>
          <w:rFonts w:ascii="Times New Roman" w:hAnsi="Times New Roman" w:eastAsia="宋体"/>
          <w:color w:val="000000" w:themeColor="text1"/>
          <w:sz w:val="21"/>
          <w:szCs w:val="21"/>
          <w14:textFill>
            <w14:solidFill>
              <w14:schemeClr w14:val="tx1"/>
            </w14:solidFill>
          </w14:textFill>
        </w:rPr>
        <w:t>Therefore, this paper achieves a balance between model accuracy and training efficiency.</w:t>
      </w:r>
    </w:p>
    <w:p w14:paraId="35709E5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order to reduce the risk of overfitting and improve the generalization ability of the model during training, a 5-fold cross-validation method was adopted.</w:t>
      </w:r>
    </w:p>
    <w:p w14:paraId="1A18FA6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Experimental results show that random forests can effectively identify complex nonlinear relationships and have a high classification accuracy for water quality levels in different functional areas.</w:t>
      </w:r>
    </w:p>
    <w:p w14:paraId="1501F243">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86" w:name="_Toc18852"/>
      <w:bookmarkStart w:id="87" w:name="_Toc20254"/>
      <w:r>
        <w:rPr>
          <w:rFonts w:hint="default" w:ascii="Times New Roman" w:hAnsi="Times New Roman"/>
          <w:color w:val="000000" w:themeColor="text1"/>
          <w:sz w:val="21"/>
          <w:szCs w:val="21"/>
          <w14:textFill>
            <w14:solidFill>
              <w14:schemeClr w14:val="tx1"/>
            </w14:solidFill>
          </w14:textFill>
        </w:rPr>
        <w:t>5.3 Support Vector Machine Model Construction</w:t>
      </w:r>
      <w:bookmarkEnd w:id="86"/>
      <w:bookmarkEnd w:id="87"/>
    </w:p>
    <w:p w14:paraId="28E49D4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Support Vector Machine (SVM) is a supervised learning algorithm based on statistical learning theory that performs well in the analysis of small sample and high-dimensional data.</w:t>
      </w:r>
    </w:p>
    <w:p w14:paraId="5D81AE3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 nonlinear classification model is constructed using the radial basis function (RBF). The RBF kernel function can map the original data to a high-dimensional feature space, thereby improving the classification ability of complex data.</w:t>
      </w:r>
    </w:p>
    <w:p w14:paraId="21F5DBA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During model training, the focus was on optimizing the penalty parameter C, which includes the kernel function parameter Gamma. Parameter C controls the model's complexity and the severity of penalties for misclassification; Gamma, on the other hand, defines the scope of the samples in the feature space.</w:t>
      </w:r>
    </w:p>
    <w:p w14:paraId="6AA6987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optimal parameter combination is obtained by using a grid search method combined with cross-validation.</w:t>
      </w:r>
    </w:p>
    <w:p w14:paraId="4195779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results show that support vector machines can perform water quality classification tasks well, but their training efficiency is lower than that of random forests, and they are more sensitive to parameter changes.</w:t>
      </w:r>
    </w:p>
    <w:p w14:paraId="444CFDC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 xml:space="preserve">Furthermore, the stability of SVM models can be affected to some extent when there is significant data noise. </w:t>
      </w:r>
      <w:r>
        <w:rPr>
          <w:rFonts w:ascii="Times New Roman" w:hAnsi="Times New Roman"/>
          <w:color w:val="000000" w:themeColor="text1"/>
          <w:sz w:val="21"/>
          <w:szCs w:val="21"/>
          <w14:textFill>
            <w14:solidFill>
              <w14:schemeClr w14:val="tx1"/>
            </w14:solidFill>
          </w14:textFill>
        </w:rPr>
        <w:t>Therefore, its applicability in processing complex ecological environment data is slightly lower than that of the random forest model.</w:t>
      </w:r>
    </w:p>
    <w:p w14:paraId="44463A42">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88" w:name="_Toc15981"/>
      <w:bookmarkStart w:id="89" w:name="_Toc25004"/>
      <w:r>
        <w:rPr>
          <w:rFonts w:hint="default" w:ascii="Times New Roman" w:hAnsi="Times New Roman"/>
          <w:color w:val="000000" w:themeColor="text1"/>
          <w:sz w:val="21"/>
          <w:szCs w:val="21"/>
          <w14:textFill>
            <w14:solidFill>
              <w14:schemeClr w14:val="tx1"/>
            </w14:solidFill>
          </w14:textFill>
        </w:rPr>
        <w:t>5.4 Model Performance Comparison</w:t>
      </w:r>
      <w:bookmarkEnd w:id="88"/>
      <w:bookmarkEnd w:id="89"/>
    </w:p>
    <w:p w14:paraId="632928C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 comparative analysis of the random forest model and the support vector machine model was conducted to verify the applicability of different machine learning models in water quality assessment of ecological purification systems.</w:t>
      </w:r>
    </w:p>
    <w:p w14:paraId="2BA3EF6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results show that both models can perform the water quality classification task well, but the overall performance of the random forest model is better than that of the support vector machine model.</w:t>
      </w:r>
    </w:p>
    <w:p w14:paraId="4726BE7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terms of classification accuracy, the random forest model achieved an accuracy of over 92%, while the support vector machine model achieved an accuracy of around 86%. This demonstrates that the random forest exhibits greater stability in complex, nonlinear data processing environments.</w:t>
      </w:r>
    </w:p>
    <w:p w14:paraId="5F3D05D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In terms of model training efficiency, random forests train faster and are less sensitive to parameters. </w:t>
      </w:r>
      <w:r>
        <w:rPr>
          <w:rFonts w:ascii="Times New Roman" w:hAnsi="Times New Roman" w:eastAsia="宋体"/>
          <w:color w:val="000000" w:themeColor="text1"/>
          <w:sz w:val="21"/>
          <w:szCs w:val="21"/>
          <w14:textFill>
            <w14:solidFill>
              <w14:schemeClr w14:val="tx1"/>
            </w14:solidFill>
          </w14:textFill>
        </w:rPr>
        <w:t>Furthermore, support vector machines require continuous adjustment of the penalty parameter C and the kernel function parameter GAMMA through grid search, making the training process more complex.</w:t>
      </w:r>
    </w:p>
    <w:p w14:paraId="3DD43E4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terms of model interpretability, random forests can rank and output the importance of features to identify key influencing factors; while support vector machines are "black box models" with relatively weaker interpretability.</w:t>
      </w:r>
    </w:p>
    <w:p w14:paraId="5102C2E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addition, random forests are more robust to outliers and noisy data, so they are more useful when analyzing data from complex ecosystems.</w:t>
      </w:r>
    </w:p>
    <w:p w14:paraId="7339AC2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summary, the random forest model demonstrated higher classification accuracy, better generalization ability, and greater engineering application value in this study.</w:t>
      </w:r>
    </w:p>
    <w:p w14:paraId="096FA44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Random forests outperform SVMs in the following ways:</w:t>
      </w:r>
    </w:p>
    <w:p w14:paraId="2E9835A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Stability;</w:t>
      </w:r>
    </w:p>
    <w:p w14:paraId="685EB0C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Generalization ability;</w:t>
      </w:r>
    </w:p>
    <w:p w14:paraId="65AACF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Feature interpretation ability.</w:t>
      </w:r>
    </w:p>
    <w:p w14:paraId="40AE3B7D">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90" w:name="_Toc19373"/>
      <w:bookmarkStart w:id="91" w:name="_Toc6972"/>
      <w:r>
        <w:rPr>
          <w:rFonts w:hint="default" w:ascii="Times New Roman" w:hAnsi="Times New Roman"/>
          <w:color w:val="000000" w:themeColor="text1"/>
          <w:sz w:val="21"/>
          <w:szCs w:val="21"/>
          <w14:textFill>
            <w14:solidFill>
              <w14:schemeClr w14:val="tx1"/>
            </w14:solidFill>
          </w14:textFill>
        </w:rPr>
        <w:t>5.5 Feature Importance Analysis</w:t>
      </w:r>
      <w:bookmarkEnd w:id="90"/>
      <w:bookmarkEnd w:id="91"/>
    </w:p>
    <w:p w14:paraId="522FAAC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To further analyze the impact of different environmental factors on water quality changes, this paper conducts feature importance analysis based on the random forest model.</w:t>
      </w:r>
    </w:p>
    <w:p w14:paraId="2D40EDC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The results showed that dissolved oxygen (DO) was the most important, indicating that DO is a crucial controlling factor affecting the operation of the ecological purification system. </w:t>
      </w:r>
      <w:r>
        <w:rPr>
          <w:rFonts w:ascii="Times New Roman" w:hAnsi="Times New Roman" w:eastAsia="宋体"/>
          <w:color w:val="000000" w:themeColor="text1"/>
          <w:sz w:val="21"/>
          <w:szCs w:val="21"/>
          <w14:textFill>
            <w14:solidFill>
              <w14:schemeClr w14:val="tx1"/>
            </w14:solidFill>
          </w14:textFill>
        </w:rPr>
        <w:t>The risk of nitrogen and phosphorus release from sediments increased significantly when DO levels decreased.</w:t>
      </w:r>
    </w:p>
    <w:p w14:paraId="56D5F0A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high ranking of TP and TN indicates that nutrient concentration is a crucial indicator for determining water quality levels.</w:t>
      </w:r>
    </w:p>
    <w:p w14:paraId="3572BCA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addition, pH and temperature also showed high importance. This indicates that changes in environmental conditions can indirectly affect water quality by influencing microbial metabolism and pollutant migration processes.</w:t>
      </w:r>
    </w:p>
    <w:p w14:paraId="5BCE86E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While conductivity and turbidity are relatively less important, they can still reflect the characteristics of local pollution changes.</w:t>
      </w:r>
    </w:p>
    <w:p w14:paraId="192C55F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Feature importance analysis can not only improve model interpretability, but also identify key risk factors in ecological purification systems, providing a basis for subsequent engineering optimization.</w:t>
      </w:r>
    </w:p>
    <w:p w14:paraId="2DF3C5BF">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7F640054">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92" w:name="_Toc20371"/>
      <w:bookmarkStart w:id="93" w:name="_Toc24516"/>
      <w:r>
        <w:rPr>
          <w:rFonts w:hint="default" w:ascii="Times New Roman" w:hAnsi="Times New Roman"/>
          <w:color w:val="000000" w:themeColor="text1"/>
          <w:sz w:val="21"/>
          <w:szCs w:val="21"/>
          <w14:textFill>
            <w14:solidFill>
              <w14:schemeClr w14:val="tx1"/>
            </w14:solidFill>
          </w14:textFill>
        </w:rPr>
        <w:t>Chapter 6 Analysis of the Correlation Mechanism between Environmental Factors and Pollutants</w:t>
      </w:r>
      <w:bookmarkEnd w:id="92"/>
      <w:bookmarkEnd w:id="93"/>
    </w:p>
    <w:p w14:paraId="67F1CF68">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94" w:name="_Toc18781"/>
      <w:bookmarkStart w:id="95" w:name="_Toc7155"/>
      <w:r>
        <w:rPr>
          <w:rFonts w:hint="default" w:ascii="Times New Roman" w:hAnsi="Times New Roman"/>
          <w:color w:val="000000" w:themeColor="text1"/>
          <w:sz w:val="21"/>
          <w:szCs w:val="21"/>
          <w14:textFill>
            <w14:solidFill>
              <w14:schemeClr w14:val="tx1"/>
            </w14:solidFill>
          </w14:textFill>
        </w:rPr>
        <w:t>6.1 Mechanism of DO's Influence on Pollution Release</w:t>
      </w:r>
      <w:bookmarkEnd w:id="94"/>
      <w:bookmarkEnd w:id="95"/>
    </w:p>
    <w:p w14:paraId="7650907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Do is an important controlling factor affecting the release of sediment pollution, and its changes will directly affect the redox state of sediment.</w:t>
      </w:r>
    </w:p>
    <w:p w14:paraId="0475D56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 stable oxide layer can form on the sediment surface under high DO conditions, thereby inhibiting phosphorus release. Simultaneously, it enhances the activity of aerobic microorganisms that help degrade organic pollutants.</w:t>
      </w:r>
    </w:p>
    <w:p w14:paraId="6B8770B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low-oxygen environments, the redox potential of sediments decreases, and the iron-phosphorus bound state gradually undergoes a reduction reaction, causing phosphorus adsorbed on the particle surface to be released back into the water.</w:t>
      </w:r>
    </w:p>
    <w:p w14:paraId="4615A02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addition, low-oxygen conditions promote anaerobic microbial metabolism, accelerate denitrification and organic nitrogen mineralization processes, thereby increasing TN and NH₄⁺-N concentrations.</w:t>
      </w:r>
    </w:p>
    <w:p w14:paraId="6B3BF71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maintaining a high DO level is of great significance for reducing the risk of endogenous pollution.</w:t>
      </w:r>
    </w:p>
    <w:p w14:paraId="7343344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 low-oxygen environment:</w:t>
      </w:r>
    </w:p>
    <w:p w14:paraId="10A23B3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The redox potential of the sediment decreased;</w:t>
      </w:r>
    </w:p>
    <w:p w14:paraId="71A453D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The iron-phosphorus bonded state undergoes reduction;</w:t>
      </w:r>
    </w:p>
    <w:p w14:paraId="2E426A6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Phosphorus re-enters the overlying water.</w:t>
      </w:r>
    </w:p>
    <w:p w14:paraId="1B621E3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At the same time, a low-oxygen environment promotes the metabolism of anaerobic microorganisms and accelerates nitrogen circulation.</w:t>
      </w:r>
    </w:p>
    <w:p w14:paraId="0413F7D0">
      <w:pPr>
        <w:pStyle w:val="9"/>
        <w:widowControl/>
        <w:spacing w:line="480" w:lineRule="auto"/>
        <w:jc w:val="center"/>
        <w:rPr>
          <w:rFonts w:ascii="Times New Roman" w:hAnsi="Times New Roman" w:eastAsia="宋体"/>
          <w:color w:val="000000" w:themeColor="text1"/>
          <w:sz w:val="21"/>
          <w:szCs w:val="21"/>
          <w:shd w:val="clear" w:color="auto" w:fill="FFFFFF"/>
          <w:lang w:eastAsia="zh-CN"/>
          <w14:textFill>
            <w14:solidFill>
              <w14:schemeClr w14:val="tx1"/>
            </w14:solidFill>
          </w14:textFill>
        </w:rPr>
      </w:pPr>
      <w:r>
        <w:rPr>
          <w:rFonts w:ascii="Times New Roman" w:hAnsi="Times New Roman" w:eastAsia="宋体"/>
          <w:color w:val="000000" w:themeColor="text1"/>
          <w:sz w:val="21"/>
          <w:szCs w:val="21"/>
          <w:shd w:val="clear" w:color="auto" w:fill="FFFFFF"/>
          <w:lang w:eastAsia="zh-CN"/>
          <w14:textFill>
            <w14:solidFill>
              <w14:schemeClr w14:val="tx1"/>
            </w14:solidFill>
          </w14:textFill>
        </w:rPr>
        <w:drawing>
          <wp:inline distT="0" distB="0" distL="0" distR="0">
            <wp:extent cx="3943350" cy="2900045"/>
            <wp:effectExtent l="0" t="0" r="0" b="0"/>
            <wp:docPr id="726706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683" name="图片 13"/>
                    <pic:cNvPicPr>
                      <a:picLocks noChangeAspect="1" noChangeArrowheads="1"/>
                    </pic:cNvPicPr>
                  </pic:nvPicPr>
                  <pic:blipFill>
                    <a:blip r:embed="rId8">
                      <a:extLst>
                        <a:ext uri="{28A0092B-C50C-407E-A947-70E740481C1C}">
                          <a14:useLocalDpi xmlns:a14="http://schemas.microsoft.com/office/drawing/2010/main" val="0"/>
                        </a:ext>
                      </a:extLst>
                    </a:blip>
                    <a:srcRect l="9593" t="10324" r="2547" b="5476"/>
                    <a:stretch>
                      <a:fillRect/>
                    </a:stretch>
                  </pic:blipFill>
                  <pic:spPr>
                    <a:xfrm>
                      <a:off x="0" y="0"/>
                      <a:ext cx="3943350" cy="2900045"/>
                    </a:xfrm>
                    <a:prstGeom prst="rect">
                      <a:avLst/>
                    </a:prstGeom>
                    <a:noFill/>
                    <a:ln>
                      <a:noFill/>
                    </a:ln>
                  </pic:spPr>
                </pic:pic>
              </a:graphicData>
            </a:graphic>
          </wp:inline>
        </w:drawing>
      </w:r>
    </w:p>
    <w:p w14:paraId="60FC1F37">
      <w:pPr>
        <w:pStyle w:val="15"/>
        <w:bidi w:val="0"/>
        <w:jc w:val="center"/>
        <w:rPr>
          <w:sz w:val="20"/>
          <w:szCs w:val="20"/>
          <w:lang w:eastAsia="zh-CN"/>
        </w:rPr>
      </w:pPr>
      <w:bookmarkStart w:id="96" w:name="_Toc20613"/>
      <w:bookmarkStart w:id="97" w:name="_Toc651"/>
      <w:r>
        <w:rPr>
          <w:rFonts w:hint="default"/>
          <w:sz w:val="20"/>
          <w:szCs w:val="20"/>
          <w:lang w:eastAsia="zh-CN"/>
        </w:rPr>
        <w:t>Figure 6.1 Dissolved oxygen</w:t>
      </w:r>
      <w:bookmarkEnd w:id="96"/>
      <w:bookmarkEnd w:id="97"/>
    </w:p>
    <w:p w14:paraId="1501B1CE">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98" w:name="_Toc29249"/>
      <w:bookmarkStart w:id="99" w:name="_Toc29122"/>
      <w:r>
        <w:rPr>
          <w:rFonts w:hint="default" w:ascii="Times New Roman" w:hAnsi="Times New Roman"/>
          <w:color w:val="000000" w:themeColor="text1"/>
          <w:sz w:val="21"/>
          <w:szCs w:val="21"/>
          <w14:textFill>
            <w14:solidFill>
              <w14:schemeClr w14:val="tx1"/>
            </w14:solidFill>
          </w14:textFill>
        </w:rPr>
        <w:t>6.2 Mechanism of pH's Influence on Pollutant Release</w:t>
      </w:r>
      <w:bookmarkEnd w:id="98"/>
      <w:bookmarkEnd w:id="99"/>
    </w:p>
    <w:p w14:paraId="5F8378B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pH has a significant impact on the migration process of pollutants, and it can change the nutrient form and the adsorption capacity of sediments.</w:t>
      </w:r>
    </w:p>
    <w:p w14:paraId="3ECE92C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Under acidic conditions, the surface charge of sediment particles changes, making it easier for adsorbed phosphorus to be desorbed in water. Simultaneously, the metabolic activity of some microorganisms is enhanced in acidic environments, increasing nitrogen release rates.</w:t>
      </w:r>
    </w:p>
    <w:p w14:paraId="34391F1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Under alkaline conditions, some NH₄⁺ will be converted into NH₃ and volatilize, thereby reducing the ammonia nitrogen concentration.</w:t>
      </w:r>
    </w:p>
    <w:p w14:paraId="6C1D137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addition, pH changes can affect the stability of metal ions in water, thereby altering phosphorus adsorption capacity.</w:t>
      </w:r>
    </w:p>
    <w:p w14:paraId="55A1569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Therefore, pH is an important environmental parameter that affects the stable operation of ecological purification systems.</w:t>
      </w:r>
    </w:p>
    <w:p w14:paraId="3831C1A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pH affects:</w:t>
      </w:r>
    </w:p>
    <w:p w14:paraId="2F1CDD9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Ammonia nitrogen form;</w:t>
      </w:r>
    </w:p>
    <w:p w14:paraId="260084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Phosphorus adsorption and desorption;</w:t>
      </w:r>
    </w:p>
    <w:p w14:paraId="1A2C38E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Microbial activity.</w:t>
      </w:r>
    </w:p>
    <w:p w14:paraId="55454ED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Acidic conditions enhance TN release.</w:t>
      </w:r>
    </w:p>
    <w:p w14:paraId="3AC9BFA6">
      <w:pPr>
        <w:pStyle w:val="9"/>
        <w:widowControl/>
        <w:spacing w:line="480" w:lineRule="auto"/>
        <w:jc w:val="center"/>
        <w:rPr>
          <w:rFonts w:ascii="Times New Roman" w:hAnsi="Times New Roman" w:eastAsia="黑体"/>
          <w:b/>
          <w:bCs/>
          <w:color w:val="000000" w:themeColor="text1"/>
          <w:sz w:val="21"/>
          <w:szCs w:val="21"/>
          <w:shd w:val="clear" w:color="auto" w:fill="FFFFFF"/>
          <w:lang w:eastAsia="zh-CN"/>
          <w14:textFill>
            <w14:solidFill>
              <w14:schemeClr w14:val="tx1"/>
            </w14:solidFill>
          </w14:textFill>
        </w:rPr>
      </w:pPr>
      <w:r>
        <w:rPr>
          <w:rFonts w:ascii="Times New Roman" w:hAnsi="Times New Roman" w:eastAsia="黑体"/>
          <w:b/>
          <w:bCs/>
          <w:color w:val="000000" w:themeColor="text1"/>
          <w:sz w:val="21"/>
          <w:szCs w:val="21"/>
          <w:shd w:val="clear" w:color="auto" w:fill="FFFFFF"/>
          <w:lang w:eastAsia="zh-CN"/>
          <w14:textFill>
            <w14:solidFill>
              <w14:schemeClr w14:val="tx1"/>
            </w14:solidFill>
          </w14:textFill>
        </w:rPr>
        <w:drawing>
          <wp:inline distT="0" distB="0" distL="0" distR="0">
            <wp:extent cx="3960495" cy="2934335"/>
            <wp:effectExtent l="0" t="0" r="1905" b="0"/>
            <wp:docPr id="1367457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5786" name="图片 12"/>
                    <pic:cNvPicPr>
                      <a:picLocks noChangeAspect="1" noChangeArrowheads="1"/>
                    </pic:cNvPicPr>
                  </pic:nvPicPr>
                  <pic:blipFill>
                    <a:blip r:embed="rId9">
                      <a:extLst>
                        <a:ext uri="{28A0092B-C50C-407E-A947-70E740481C1C}">
                          <a14:useLocalDpi xmlns:a14="http://schemas.microsoft.com/office/drawing/2010/main" val="0"/>
                        </a:ext>
                      </a:extLst>
                    </a:blip>
                    <a:srcRect l="8758" t="9642" r="2999" b="5162"/>
                    <a:stretch>
                      <a:fillRect/>
                    </a:stretch>
                  </pic:blipFill>
                  <pic:spPr>
                    <a:xfrm>
                      <a:off x="0" y="0"/>
                      <a:ext cx="3960495" cy="2934335"/>
                    </a:xfrm>
                    <a:prstGeom prst="rect">
                      <a:avLst/>
                    </a:prstGeom>
                    <a:noFill/>
                    <a:ln>
                      <a:noFill/>
                    </a:ln>
                  </pic:spPr>
                </pic:pic>
              </a:graphicData>
            </a:graphic>
          </wp:inline>
        </w:drawing>
      </w:r>
    </w:p>
    <w:p w14:paraId="4FB3A95F">
      <w:pPr>
        <w:pStyle w:val="15"/>
        <w:bidi w:val="0"/>
        <w:jc w:val="center"/>
        <w:rPr>
          <w:sz w:val="20"/>
          <w:szCs w:val="20"/>
          <w:lang w:eastAsia="zh-CN"/>
        </w:rPr>
      </w:pPr>
      <w:bookmarkStart w:id="100" w:name="_Toc22230"/>
      <w:r>
        <w:rPr>
          <w:rFonts w:hint="default"/>
          <w:sz w:val="20"/>
          <w:szCs w:val="20"/>
          <w:lang w:eastAsia="zh-CN"/>
        </w:rPr>
        <w:t>Figure 6.2 pH changes</w:t>
      </w:r>
      <w:bookmarkEnd w:id="100"/>
    </w:p>
    <w:p w14:paraId="3815BFC4">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01" w:name="_Toc6702"/>
      <w:bookmarkStart w:id="102" w:name="_Toc188"/>
      <w:r>
        <w:rPr>
          <w:rFonts w:hint="default" w:ascii="Times New Roman" w:hAnsi="Times New Roman"/>
          <w:color w:val="000000" w:themeColor="text1"/>
          <w:sz w:val="21"/>
          <w:szCs w:val="21"/>
          <w14:textFill>
            <w14:solidFill>
              <w14:schemeClr w14:val="tx1"/>
            </w14:solidFill>
          </w14:textFill>
        </w:rPr>
        <w:t>6.3 Temperature Influence Mechanism</w:t>
      </w:r>
      <w:bookmarkEnd w:id="101"/>
      <w:bookmarkEnd w:id="102"/>
    </w:p>
    <w:p w14:paraId="1A316FE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Temperature changes have a combined effect on microbial activity, dissolved oxygen (DO) in water, and the migration of pollutants.</w:t>
      </w:r>
    </w:p>
    <w:p w14:paraId="7A1EAF7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Increased microbial metabolism accelerates the decomposition of organic matter with rising temperatures, thus promoting the release of nitrogen and phosphorus. Simultaneously, higher temperatures decrease oxygen solubility, making it easier for hypoxic environments to form in localized areas.</w:t>
      </w:r>
    </w:p>
    <w:p w14:paraId="09C9CB0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High temperatures can also induce abnormal algal growth. After the algae die and deposit in the sediment, they further increase the risk of endogenous contamination.</w:t>
      </w:r>
    </w:p>
    <w:p w14:paraId="3B7D6FC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during the high-temperature period in summer, the operation and management of the ecological purification system should be strengthened, and measures such as aeration and oxygenation should be taken when necessary to reduce the risk of pollution.</w:t>
      </w:r>
    </w:p>
    <w:p w14:paraId="499569B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Temperature rise will:</w:t>
      </w:r>
    </w:p>
    <w:p w14:paraId="388A119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(1) Enhance microbial metabolism;</w:t>
      </w:r>
    </w:p>
    <w:p w14:paraId="1EE3906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(2) Reduce DO;</w:t>
      </w:r>
    </w:p>
    <w:p w14:paraId="71D620B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 Promote the decomposition of organic matter.</w:t>
      </w:r>
    </w:p>
    <w:p w14:paraId="7039C72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the risk of pollution is higher during the hot season.</w:t>
      </w:r>
    </w:p>
    <w:p w14:paraId="1D9797B4">
      <w:pPr>
        <w:pStyle w:val="9"/>
        <w:widowControl/>
        <w:spacing w:line="480" w:lineRule="auto"/>
        <w:jc w:val="center"/>
        <w:rPr>
          <w:rFonts w:ascii="Times New Roman" w:hAnsi="Times New Roman"/>
          <w:color w:val="000000" w:themeColor="text1"/>
          <w:sz w:val="21"/>
          <w:szCs w:val="21"/>
          <w:shd w:val="clear" w:color="auto" w:fill="FFFFFF"/>
          <w:lang w:eastAsia="zh-CN"/>
          <w14:textFill>
            <w14:solidFill>
              <w14:schemeClr w14:val="tx1"/>
            </w14:solidFill>
          </w14:textFill>
        </w:rPr>
      </w:pPr>
      <w:r>
        <w:rPr>
          <w:rFonts w:ascii="Times New Roman" w:hAnsi="Times New Roman"/>
          <w:color w:val="000000" w:themeColor="text1"/>
          <w:sz w:val="21"/>
          <w:szCs w:val="21"/>
          <w:shd w:val="clear" w:color="auto" w:fill="FFFFFF"/>
          <w:lang w:eastAsia="zh-CN"/>
          <w14:textFill>
            <w14:solidFill>
              <w14:schemeClr w14:val="tx1"/>
            </w14:solidFill>
          </w14:textFill>
        </w:rPr>
        <w:drawing>
          <wp:inline distT="0" distB="0" distL="0" distR="0">
            <wp:extent cx="3950335" cy="2912745"/>
            <wp:effectExtent l="0" t="0" r="12065" b="0"/>
            <wp:docPr id="10225463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46393" name="图片 17"/>
                    <pic:cNvPicPr>
                      <a:picLocks noChangeAspect="1" noChangeArrowheads="1"/>
                    </pic:cNvPicPr>
                  </pic:nvPicPr>
                  <pic:blipFill>
                    <a:blip r:embed="rId10">
                      <a:extLst>
                        <a:ext uri="{28A0092B-C50C-407E-A947-70E740481C1C}">
                          <a14:useLocalDpi xmlns:a14="http://schemas.microsoft.com/office/drawing/2010/main" val="0"/>
                        </a:ext>
                      </a:extLst>
                    </a:blip>
                    <a:srcRect l="9324" t="9882" r="2660" b="5549"/>
                    <a:stretch>
                      <a:fillRect/>
                    </a:stretch>
                  </pic:blipFill>
                  <pic:spPr>
                    <a:xfrm>
                      <a:off x="0" y="0"/>
                      <a:ext cx="3950335" cy="2912745"/>
                    </a:xfrm>
                    <a:prstGeom prst="rect">
                      <a:avLst/>
                    </a:prstGeom>
                    <a:noFill/>
                    <a:ln>
                      <a:noFill/>
                    </a:ln>
                  </pic:spPr>
                </pic:pic>
              </a:graphicData>
            </a:graphic>
          </wp:inline>
        </w:drawing>
      </w:r>
    </w:p>
    <w:p w14:paraId="1D7C4437">
      <w:pPr>
        <w:pStyle w:val="15"/>
        <w:bidi w:val="0"/>
        <w:jc w:val="center"/>
        <w:rPr>
          <w:sz w:val="20"/>
          <w:szCs w:val="20"/>
          <w:lang w:eastAsia="zh-CN"/>
        </w:rPr>
      </w:pPr>
      <w:bookmarkStart w:id="103" w:name="_Toc5351"/>
      <w:r>
        <w:rPr>
          <w:rFonts w:hint="default"/>
          <w:sz w:val="20"/>
          <w:szCs w:val="20"/>
          <w:lang w:eastAsia="zh-CN"/>
        </w:rPr>
        <w:t>Figure 6.3 Temperature Change</w:t>
      </w:r>
      <w:bookmarkEnd w:id="103"/>
    </w:p>
    <w:p w14:paraId="035506FE">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04" w:name="_Toc2196"/>
      <w:bookmarkStart w:id="105" w:name="_Toc5632"/>
      <w:r>
        <w:rPr>
          <w:rFonts w:hint="default" w:ascii="Times New Roman" w:hAnsi="Times New Roman"/>
          <w:color w:val="000000" w:themeColor="text1"/>
          <w:sz w:val="21"/>
          <w:szCs w:val="21"/>
          <w14:textFill>
            <w14:solidFill>
              <w14:schemeClr w14:val="tx1"/>
            </w14:solidFill>
          </w14:textFill>
        </w:rPr>
        <w:t>6.4 Engineering Application Analysis</w:t>
      </w:r>
      <w:bookmarkEnd w:id="104"/>
      <w:bookmarkEnd w:id="105"/>
    </w:p>
    <w:p w14:paraId="6B1ABDB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Further targeted application suggestions are proposed from aspects such as engineering operation optimization, ecological restoration, and intelligent monitoring, based on the regional pollution characteristics of different functions of the Yanlong Lake ecological purification system and the analysis results of machine learning models.</w:t>
      </w:r>
    </w:p>
    <w:p w14:paraId="08BC6CC6">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06" w:name="_Toc16266"/>
      <w:r>
        <w:rPr>
          <w:rFonts w:hint="default" w:ascii="Times New Roman" w:hAnsi="Times New Roman"/>
          <w:color w:val="000000" w:themeColor="text1"/>
          <w:sz w:val="21"/>
          <w:szCs w:val="21"/>
          <w14:textFill>
            <w14:solidFill>
              <w14:schemeClr w14:val="tx1"/>
            </w14:solidFill>
          </w14:textFill>
        </w:rPr>
        <w:t>(1) Optimization measures for the pretreatment area</w:t>
      </w:r>
      <w:bookmarkEnd w:id="106"/>
    </w:p>
    <w:p w14:paraId="603740B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results indicate that the pretreatment zone had the highest pollutant concentration and was also the area with the greatest risk of endogenous pollution. This area has long been affected by the deposition of suspended particulate matter and the accumulation of organic pollutants, resulting in significantly higher levels of total nitrogen (TN), total phosphorus (TP), and organic matter in the sediment compared to other areas.</w:t>
      </w:r>
    </w:p>
    <w:p w14:paraId="3541242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it is recommended to focus on strengthening the following measures:</w:t>
      </w:r>
    </w:p>
    <w:p w14:paraId="1BD37CF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① Enhance aeration and oxygenation capacity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by increasing the number of microporous aeration devices, thereby increasing the local DO level, reducing the probability of low-oxygen environment formation, and thus inhibiting phosphorus release from sediments.</w:t>
      </w:r>
    </w:p>
    <w:p w14:paraId="5431FF7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② Strengthen the management of bottom sediment dredging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and carry out environmentally friendly dredging regularly to reduce the accumulation of pollutants in sediments and reduce the risk of endogenous pollution.</w:t>
      </w:r>
    </w:p>
    <w:p w14:paraId="70580D2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③ Optimize the water flow organization structure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to appropriately improve the hydrodynamic conditions in local areas, thereby reducing pollutant deposition and the formation of anaerobic environments in the bottom sediment.</w:t>
      </w:r>
    </w:p>
    <w:p w14:paraId="7F757F7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addition, ecological cover technology can be used to lay ecological matrix materials in some high-risk areas to reduce the intensity of nutrient release.</w:t>
      </w:r>
    </w:p>
    <w:p w14:paraId="557A566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07" w:name="_Toc17567"/>
      <w:r>
        <w:rPr>
          <w:rFonts w:hint="default" w:ascii="Times New Roman" w:hAnsi="Times New Roman"/>
          <w:color w:val="000000" w:themeColor="text1"/>
          <w:sz w:val="21"/>
          <w:szCs w:val="21"/>
          <w14:textFill>
            <w14:solidFill>
              <w14:schemeClr w14:val="tx1"/>
            </w14:solidFill>
          </w14:textFill>
        </w:rPr>
        <w:t>(2) Optimization measures for ecological wetland purification areas</w:t>
      </w:r>
      <w:bookmarkEnd w:id="107"/>
    </w:p>
    <w:p w14:paraId="4764286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ecological wetland purification area is an important core area of the Yanlong Lake ecological purification system. Its purification effect mainly depends on the comprehensive effects of plant absorption, microbial metabolism, and matrix adsorption.</w:t>
      </w:r>
    </w:p>
    <w:p w14:paraId="6BF65CC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Studies have found that emergent and submerged plants have different functions in removing pollutants.</w:t>
      </w:r>
    </w:p>
    <w:p w14:paraId="5C55DAF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w:t>
      </w:r>
    </w:p>
    <w:p w14:paraId="484B5C85">
      <w:pPr>
        <w:widowControl/>
        <w:numPr>
          <w:ilvl w:val="0"/>
          <w:numId w:val="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Emergent plants can effectively absorb nitrogen and phosphorus pollutants;</w:t>
      </w:r>
    </w:p>
    <w:p w14:paraId="1EB77E79">
      <w:pPr>
        <w:widowControl/>
        <w:numPr>
          <w:ilvl w:val="0"/>
          <w:numId w:val="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Submerged plants can improve their DO levels through photosynthesis;</w:t>
      </w:r>
    </w:p>
    <w:p w14:paraId="724571D7">
      <w:pPr>
        <w:widowControl/>
        <w:numPr>
          <w:ilvl w:val="0"/>
          <w:numId w:val="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Microbial communities play a role in promoting the decomposition of organic pollutants and nitrogen cycling.</w:t>
      </w:r>
      <w:r>
        <w:rPr>
          <w:rFonts w:ascii="Times New Roman" w:hAnsi="Times New Roman" w:cs="Times New Roman"/>
          <w:color w:val="000000" w:themeColor="text1"/>
          <w:sz w:val="21"/>
          <w:szCs w:val="21"/>
          <w14:textFill>
            <w14:solidFill>
              <w14:schemeClr w14:val="tx1"/>
            </w14:solidFill>
          </w14:textFill>
        </w:rPr>
        <w:t xml:space="preserve"> </w:t>
      </w:r>
    </w:p>
    <w:p w14:paraId="5F55590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the plant configuration structure should be further optimized during the operation of the project.</w:t>
      </w:r>
    </w:p>
    <w:p w14:paraId="09FF5F4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suggestion:</w:t>
      </w:r>
    </w:p>
    <w:p w14:paraId="072239B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① Increasing the proportion of submerged plants improves water transparency and dissolved oxygen (DO) levels, thereby enhancing system stability.</w:t>
      </w:r>
    </w:p>
    <w:p w14:paraId="4F2E434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② Rationally combine different plant species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to improve the biodiversity of the ecosystem and enhance the comprehensive removal capacity of pollutants.</w:t>
      </w:r>
    </w:p>
    <w:p w14:paraId="52FBA7E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③ Regularly remove decaying plants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to prevent them from releasing nutrients again after death, which could exacerbate endogenous pollution.</w:t>
      </w:r>
    </w:p>
    <w:p w14:paraId="7BA4D01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Meanwhile, ecological floating bed technology can be introduced to further improve purification efficiency through the synergistic effect of plant roots and microorganisms.</w:t>
      </w:r>
    </w:p>
    <w:p w14:paraId="468DC6FD">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3FAE3296">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08" w:name="_Toc14129"/>
      <w:r>
        <w:rPr>
          <w:rFonts w:hint="default" w:ascii="Times New Roman" w:hAnsi="Times New Roman"/>
          <w:color w:val="000000" w:themeColor="text1"/>
          <w:sz w:val="21"/>
          <w:szCs w:val="21"/>
          <w14:textFill>
            <w14:solidFill>
              <w14:schemeClr w14:val="tx1"/>
            </w14:solidFill>
          </w14:textFill>
        </w:rPr>
        <w:t>(3) Optimization of deep purification zone operation</w:t>
      </w:r>
      <w:bookmarkEnd w:id="108"/>
    </w:p>
    <w:p w14:paraId="31BCACF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deep purification zone is mainly responsible for stabilizing water quality and ensuring water supply security.</w:t>
      </w:r>
    </w:p>
    <w:p w14:paraId="5E907F6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study results indicate that the region has high DO levels and relatively stable hydrodynamic conditions, thus the risk of pollutant release is low.</w:t>
      </w:r>
    </w:p>
    <w:p w14:paraId="612B4C3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To further improve system stability, it is recommended that:</w:t>
      </w:r>
    </w:p>
    <w:p w14:paraId="509B1FB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① Maintain a stable high DO environment.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If necessary, adopt circulating aeration measures to avoid local hypoxia.</w:t>
      </w:r>
    </w:p>
    <w:p w14:paraId="1DBD291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② Strengthen algae control.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During the high-temperature season, we should focus on the problem of abnormal algae proliferation to prevent new sources of pollution from forming after algae die.</w:t>
      </w:r>
    </w:p>
    <w:p w14:paraId="44605D9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③ Establish ecological buffer zones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and utilize aquatic plants and ecological bank protection to reduce the input of external pollution.</w:t>
      </w:r>
    </w:p>
    <w:p w14:paraId="4878559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In addition, to prevent pollutants from continuing to accumulate in sediments, long-term monitoring of potential heavy metal hazard zones should be strengthened.</w:t>
      </w:r>
    </w:p>
    <w:p w14:paraId="7F25CC78">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4A4C27DC">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09" w:name="_Toc1338"/>
      <w:r>
        <w:rPr>
          <w:rFonts w:hint="default" w:ascii="Times New Roman" w:hAnsi="Times New Roman"/>
          <w:color w:val="000000" w:themeColor="text1"/>
          <w:sz w:val="21"/>
          <w:szCs w:val="21"/>
          <w14:textFill>
            <w14:solidFill>
              <w14:schemeClr w14:val="tx1"/>
            </w14:solidFill>
          </w14:textFill>
        </w:rPr>
        <w:t>(4) Online monitoring and intelligent management</w:t>
      </w:r>
      <w:bookmarkEnd w:id="109"/>
    </w:p>
    <w:p w14:paraId="658948B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With the rapid development of smart water management technology, traditional manual monitoring methods are no longer sufficient to meet the dynamic management needs of ecological purification systems.</w:t>
      </w:r>
    </w:p>
    <w:p w14:paraId="3490EFC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Therefore, intelligent online monitoring systems need to be gradually established in the future.</w:t>
      </w:r>
    </w:p>
    <w:p w14:paraId="7E0A733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We recommend focusing on monitoring the following indicators:</w:t>
      </w:r>
    </w:p>
    <w:p w14:paraId="726478AF">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DO;</w:t>
      </w:r>
    </w:p>
    <w:p w14:paraId="0878095E">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pH;</w:t>
      </w:r>
    </w:p>
    <w:p w14:paraId="552704F3">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temperature;</w:t>
      </w:r>
    </w:p>
    <w:p w14:paraId="0756A171">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Electrical conductivity;</w:t>
      </w:r>
    </w:p>
    <w:p w14:paraId="5122E1C6">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Turbidity;</w:t>
      </w:r>
    </w:p>
    <w:p w14:paraId="5B12C06D">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TN;</w:t>
      </w:r>
    </w:p>
    <w:p w14:paraId="0C5A9F24">
      <w:pPr>
        <w:widowControl/>
        <w:numPr>
          <w:ilvl w:val="0"/>
          <w:numId w:val="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TP.</w:t>
      </w:r>
    </w:p>
    <w:p w14:paraId="22BDFF0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Data is collected in real time through sensor networks, enabling dynamic early warning of pollution risks, and combined with machine learning algorithms.</w:t>
      </w:r>
    </w:p>
    <w:p w14:paraId="11B0CBF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For example, when the system detects:</w:t>
      </w:r>
    </w:p>
    <w:p w14:paraId="0A97D4F5">
      <w:pPr>
        <w:widowControl/>
        <w:numPr>
          <w:ilvl w:val="0"/>
          <w:numId w:val="6"/>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DO drops rapidly;</w:t>
      </w:r>
    </w:p>
    <w:p w14:paraId="6DF49C25">
      <w:pPr>
        <w:widowControl/>
        <w:numPr>
          <w:ilvl w:val="0"/>
          <w:numId w:val="6"/>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TP levels are abnormally high;</w:t>
      </w:r>
    </w:p>
    <w:p w14:paraId="578C62B5">
      <w:pPr>
        <w:widowControl/>
        <w:numPr>
          <w:ilvl w:val="0"/>
          <w:numId w:val="6"/>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Temperatures continue to rise;</w:t>
      </w:r>
    </w:p>
    <w:p w14:paraId="6EF576B3">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When necessary, an early warning mechanism can be automatically triggered, and timely measures such as aeration and oxygenation, and water circulation can be taken.</w:t>
      </w:r>
    </w:p>
    <w:p w14:paraId="39D1B8E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At the same time, digital twin technology can be further combined to construct a virtual model of the ecological purification system, so as to realize the dynamic simulation of pollutant migration process under different operating conditions.</w:t>
      </w:r>
    </w:p>
    <w:p w14:paraId="554B90C5">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176084BB">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10" w:name="_Toc26711"/>
      <w:r>
        <w:rPr>
          <w:rFonts w:hint="default" w:ascii="Times New Roman" w:hAnsi="Times New Roman"/>
          <w:color w:val="000000" w:themeColor="text1"/>
          <w:sz w:val="21"/>
          <w:szCs w:val="21"/>
          <w14:textFill>
            <w14:solidFill>
              <w14:schemeClr w14:val="tx1"/>
            </w14:solidFill>
          </w14:textFill>
        </w:rPr>
        <w:t>(5) Engineering application prospects of machine learning models</w:t>
      </w:r>
      <w:bookmarkEnd w:id="110"/>
    </w:p>
    <w:p w14:paraId="6ACE058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random forest and support vector machine model constructed in this paper can effectively identify the nonlinear relationships between complex environmental factors and has good application prospects in water quality evaluation of ecological purification systems.</w:t>
      </w:r>
    </w:p>
    <w:p w14:paraId="51190D5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Machine learning models can be further applied in the future.</w:t>
      </w:r>
    </w:p>
    <w:p w14:paraId="3E63C51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① Automatic identification of water quality levels;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 xml:space="preserve">② Early warning of pollution risks;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 xml:space="preserve">③ Online monitoring data analysis;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 xml:space="preserve">④ Operation and control of ecological purification systems; </w:t>
      </w:r>
      <w:r>
        <w:rPr>
          <w:rFonts w:ascii="Times New Roman" w:hAnsi="Times New Roman"/>
          <w:color w:val="000000" w:themeColor="text1"/>
          <w:sz w:val="21"/>
          <w:szCs w:val="21"/>
          <w14:textFill>
            <w14:solidFill>
              <w14:schemeClr w14:val="tx1"/>
            </w14:solidFill>
          </w14:textFill>
        </w:rPr>
        <w:br w:type="textWrapping"/>
      </w:r>
      <w:r>
        <w:rPr>
          <w:rFonts w:ascii="Times New Roman" w:hAnsi="Times New Roman"/>
          <w:color w:val="000000" w:themeColor="text1"/>
          <w:sz w:val="21"/>
          <w:szCs w:val="21"/>
          <w14:textFill>
            <w14:solidFill>
              <w14:schemeClr w14:val="tx1"/>
            </w14:solidFill>
          </w14:textFill>
        </w:rPr>
        <w:t>⑤ Construction of smart water management platforms.</w:t>
      </w:r>
    </w:p>
    <w:p w14:paraId="526DF436">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Especially with the continuous accumulation of large-scale monitoring data, machine learning algorithms can continuously optimize model accuracy, thereby improving the intelligent management level of the ecological purification system.</w:t>
      </w:r>
    </w:p>
    <w:p w14:paraId="396C1EC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Overall, with the development of artificial intelligence, the Internet of Things, and smart water management technologies, future ecological purification systems will gradually develop towards digitalization, intelligence, and precision.</w:t>
      </w:r>
    </w:p>
    <w:p w14:paraId="4268ECFE">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0AEC0B47">
      <w:pPr>
        <w:pStyle w:val="2"/>
        <w:widowControl/>
        <w:spacing w:line="480" w:lineRule="auto"/>
        <w:rPr>
          <w:rFonts w:hint="default" w:ascii="Times New Roman" w:hAnsi="Times New Roman"/>
          <w:color w:val="000000" w:themeColor="text1"/>
          <w:sz w:val="21"/>
          <w:szCs w:val="21"/>
          <w14:textFill>
            <w14:solidFill>
              <w14:schemeClr w14:val="tx1"/>
            </w14:solidFill>
          </w14:textFill>
        </w:rPr>
      </w:pPr>
      <w:bookmarkStart w:id="111" w:name="_Toc23554"/>
      <w:bookmarkStart w:id="112" w:name="_Toc31503"/>
      <w:r>
        <w:rPr>
          <w:rFonts w:hint="default" w:ascii="Times New Roman" w:hAnsi="Times New Roman"/>
          <w:color w:val="000000" w:themeColor="text1"/>
          <w:sz w:val="21"/>
          <w:szCs w:val="21"/>
          <w14:textFill>
            <w14:solidFill>
              <w14:schemeClr w14:val="tx1"/>
            </w14:solidFill>
          </w14:textFill>
        </w:rPr>
        <w:t>Chapter 7 Conclusion and Outlook</w:t>
      </w:r>
      <w:bookmarkEnd w:id="111"/>
      <w:bookmarkEnd w:id="112"/>
    </w:p>
    <w:p w14:paraId="2541B218">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13" w:name="_Toc23526"/>
      <w:bookmarkStart w:id="114" w:name="_Toc6872"/>
      <w:r>
        <w:rPr>
          <w:rFonts w:hint="default" w:ascii="Times New Roman" w:hAnsi="Times New Roman"/>
          <w:color w:val="000000" w:themeColor="text1"/>
          <w:sz w:val="21"/>
          <w:szCs w:val="21"/>
          <w14:textFill>
            <w14:solidFill>
              <w14:schemeClr w14:val="tx1"/>
            </w14:solidFill>
          </w14:textFill>
        </w:rPr>
        <w:t>7.1 Research Conclusions</w:t>
      </w:r>
      <w:bookmarkEnd w:id="113"/>
      <w:bookmarkEnd w:id="114"/>
    </w:p>
    <w:p w14:paraId="72E7F9B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paper takes the Yanlong Lake ecological purification system as the research object and conducts water quality evaluation research based on machine learning. The main conclusions are as follows:</w:t>
      </w:r>
    </w:p>
    <w:p w14:paraId="03B1FE24">
      <w:pPr>
        <w:numPr>
          <w:ilvl w:val="0"/>
          <w:numId w:val="7"/>
        </w:numPr>
        <w:spacing w:line="480" w:lineRule="auto"/>
        <w:rPr>
          <w:rFonts w:ascii="Times New Roman" w:hAnsi="Times New Roman" w:eastAsia="宋体" w:cs="Times New Roman"/>
          <w:color w:val="000000" w:themeColor="text1"/>
          <w:sz w:val="21"/>
          <w:szCs w:val="21"/>
          <w14:textFill>
            <w14:solidFill>
              <w14:schemeClr w14:val="tx1"/>
            </w14:solidFill>
          </w14:textFill>
        </w:rPr>
      </w:pPr>
      <w:bookmarkStart w:id="115" w:name="_Toc6274"/>
      <w:r>
        <w:rPr>
          <w:rFonts w:ascii="Times New Roman" w:hAnsi="Times New Roman" w:eastAsia="宋体" w:cs="Times New Roman"/>
          <w:color w:val="000000" w:themeColor="text1"/>
          <w:sz w:val="21"/>
          <w:szCs w:val="21"/>
          <w14:textFill>
            <w14:solidFill>
              <w14:schemeClr w14:val="tx1"/>
            </w14:solidFill>
          </w14:textFill>
        </w:rPr>
        <w:t>Significant differences in sedimentary physicochemical characteristics</w:t>
      </w:r>
      <w:bookmarkEnd w:id="115"/>
    </w:p>
    <w:p w14:paraId="7D8DAD81">
      <w:pPr>
        <w:spacing w:line="480" w:lineRule="auto"/>
        <w:ind w:firstLine="420" w:firstLineChars="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 xml:space="preserve">The total nitrogen (up to 1300 mg/kg), total phosphorus, and organic matter content in the sediment of the pretreatment zones (Y1, Y2, Y3) were significantly higher than those in other zones, indicating that this area is a major sink for endogenous pollution. The sediment in the deep purification zones had lower water content (Y6, Y7, Y11), higher dissolved oxygen content (average 5.2 mg/L), which is beneficial for inhibiting pollutant release and reflects its role in stabilizing water quality.  </w:t>
      </w:r>
    </w:p>
    <w:p w14:paraId="1D6F0A5B">
      <w:pPr>
        <w:spacing w:line="480" w:lineRule="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The submerged plant areas (Y5, Y10, Y12) have high levels of available cadmium in the bottom sediment (0.020 mg/kg), and the potential ecological risks of heavy metals need to be considered.</w:t>
      </w:r>
    </w:p>
    <w:p w14:paraId="6E9809F0">
      <w:pPr>
        <w:numPr>
          <w:ilvl w:val="0"/>
          <w:numId w:val="8"/>
        </w:numPr>
        <w:spacing w:line="480" w:lineRule="auto"/>
        <w:rPr>
          <w:rFonts w:ascii="Times New Roman" w:hAnsi="Times New Roman" w:eastAsia="宋体" w:cs="Times New Roman"/>
          <w:color w:val="000000" w:themeColor="text1"/>
          <w:sz w:val="21"/>
          <w:szCs w:val="21"/>
          <w14:textFill>
            <w14:solidFill>
              <w14:schemeClr w14:val="tx1"/>
            </w14:solidFill>
          </w14:textFill>
        </w:rPr>
      </w:pPr>
      <w:bookmarkStart w:id="116" w:name="_Toc27795"/>
      <w:r>
        <w:rPr>
          <w:rFonts w:ascii="Times New Roman" w:hAnsi="Times New Roman" w:eastAsia="宋体" w:cs="Times New Roman"/>
          <w:color w:val="000000" w:themeColor="text1"/>
          <w:sz w:val="21"/>
          <w:szCs w:val="21"/>
          <w14:textFill>
            <w14:solidFill>
              <w14:schemeClr w14:val="tx1"/>
            </w14:solidFill>
          </w14:textFill>
        </w:rPr>
        <w:t>Significant differences in static release characteristics</w:t>
      </w:r>
      <w:bookmarkEnd w:id="116"/>
    </w:p>
    <w:p w14:paraId="30662B2E">
      <w:pPr>
        <w:spacing w:line="480" w:lineRule="auto"/>
        <w:ind w:firstLine="420" w:firstLineChars="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 xml:space="preserve">In the static experiment, the total phosphorus release was highest in the pretreatment zone (0.48 mg/L). Under low concentration conditions (release flux f&lt;0), adsorption was the main factor. As the pollutant concentration increased, the release turned positive, indicating that the sediment flowed from the "source" to the "concentration".   </w:t>
      </w:r>
    </w:p>
    <w:p w14:paraId="48C0FE65">
      <w:pPr>
        <w:spacing w:line="480" w:lineRule="auto"/>
        <w:rPr>
          <w:rFonts w:ascii="Times New Roman" w:hAnsi="Times New Roman" w:eastAsia="宋体" w:cs="Times New Roman"/>
          <w:color w:val="000000" w:themeColor="text1"/>
          <w:sz w:val="21"/>
          <w:szCs w:val="21"/>
          <w14:textFill>
            <w14:solidFill>
              <w14:schemeClr w14:val="tx1"/>
            </w14:solidFill>
          </w14:textFill>
        </w:rPr>
      </w:pPr>
      <w:bookmarkStart w:id="117" w:name="_Toc3113"/>
      <w:r>
        <w:rPr>
          <w:rFonts w:ascii="Times New Roman" w:hAnsi="Times New Roman" w:eastAsia="宋体" w:cs="Times New Roman"/>
          <w:color w:val="000000" w:themeColor="text1"/>
          <w:sz w:val="21"/>
          <w:szCs w:val="21"/>
          <w14:textFill>
            <w14:solidFill>
              <w14:schemeClr w14:val="tx1"/>
            </w14:solidFill>
          </w14:textFill>
        </w:rPr>
        <w:t>(3) Analysis of key influencing factors</w:t>
      </w:r>
      <w:bookmarkEnd w:id="117"/>
      <w:r>
        <w:rPr>
          <w:rFonts w:ascii="Times New Roman" w:hAnsi="Times New Roman" w:eastAsia="宋体" w:cs="Times New Roman"/>
          <w:color w:val="000000" w:themeColor="text1"/>
          <w:sz w:val="21"/>
          <w:szCs w:val="21"/>
          <w14:textFill>
            <w14:solidFill>
              <w14:schemeClr w14:val="tx1"/>
            </w14:solidFill>
          </w14:textFill>
        </w:rPr>
        <w:t xml:space="preserve"> </w:t>
      </w:r>
    </w:p>
    <w:p w14:paraId="01361FF2">
      <w:pPr>
        <w:spacing w:line="480" w:lineRule="auto"/>
        <w:ind w:firstLine="420" w:firstLineChars="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The core factor driving nitrogen and phosphorus release is the change in redox conditions. Under acidic conditions (pH&lt;7), the total nitrogen release rate increases, while in alkaline environments (pH&gt;8), ammonia nitrogen release is inhibited.</w:t>
      </w:r>
    </w:p>
    <w:p w14:paraId="2FA0A1F5">
      <w:pPr>
        <w:spacing w:line="480" w:lineRule="auto"/>
        <w:rPr>
          <w:rFonts w:ascii="Times New Roman" w:hAnsi="Times New Roman" w:eastAsia="宋体" w:cs="Times New Roman"/>
          <w:color w:val="000000" w:themeColor="text1"/>
          <w:sz w:val="21"/>
          <w:szCs w:val="21"/>
          <w14:textFill>
            <w14:solidFill>
              <w14:schemeClr w14:val="tx1"/>
            </w14:solidFill>
          </w14:textFill>
        </w:rPr>
      </w:pPr>
      <w:bookmarkStart w:id="118" w:name="_Toc28601"/>
      <w:r>
        <w:rPr>
          <w:rFonts w:ascii="Times New Roman" w:hAnsi="Times New Roman" w:eastAsia="宋体" w:cs="Times New Roman"/>
          <w:color w:val="000000" w:themeColor="text1"/>
          <w:sz w:val="21"/>
          <w:szCs w:val="21"/>
          <w14:textFill>
            <w14:solidFill>
              <w14:schemeClr w14:val="tx1"/>
            </w14:solidFill>
          </w14:textFill>
        </w:rPr>
        <w:t>(4) Engineering optimization suggestions</w:t>
      </w:r>
      <w:bookmarkEnd w:id="118"/>
      <w:r>
        <w:rPr>
          <w:rFonts w:ascii="Times New Roman" w:hAnsi="Times New Roman" w:eastAsia="宋体" w:cs="Times New Roman"/>
          <w:color w:val="000000" w:themeColor="text1"/>
          <w:sz w:val="21"/>
          <w:szCs w:val="21"/>
          <w14:textFill>
            <w14:solidFill>
              <w14:schemeClr w14:val="tx1"/>
            </w14:solidFill>
          </w14:textFill>
        </w:rPr>
        <w:t xml:space="preserve"> </w:t>
      </w:r>
    </w:p>
    <w:p w14:paraId="25A45EDD">
      <w:pPr>
        <w:spacing w:line="480" w:lineRule="auto"/>
        <w:ind w:firstLine="420" w:firstLineChars="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In the pretreatment zone, the application of bottom sediment dredging and covering technologies should be strengthened to reduce pollutant accumulation; in the deep purification zone, dissolved oxygen levels can be further improved by optimizing the configuration of aquatic plants (such as increasing the proportion of submerged plants) to inhibit endogenous release; for the cadmium pollution risk area (Y12), it is recommended to combine bioremediation technologies (such as microbial immobilization) to reduce heavy metal migration.</w:t>
      </w:r>
    </w:p>
    <w:p w14:paraId="0AB917A8">
      <w:pPr>
        <w:spacing w:line="480" w:lineRule="auto"/>
        <w:ind w:firstLine="420" w:firstLineChars="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This study provides a theoretical basis for identifying key risk points and control directions for different functional units, and for designing and optimizing similar water purification systems, thus serving as an important reference for the treatment of endogenous pollution in the Yanlong Lake project.</w:t>
      </w:r>
    </w:p>
    <w:p w14:paraId="385B47F5">
      <w:pPr>
        <w:pStyle w:val="9"/>
        <w:widowControl/>
        <w:spacing w:line="480" w:lineRule="auto"/>
        <w:rPr>
          <w:rFonts w:ascii="Times New Roman" w:hAnsi="Times New Roman"/>
          <w:color w:val="000000" w:themeColor="text1"/>
          <w:sz w:val="21"/>
          <w:szCs w:val="21"/>
          <w14:textFill>
            <w14:solidFill>
              <w14:schemeClr w14:val="tx1"/>
            </w14:solidFill>
          </w14:textFill>
        </w:rPr>
      </w:pPr>
    </w:p>
    <w:p w14:paraId="1F7DD22F">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19" w:name="_Toc4152"/>
      <w:bookmarkStart w:id="120" w:name="_Toc30140"/>
      <w:r>
        <w:rPr>
          <w:rFonts w:hint="default" w:ascii="Times New Roman" w:hAnsi="Times New Roman"/>
          <w:color w:val="000000" w:themeColor="text1"/>
          <w:sz w:val="21"/>
          <w:szCs w:val="21"/>
          <w14:textFill>
            <w14:solidFill>
              <w14:schemeClr w14:val="tx1"/>
            </w14:solidFill>
          </w14:textFill>
        </w:rPr>
        <w:t>7.2 Insufficient Research</w:t>
      </w:r>
      <w:bookmarkEnd w:id="119"/>
      <w:bookmarkEnd w:id="120"/>
    </w:p>
    <w:p w14:paraId="6F966149">
      <w:pPr>
        <w:pStyle w:val="9"/>
        <w:widowControl/>
        <w:spacing w:line="480" w:lineRule="auto"/>
        <w:rPr>
          <w:rFonts w:ascii="Times New Roman" w:hAnsi="Times New Roman"/>
          <w:color w:val="000000" w:themeColor="text1"/>
          <w:sz w:val="21"/>
          <w:szCs w:val="21"/>
          <w14:textFill>
            <w14:solidFill>
              <w14:schemeClr w14:val="tx1"/>
            </w14:solidFill>
          </w14:textFill>
        </w:rPr>
      </w:pPr>
      <w:bookmarkStart w:id="121" w:name="_Toc1302"/>
      <w:r>
        <w:rPr>
          <w:rFonts w:ascii="Times New Roman" w:hAnsi="Times New Roman" w:eastAsia="宋体"/>
          <w:color w:val="000000" w:themeColor="text1"/>
          <w:sz w:val="21"/>
          <w:szCs w:val="21"/>
          <w14:textFill>
            <w14:solidFill>
              <w14:schemeClr w14:val="tx1"/>
            </w14:solidFill>
          </w14:textFill>
        </w:rPr>
        <w:t>Although machine learning-based water quality assessment research has been conducted on the Yanlong Lake ecological purification system and some research results have been achieved, there are still some shortcomings in the research process due to limitations in research time, experimental conditions, and data acquisition capabilities. Further improvements and enhancements are needed in subsequent work.</w:t>
      </w:r>
    </w:p>
    <w:p w14:paraId="1D94B95D">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2" w:name="_Toc7461"/>
      <w:r>
        <w:rPr>
          <w:rFonts w:hint="default" w:ascii="Times New Roman" w:hAnsi="Times New Roman"/>
          <w:color w:val="000000" w:themeColor="text1"/>
          <w:sz w:val="21"/>
          <w:szCs w:val="21"/>
          <w14:textFill>
            <w14:solidFill>
              <w14:schemeClr w14:val="tx1"/>
            </w14:solidFill>
          </w14:textFill>
        </w:rPr>
        <w:t>(1) The monitoring time span is relatively short.</w:t>
      </w:r>
      <w:bookmarkEnd w:id="122"/>
    </w:p>
    <w:p w14:paraId="0867A84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monitoring period of this study was mainly concentrated in April 2025, and the data time span was relatively limited, not yet fully covering the operational characteristics of the ecological purification system under different seasonal conditions.</w:t>
      </w:r>
    </w:p>
    <w:p w14:paraId="17349BF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Because the seasonal variation characteristics of the water environment system are very obvious.</w:t>
      </w:r>
    </w:p>
    <w:p w14:paraId="259ACEA0">
      <w:pPr>
        <w:widowControl/>
        <w:numPr>
          <w:ilvl w:val="0"/>
          <w:numId w:val="9"/>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High temperatures in summer can easily trigger hypoxia and algal blooms;</w:t>
      </w:r>
    </w:p>
    <w:p w14:paraId="386DD747">
      <w:pPr>
        <w:widowControl/>
        <w:numPr>
          <w:ilvl w:val="0"/>
          <w:numId w:val="9"/>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Microbial activity decreases due to low winter temperatures;</w:t>
      </w:r>
    </w:p>
    <w:p w14:paraId="035D0833">
      <w:pPr>
        <w:widowControl/>
        <w:numPr>
          <w:ilvl w:val="0"/>
          <w:numId w:val="9"/>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The dynamic conditions of water differ significantly between the wet and dry seasons;</w:t>
      </w:r>
    </w:p>
    <w:p w14:paraId="0F67250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Therefore, it is difficult to fully reflect the annual water quality change patterns by relying solely on short-term monitoring data.</w:t>
      </w:r>
    </w:p>
    <w:p w14:paraId="0C32109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Future research should further conduct long-term continuous monitoring to increase the coverage of data time scales, thereby enhancing the stability and universality of the model.</w:t>
      </w:r>
    </w:p>
    <w:p w14:paraId="03B115B7">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1B60D5D4">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3" w:name="_Toc17369"/>
      <w:r>
        <w:rPr>
          <w:rFonts w:hint="default" w:ascii="Times New Roman" w:hAnsi="Times New Roman"/>
          <w:color w:val="000000" w:themeColor="text1"/>
          <w:sz w:val="21"/>
          <w:szCs w:val="21"/>
          <w14:textFill>
            <w14:solidFill>
              <w14:schemeClr w14:val="tx1"/>
            </w14:solidFill>
          </w14:textFill>
        </w:rPr>
        <w:t>(2) The number of data samples is still limited.</w:t>
      </w:r>
      <w:bookmarkEnd w:id="123"/>
    </w:p>
    <w:p w14:paraId="658DE5B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Although this paper establishes a water quality database by combining in-situ monitoring and laboratory simulation experiments, the overall sample size is still relatively small.</w:t>
      </w:r>
    </w:p>
    <w:p w14:paraId="2B6C4F6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performance of machine learning models is usually closely related to the scale of data. When the number of samples is insufficient, the generalization ability of the model may be affected.</w:t>
      </w:r>
    </w:p>
    <w:p w14:paraId="04702727">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is especially true when studying complex ecosystems.</w:t>
      </w:r>
    </w:p>
    <w:p w14:paraId="553A8472">
      <w:pPr>
        <w:widowControl/>
        <w:numPr>
          <w:ilvl w:val="0"/>
          <w:numId w:val="10"/>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Data on extreme pollution events is limited;</w:t>
      </w:r>
    </w:p>
    <w:p w14:paraId="2B740EB7">
      <w:pPr>
        <w:widowControl/>
        <w:numPr>
          <w:ilvl w:val="0"/>
          <w:numId w:val="10"/>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The high-risk status samples are unevenly distributed;</w:t>
      </w:r>
    </w:p>
    <w:p w14:paraId="3F8B8859">
      <w:pPr>
        <w:widowControl/>
        <w:numPr>
          <w:ilvl w:val="0"/>
          <w:numId w:val="10"/>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Some indicators are subject to random fluctuations;</w:t>
      </w:r>
    </w:p>
    <w:p w14:paraId="58ECF16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All of these can affect the accuracy of model predictions.</w:t>
      </w:r>
    </w:p>
    <w:p w14:paraId="46FD2D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Therefore, the sampling scope and monitoring frequency can be further expanded in the future to establish a more complete large-scale environmental database.</w:t>
      </w:r>
    </w:p>
    <w:p w14:paraId="4AFFED90">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7FD570A6">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4" w:name="_Toc17891"/>
      <w:r>
        <w:rPr>
          <w:rFonts w:hint="default" w:ascii="Times New Roman" w:hAnsi="Times New Roman"/>
          <w:color w:val="000000" w:themeColor="text1"/>
          <w:sz w:val="21"/>
          <w:szCs w:val="21"/>
          <w14:textFill>
            <w14:solidFill>
              <w14:schemeClr w14:val="tx1"/>
            </w14:solidFill>
          </w14:textFill>
        </w:rPr>
        <w:t>(3) Insufficient consideration of complex hydrodynamic conditions</w:t>
      </w:r>
      <w:bookmarkEnd w:id="124"/>
    </w:p>
    <w:p w14:paraId="014BAB9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River-type ecological purification systems exhibit significant dynamic hydrodynamic characteristics, but the migration process of pollutants under complex hydrodynamic conditions remains insufficient. Research is primarily conducted based on static experiments and interim monitoring data.</w:t>
      </w:r>
    </w:p>
    <w:p w14:paraId="3FAFBA0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For example:</w:t>
      </w:r>
    </w:p>
    <w:p w14:paraId="7376D930">
      <w:pPr>
        <w:widowControl/>
        <w:numPr>
          <w:ilvl w:val="0"/>
          <w:numId w:val="1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Changes in water flow velocity;</w:t>
      </w:r>
    </w:p>
    <w:p w14:paraId="07A84496">
      <w:pPr>
        <w:widowControl/>
        <w:numPr>
          <w:ilvl w:val="0"/>
          <w:numId w:val="1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The wind and waves are disturbing;</w:t>
      </w:r>
    </w:p>
    <w:p w14:paraId="02F4A353">
      <w:pPr>
        <w:widowControl/>
        <w:numPr>
          <w:ilvl w:val="0"/>
          <w:numId w:val="1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Heavy rain runoff input;</w:t>
      </w:r>
    </w:p>
    <w:p w14:paraId="0FF48CF9">
      <w:pPr>
        <w:widowControl/>
        <w:numPr>
          <w:ilvl w:val="0"/>
          <w:numId w:val="11"/>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Water level fluctuations;</w:t>
      </w:r>
    </w:p>
    <w:p w14:paraId="2C09FB6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All of these factors can potentially affect the resuspension of sediments and the release of nitrogen and phosphorus.</w:t>
      </w:r>
    </w:p>
    <w:p w14:paraId="6C99F62E">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However, due to limitations in experimental conditions, this paper was unable to establish a complete hydrodynamic coupling model, thus there are still some shortcomings in simulating some dynamic pollution processes.</w:t>
      </w:r>
    </w:p>
    <w:p w14:paraId="42AD8FA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Future research could incorporate two-dimensional or three-dimensional hydrodynamic models to conduct a more in-depth analysis of the pollutant migration process in ecological purification systems.</w:t>
      </w:r>
    </w:p>
    <w:p w14:paraId="3CD7C11B">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1C1C5162">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5" w:name="_Toc13958"/>
      <w:r>
        <w:rPr>
          <w:rFonts w:hint="default" w:ascii="Times New Roman" w:hAnsi="Times New Roman"/>
          <w:color w:val="000000" w:themeColor="text1"/>
          <w:sz w:val="21"/>
          <w:szCs w:val="21"/>
          <w14:textFill>
            <w14:solidFill>
              <w14:schemeClr w14:val="tx1"/>
            </w14:solidFill>
          </w14:textFill>
        </w:rPr>
        <w:t>(4) The types of machine learning models are relatively limited.</w:t>
      </w:r>
      <w:bookmarkEnd w:id="125"/>
    </w:p>
    <w:p w14:paraId="0A3A27B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paper mainly uses two machine learning algorithms, random forest and support vector machine, for water quality assessment. Although the models perform well, they still have certain limitations.</w:t>
      </w:r>
    </w:p>
    <w:p w14:paraId="410BA15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For example:</w:t>
      </w:r>
    </w:p>
    <w:p w14:paraId="137B374B">
      <w:pPr>
        <w:widowControl/>
        <w:numPr>
          <w:ilvl w:val="0"/>
          <w:numId w:val="1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Random forests for analyzing time series variation characteristics are limited;</w:t>
      </w:r>
    </w:p>
    <w:p w14:paraId="7FDCF161">
      <w:pPr>
        <w:widowControl/>
        <w:numPr>
          <w:ilvl w:val="0"/>
          <w:numId w:val="1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SVM parameters are highly sensitive;</w:t>
      </w:r>
    </w:p>
    <w:p w14:paraId="633D302D">
      <w:pPr>
        <w:widowControl/>
        <w:numPr>
          <w:ilvl w:val="0"/>
          <w:numId w:val="12"/>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Neither model can fully describe the long-term dynamic changes.</w:t>
      </w:r>
      <w:r>
        <w:rPr>
          <w:rFonts w:ascii="Times New Roman" w:hAnsi="Times New Roman" w:cs="Times New Roman"/>
          <w:color w:val="000000" w:themeColor="text1"/>
          <w:sz w:val="21"/>
          <w:szCs w:val="21"/>
          <w14:textFill>
            <w14:solidFill>
              <w14:schemeClr w14:val="tx1"/>
            </w14:solidFill>
          </w14:textFill>
        </w:rPr>
        <w:t xml:space="preserve"> </w:t>
      </w:r>
    </w:p>
    <w:p w14:paraId="5CE1817D">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With the continuous development of artificial intelligence technology, deep learning models have shown greater potential in the field of environmental prediction.</w:t>
      </w:r>
    </w:p>
    <w:p w14:paraId="6390449A">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Future research could further incorporate:</w:t>
      </w:r>
    </w:p>
    <w:p w14:paraId="61A7DC66">
      <w:pPr>
        <w:widowControl/>
        <w:numPr>
          <w:ilvl w:val="0"/>
          <w:numId w:val="1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LSTM time series model;</w:t>
      </w:r>
    </w:p>
    <w:p w14:paraId="39EF92A7">
      <w:pPr>
        <w:widowControl/>
        <w:numPr>
          <w:ilvl w:val="0"/>
          <w:numId w:val="1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Convolutional Neural Network (CNN);</w:t>
      </w:r>
    </w:p>
    <w:p w14:paraId="3A911D12">
      <w:pPr>
        <w:widowControl/>
        <w:numPr>
          <w:ilvl w:val="0"/>
          <w:numId w:val="1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Graph Neural Networks (GNNs);</w:t>
      </w:r>
    </w:p>
    <w:p w14:paraId="2E036D76">
      <w:pPr>
        <w:widowControl/>
        <w:numPr>
          <w:ilvl w:val="0"/>
          <w:numId w:val="13"/>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Transformer model;</w:t>
      </w:r>
    </w:p>
    <w:p w14:paraId="2D440D4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This enhances predictive and dynamic analysis capabilities in complex ecological environments.</w:t>
      </w:r>
    </w:p>
    <w:p w14:paraId="0938CF24">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038162B6">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6" w:name="_Toc13512"/>
      <w:r>
        <w:rPr>
          <w:rFonts w:hint="default" w:ascii="Times New Roman" w:hAnsi="Times New Roman"/>
          <w:color w:val="000000" w:themeColor="text1"/>
          <w:sz w:val="21"/>
          <w:szCs w:val="21"/>
          <w14:textFill>
            <w14:solidFill>
              <w14:schemeClr w14:val="tx1"/>
            </w14:solidFill>
          </w14:textFill>
        </w:rPr>
        <w:t>(5) The real-time application capability of the model still needs to be improved.</w:t>
      </w:r>
      <w:bookmarkEnd w:id="126"/>
    </w:p>
    <w:p w14:paraId="61038641">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The model in this paper is mainly trained and analyzed based on offline monitoring data, and has not yet achieved true online real-time prediction functionality.</w:t>
      </w:r>
    </w:p>
    <w:p w14:paraId="5ACD548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actual engineering operations, the water quality changes of the ecological purification system are dynamic and sudden, so relying solely on traditional offline analysis is insufficient to reflect pollution risks in a timely manner.</w:t>
      </w:r>
    </w:p>
    <w:p w14:paraId="618C57F0">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Further integration is possible in the future:</w:t>
      </w:r>
    </w:p>
    <w:p w14:paraId="2F4A8A64">
      <w:pPr>
        <w:widowControl/>
        <w:numPr>
          <w:ilvl w:val="0"/>
          <w:numId w:val="1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Internet of Things (IoT) online monitoring;</w:t>
      </w:r>
    </w:p>
    <w:p w14:paraId="79B93956">
      <w:pPr>
        <w:widowControl/>
        <w:numPr>
          <w:ilvl w:val="0"/>
          <w:numId w:val="1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Cloud computing platform;</w:t>
      </w:r>
    </w:p>
    <w:p w14:paraId="2BD2AFF8">
      <w:pPr>
        <w:widowControl/>
        <w:numPr>
          <w:ilvl w:val="0"/>
          <w:numId w:val="14"/>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Intelligent sensor networks;</w:t>
      </w:r>
    </w:p>
    <w:p w14:paraId="719F37DF">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Build a real-time dynamic prediction system to achieve automatic identification and early warning of pollution risks.</w:t>
      </w:r>
    </w:p>
    <w:p w14:paraId="2C5C8D3C">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At the same time, we should also strengthen the automatic updating capability of the model so that the machine learning model can be continuously optimized based on new data, thereby improving its practical engineering application value.</w:t>
      </w:r>
    </w:p>
    <w:p w14:paraId="12E802D2">
      <w:pPr>
        <w:widowControl/>
        <w:spacing w:line="480" w:lineRule="auto"/>
        <w:rPr>
          <w:rFonts w:ascii="Times New Roman" w:hAnsi="Times New Roman" w:cs="Times New Roman"/>
          <w:color w:val="000000" w:themeColor="text1"/>
          <w:sz w:val="21"/>
          <w:szCs w:val="21"/>
          <w14:textFill>
            <w14:solidFill>
              <w14:schemeClr w14:val="tx1"/>
            </w14:solidFill>
          </w14:textFill>
        </w:rPr>
      </w:pPr>
    </w:p>
    <w:p w14:paraId="546CEDF5">
      <w:pPr>
        <w:pStyle w:val="4"/>
        <w:widowControl/>
        <w:spacing w:line="480" w:lineRule="auto"/>
        <w:rPr>
          <w:rFonts w:hint="default" w:ascii="Times New Roman" w:hAnsi="Times New Roman"/>
          <w:color w:val="000000" w:themeColor="text1"/>
          <w:sz w:val="21"/>
          <w:szCs w:val="21"/>
          <w14:textFill>
            <w14:solidFill>
              <w14:schemeClr w14:val="tx1"/>
            </w14:solidFill>
          </w14:textFill>
        </w:rPr>
      </w:pPr>
      <w:bookmarkStart w:id="127" w:name="_Toc27702"/>
      <w:r>
        <w:rPr>
          <w:rFonts w:hint="default" w:ascii="Times New Roman" w:hAnsi="Times New Roman"/>
          <w:color w:val="000000" w:themeColor="text1"/>
          <w:sz w:val="21"/>
          <w:szCs w:val="21"/>
          <w14:textFill>
            <w14:solidFill>
              <w14:schemeClr w14:val="tx1"/>
            </w14:solidFill>
          </w14:textFill>
        </w:rPr>
        <w:t>(6) Research on emerging pollutants is still insufficient.</w:t>
      </w:r>
      <w:bookmarkEnd w:id="127"/>
    </w:p>
    <w:p w14:paraId="2DDC0162">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This study focuses primarily on traditional pollution indicators such as TN, TP, CODMn, and NH₄⁺-N, while paying relatively little attention to issues such as heavy metals, antibiotics, microplastics, and emerging organic pollutants.</w:t>
      </w:r>
    </w:p>
    <w:p w14:paraId="4359099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The potential risks posed by new pollutants to ecosystems and drinking water safety are receiving increasing attention as environmental pollution types become more complex.</w:t>
      </w:r>
    </w:p>
    <w:p w14:paraId="6FC1FC4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Future research should be further strengthened:</w:t>
      </w:r>
    </w:p>
    <w:p w14:paraId="7480E44D">
      <w:pPr>
        <w:widowControl/>
        <w:numPr>
          <w:ilvl w:val="0"/>
          <w:numId w:val="1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Heavy metal migration patterns;</w:t>
      </w:r>
    </w:p>
    <w:p w14:paraId="5913EA5B">
      <w:pPr>
        <w:widowControl/>
        <w:numPr>
          <w:ilvl w:val="0"/>
          <w:numId w:val="1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Microplastic enrichment process;</w:t>
      </w:r>
    </w:p>
    <w:p w14:paraId="2056076B">
      <w:pPr>
        <w:widowControl/>
        <w:numPr>
          <w:ilvl w:val="0"/>
          <w:numId w:val="1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Antibiotic residues;</w:t>
      </w:r>
    </w:p>
    <w:p w14:paraId="7B22F6C9">
      <w:pPr>
        <w:widowControl/>
        <w:numPr>
          <w:ilvl w:val="0"/>
          <w:numId w:val="15"/>
        </w:numPr>
        <w:spacing w:beforeAutospacing="1" w:afterAutospacing="1" w:line="480" w:lineRule="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Biotoxic effects;</w:t>
      </w:r>
    </w:p>
    <w:p w14:paraId="0346AB2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Research will be conducted on aspects such as [specific areas] to conduct a more comprehensive evaluation of the operational effectiveness of the ecological purification system.</w:t>
      </w:r>
    </w:p>
    <w:p w14:paraId="5DE99DD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Overall, while this paper has achieved some results in machine learning-based water quality assessment and pollution mechanism analysis, it still has shortcomings in terms of data scale, dynamic simulation, and real-time application. Future research needs to combine long-term monitoring, multi-source data fusion, and intelligent technologies to further enhance the depth of research and engineering application capabilities.</w:t>
      </w:r>
    </w:p>
    <w:p w14:paraId="2B3D3DB5">
      <w:pPr>
        <w:pStyle w:val="3"/>
        <w:widowControl/>
        <w:spacing w:line="480" w:lineRule="auto"/>
        <w:rPr>
          <w:rFonts w:hint="default" w:ascii="Times New Roman" w:hAnsi="Times New Roman"/>
          <w:color w:val="000000" w:themeColor="text1"/>
          <w:sz w:val="21"/>
          <w:szCs w:val="21"/>
          <w14:textFill>
            <w14:solidFill>
              <w14:schemeClr w14:val="tx1"/>
            </w14:solidFill>
          </w14:textFill>
        </w:rPr>
      </w:pPr>
      <w:bookmarkStart w:id="128" w:name="_Toc1851"/>
      <w:r>
        <w:rPr>
          <w:rFonts w:hint="default" w:ascii="Times New Roman" w:hAnsi="Times New Roman"/>
          <w:color w:val="000000" w:themeColor="text1"/>
          <w:sz w:val="21"/>
          <w:szCs w:val="21"/>
          <w14:textFill>
            <w14:solidFill>
              <w14:schemeClr w14:val="tx1"/>
            </w14:solidFill>
          </w14:textFill>
        </w:rPr>
        <w:t>7.3 Future Research Directions</w:t>
      </w:r>
      <w:bookmarkEnd w:id="121"/>
      <w:bookmarkEnd w:id="128"/>
    </w:p>
    <w:p w14:paraId="724B9D8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With the development of artificial intelligence and smart water technology, future research on ecological purification systems will gradually move towards digitalization, intelligence, and dynamism.</w:t>
      </w:r>
    </w:p>
    <w:p w14:paraId="1E13EE4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Firstly, in terms of model research, deep learning algorithms can be further introduced. </w:t>
      </w:r>
      <w:r>
        <w:rPr>
          <w:rFonts w:ascii="Times New Roman" w:hAnsi="Times New Roman" w:eastAsia="宋体"/>
          <w:color w:val="000000" w:themeColor="text1"/>
          <w:sz w:val="21"/>
          <w:szCs w:val="21"/>
          <w14:textFill>
            <w14:solidFill>
              <w14:schemeClr w14:val="tx1"/>
            </w14:solidFill>
          </w14:textFill>
        </w:rPr>
        <w:t>For example, LSTM (Long Short-Term Memory) networks, suitable for dynamic water quality prediction, can process time series data; convolutional neural networks (CNNs) can identify complex spatial features; and graph neural networks (GNNs) can be used to analyze the relationships between different nodes in a river network system.</w:t>
      </w:r>
    </w:p>
    <w:p w14:paraId="77DDADCB">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 xml:space="preserve">Secondly, in terms of data acquisition, a real-time online monitoring platform can be built by combining IoT technology in the future. This </w:t>
      </w:r>
      <w:r>
        <w:rPr>
          <w:rFonts w:ascii="Times New Roman" w:hAnsi="Times New Roman" w:eastAsia="宋体"/>
          <w:color w:val="000000" w:themeColor="text1"/>
          <w:sz w:val="21"/>
          <w:szCs w:val="21"/>
          <w14:textFill>
            <w14:solidFill>
              <w14:schemeClr w14:val="tx1"/>
            </w14:solidFill>
          </w14:textFill>
        </w:rPr>
        <w:t>platform can automatically collect and remotely transmit water quality indicators through sensor networks, thereby improving monitoring efficiency.</w:t>
      </w:r>
    </w:p>
    <w:p w14:paraId="3C6AA0E4">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Furthermore, digital twin technology can be used to construct a virtual model of the ecological purification system, enabling dynamic simulation of pollutant migration processes under different operating conditions.</w:t>
      </w:r>
    </w:p>
    <w:p w14:paraId="7091BFA5">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terms of engineering applications, future research should strengthen long-term monitoring under different seasons and climatic conditions to further improve the model's generalization ability and practical application value.</w:t>
      </w:r>
    </w:p>
    <w:p w14:paraId="3E000CD8">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At the same time, research on heavy metal pollution, biotoxicity, and emerging pollutants such as microplastics should be strengthened to meet future water environment governance needs.</w:t>
      </w:r>
    </w:p>
    <w:p w14:paraId="2B85BAE9">
      <w:pPr>
        <w:pStyle w:val="9"/>
        <w:widowControl/>
        <w:spacing w:line="480" w:lineRule="auto"/>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In the future, with the deep integration of artificial intelligence and environmental science, machine learning will play an even more important role in the precise regulation of ecological purification systems, pollution risk early warning, and the construction of smart water management.</w:t>
      </w:r>
    </w:p>
    <w:p w14:paraId="31D318E8">
      <w:pPr>
        <w:pStyle w:val="12"/>
        <w:tabs>
          <w:tab w:val="right" w:leader="middleDo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80" w:lineRule="auto"/>
        <w:rPr>
          <w:rFonts w:ascii="Times New Roman" w:hAnsi="Times New Roman" w:cs="Times New Roman"/>
          <w:sz w:val="21"/>
          <w:szCs w:val="21"/>
        </w:rPr>
      </w:pPr>
    </w:p>
    <w:p w14:paraId="59F19A23">
      <w:pPr>
        <w:pStyle w:val="12"/>
        <w:spacing w:line="960" w:lineRule="auto"/>
        <w:ind w:right="174"/>
        <w:rPr>
          <w:rFonts w:ascii="Times New Roman" w:hAnsi="Times New Roman" w:eastAsia="宋体" w:cs="Times New Roman"/>
          <w:sz w:val="18"/>
          <w:szCs w:val="18"/>
          <w:lang w:eastAsia="zh-CN"/>
        </w:rPr>
      </w:pPr>
    </w:p>
    <w:p w14:paraId="36B83716">
      <w:pPr>
        <w:pStyle w:val="12"/>
        <w:spacing w:line="960" w:lineRule="auto"/>
        <w:ind w:right="174"/>
        <w:rPr>
          <w:rFonts w:ascii="Times New Roman" w:hAnsi="Times New Roman" w:eastAsia="宋体" w:cs="Times New Roman"/>
          <w:sz w:val="18"/>
          <w:szCs w:val="18"/>
          <w:lang w:eastAsia="zh-CN"/>
        </w:rPr>
      </w:pPr>
    </w:p>
    <w:p w14:paraId="4A8887B3">
      <w:pPr>
        <w:pStyle w:val="12"/>
        <w:spacing w:line="960" w:lineRule="auto"/>
        <w:ind w:right="174"/>
        <w:rPr>
          <w:rFonts w:ascii="Times New Roman" w:hAnsi="Times New Roman" w:eastAsia="宋体" w:cs="Times New Roman"/>
          <w:sz w:val="18"/>
          <w:szCs w:val="18"/>
          <w:lang w:eastAsia="zh-CN"/>
        </w:rPr>
      </w:pPr>
    </w:p>
    <w:p w14:paraId="5B3DD59B">
      <w:pPr>
        <w:pStyle w:val="12"/>
        <w:spacing w:line="960" w:lineRule="auto"/>
        <w:ind w:right="174"/>
        <w:rPr>
          <w:rFonts w:ascii="Times New Roman" w:hAnsi="Times New Roman" w:eastAsia="宋体" w:cs="Times New Roman"/>
          <w:sz w:val="18"/>
          <w:szCs w:val="18"/>
          <w:lang w:eastAsia="zh-CN"/>
        </w:rPr>
      </w:pPr>
    </w:p>
    <w:p w14:paraId="73554067">
      <w:pPr>
        <w:pStyle w:val="12"/>
        <w:spacing w:line="960" w:lineRule="auto"/>
        <w:ind w:right="174"/>
        <w:rPr>
          <w:rFonts w:ascii="Times New Roman" w:hAnsi="Times New Roman" w:eastAsia="宋体" w:cs="Times New Roman"/>
          <w:sz w:val="18"/>
          <w:szCs w:val="18"/>
          <w:lang w:eastAsia="zh-CN"/>
        </w:rPr>
      </w:pPr>
    </w:p>
    <w:p w14:paraId="73299BC9">
      <w:pPr>
        <w:pStyle w:val="12"/>
        <w:spacing w:line="960" w:lineRule="auto"/>
        <w:ind w:right="174"/>
        <w:rPr>
          <w:rFonts w:ascii="Times New Roman" w:hAnsi="Times New Roman" w:eastAsia="宋体" w:cs="Times New Roman"/>
          <w:sz w:val="18"/>
          <w:szCs w:val="18"/>
          <w:lang w:eastAsia="zh-CN"/>
        </w:rPr>
      </w:pPr>
    </w:p>
    <w:p w14:paraId="34788F35">
      <w:pPr>
        <w:pStyle w:val="12"/>
        <w:spacing w:line="960" w:lineRule="auto"/>
        <w:ind w:right="174"/>
        <w:rPr>
          <w:rFonts w:ascii="Times New Roman" w:hAnsi="Times New Roman" w:eastAsia="宋体" w:cs="Times New Roman"/>
          <w:sz w:val="18"/>
          <w:szCs w:val="18"/>
          <w:lang w:eastAsia="zh-CN"/>
        </w:rPr>
      </w:pPr>
    </w:p>
    <w:p w14:paraId="68A94344">
      <w:pPr>
        <w:pStyle w:val="12"/>
        <w:spacing w:line="960" w:lineRule="auto"/>
        <w:ind w:right="174"/>
        <w:rPr>
          <w:rFonts w:ascii="Times New Roman" w:hAnsi="Times New Roman" w:eastAsia="宋体" w:cs="Times New Roman"/>
          <w:sz w:val="18"/>
          <w:szCs w:val="18"/>
          <w:lang w:eastAsia="zh-CN"/>
        </w:rPr>
      </w:pPr>
    </w:p>
    <w:p w14:paraId="7DAF6050">
      <w:pPr>
        <w:pStyle w:val="12"/>
        <w:spacing w:line="960" w:lineRule="auto"/>
        <w:ind w:right="174"/>
        <w:rPr>
          <w:rFonts w:ascii="Times New Roman" w:hAnsi="Times New Roman" w:eastAsia="宋体" w:cs="Times New Roman"/>
          <w:sz w:val="18"/>
          <w:szCs w:val="18"/>
          <w:lang w:eastAsia="zh-CN"/>
        </w:rPr>
      </w:pPr>
    </w:p>
    <w:p w14:paraId="7A6CFE26">
      <w:pPr>
        <w:pStyle w:val="12"/>
        <w:spacing w:line="960" w:lineRule="auto"/>
        <w:ind w:right="174"/>
        <w:rPr>
          <w:rFonts w:ascii="Times New Roman" w:hAnsi="Times New Roman" w:eastAsia="宋体" w:cs="Times New Roman"/>
          <w:sz w:val="18"/>
          <w:szCs w:val="18"/>
          <w:lang w:eastAsia="zh-CN"/>
        </w:rPr>
      </w:pPr>
    </w:p>
    <w:p w14:paraId="3FF68362">
      <w:pPr>
        <w:pStyle w:val="12"/>
        <w:spacing w:line="960" w:lineRule="auto"/>
        <w:ind w:right="174"/>
        <w:rPr>
          <w:rFonts w:ascii="Times New Roman" w:hAnsi="Times New Roman" w:eastAsia="宋体" w:cs="Times New Roman"/>
          <w:sz w:val="18"/>
          <w:szCs w:val="18"/>
          <w:lang w:eastAsia="zh-CN"/>
        </w:rPr>
      </w:pPr>
    </w:p>
    <w:p w14:paraId="532086B5">
      <w:pPr>
        <w:pStyle w:val="12"/>
        <w:spacing w:line="960" w:lineRule="auto"/>
        <w:ind w:right="174"/>
        <w:rPr>
          <w:rFonts w:ascii="Times New Roman" w:hAnsi="Times New Roman" w:eastAsia="宋体" w:cs="Times New Roman"/>
          <w:sz w:val="18"/>
          <w:szCs w:val="18"/>
          <w:lang w:eastAsia="zh-CN"/>
        </w:rPr>
      </w:pPr>
    </w:p>
    <w:p w14:paraId="2BC92B25">
      <w:pPr>
        <w:pStyle w:val="12"/>
        <w:spacing w:line="960" w:lineRule="auto"/>
        <w:ind w:right="174"/>
        <w:rPr>
          <w:rFonts w:ascii="Times New Roman" w:hAnsi="Times New Roman" w:eastAsia="宋体" w:cs="Times New Roman"/>
          <w:sz w:val="18"/>
          <w:szCs w:val="18"/>
          <w:lang w:eastAsia="zh-CN"/>
        </w:rPr>
      </w:pPr>
    </w:p>
    <w:p w14:paraId="53C976CB">
      <w:pPr>
        <w:pStyle w:val="12"/>
        <w:wordWrap/>
        <w:spacing w:line="960" w:lineRule="auto"/>
        <w:jc w:val="center"/>
        <w:rPr>
          <w:rFonts w:ascii="Times New Roman" w:hAnsi="Times New Roman" w:cs="Times New Roman"/>
          <w:b/>
          <w:bCs/>
          <w:sz w:val="30"/>
          <w:szCs w:val="30"/>
        </w:rPr>
      </w:pPr>
      <w:r>
        <w:rPr>
          <w:rFonts w:ascii="Times New Roman" w:hAnsi="Times New Roman" w:eastAsia="바탕체" w:cs="Times New Roman"/>
          <w:b/>
          <w:bCs/>
          <w:sz w:val="30"/>
          <w:szCs w:val="30"/>
        </w:rPr>
        <w:t>Reference</w:t>
      </w:r>
    </w:p>
    <w:p w14:paraId="4BE1F157">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Liang, Jiajia. Research on Risk Assessment of Intra-source Pollution in Daye Reservoir [ D ] . Shandong University, 2023.</w:t>
      </w:r>
    </w:p>
    <w:p w14:paraId="7E27997A">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Tu L Y , Klaus A J , Tobias S , et al . Phosphorus fractions in sediments and their relevance for historical lake eutrophication in the Ponte Tresa basin (Lake Lugano,Switzerland)since1959[J].Science of the Total Environment,2019,685:806-817.</w:t>
      </w:r>
    </w:p>
    <w:p w14:paraId="085B6C1E">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Xie D, Li</w:t>
      </w:r>
    </w:p>
    <w:p w14:paraId="3345027C">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Greenstein D J , Bay S M . Selection of methods for assessing sediment toxicity in California bays and estuaries .[J]. Integrated Environmental Assessment and Management ,2012,8.</w:t>
      </w:r>
    </w:p>
    <w:p w14:paraId="7862F149">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Xu Shiguo, Wang Tianxiang. A review of research on the accumulation process and impact of endogenous pollution in reservoirs [J]. Advances in Water Resources and Hydropower Science and Technology, 2015, 35(05):162-167.</w:t>
      </w:r>
    </w:p>
    <w:p w14:paraId="12DF4752">
      <w:pPr>
        <w:numPr>
          <w:ilvl w:val="0"/>
          <w:numId w:val="16"/>
        </w:numPr>
        <w:spacing w:line="480" w:lineRule="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Zhou Zhiwei, Gong Dandan, Song Chunyu, et al. Pollution load and control strategies of typical urban lakes in the middle reaches of the Yangtze River: A case study of Wanjia Lake in Wuhan City [J/OL]. Water Purification Technology, 2025-05-23. http://kns.cnki.net/kcms/detail/31.1513.TQ.20241101.0913.002.html.</w:t>
      </w:r>
    </w:p>
    <w:p w14:paraId="1900BE6A">
      <w:pPr>
        <w:numPr>
          <w:ilvl w:val="0"/>
          <w:numId w:val="16"/>
        </w:numPr>
        <w:spacing w:line="480" w:lineRule="auto"/>
        <w:rPr>
          <w:rFonts w:ascii="Times New Roman" w:hAnsi="Times New Roman" w:eastAsia="宋体" w:cs="Times New Roman"/>
          <w:color w:val="000000" w:themeColor="text1"/>
          <w:sz w:val="21"/>
          <w:szCs w:val="21"/>
          <w:shd w:val="clear" w:color="auto" w:fill="FFFFFF"/>
          <w14:textFill>
            <w14:solidFill>
              <w14:schemeClr w14:val="tx1"/>
            </w14:solidFill>
          </w14:textFill>
        </w:rPr>
      </w:pPr>
      <w:r>
        <w:rPr>
          <w:rFonts w:ascii="Times New Roman" w:hAnsi="Times New Roman" w:eastAsia="Calibri" w:cs="Times New Roman"/>
          <w:color w:val="000000" w:themeColor="text1"/>
          <w:sz w:val="21"/>
          <w:szCs w:val="21"/>
          <w14:textFill>
            <w14:solidFill>
              <w14:schemeClr w14:val="tx1"/>
            </w14:solidFill>
          </w14:textFill>
        </w:rPr>
        <w:t>Zhang Zhenran. Research on Pollution Characteristics and Disturbance Release of Baiyangdian Sediments. Hebei University, 2013.8 Wang Hongwei, Wang Shaoming, Zhang Min et al. Existence Characteristics and Escape Flux of Sediments in Panjiakou Reservoir. China Environmental Science, 2021, 41(09). 4284-4293. [9] Liu YP, Zhou ZZ, Gong WJ, et al. Distribution, risk assessment of heavy metals in sediments, and their potential risk on water supply safety of a drinking water reservoir, middle China [Environmental Science and Pollution Research International, 2023].</w:t>
      </w:r>
    </w:p>
    <w:p w14:paraId="7EB40C3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굴림">
    <w:altName w:val="Malgun Gothic"/>
    <w:panose1 w:val="020B0600000101010101"/>
    <w:charset w:val="81"/>
    <w:family w:val="modern"/>
    <w:pitch w:val="default"/>
    <w:sig w:usb0="00000000" w:usb1="00000000" w:usb2="00000030" w:usb3="00000000" w:csb0="4008009F" w:csb1="DFD70000"/>
  </w:font>
  <w:font w:name="바탕체">
    <w:altName w:val="Malgun Gothic"/>
    <w:panose1 w:val="02030609000101010101"/>
    <w:charset w:val="81"/>
    <w:family w:val="roman"/>
    <w:pitch w:val="default"/>
    <w:sig w:usb0="00000000" w:usb1="00000000" w:usb2="00000030" w:usb3="00000000" w:csb0="4008009F" w:csb1="DFD70000"/>
  </w:font>
  <w:font w:name="Cambria Math">
    <w:panose1 w:val="02040503050406030204"/>
    <w:charset w:val="00"/>
    <w:family w:val="roman"/>
    <w:pitch w:val="default"/>
    <w:sig w:usb0="E00006FF" w:usb1="420024FF" w:usb2="02000000" w:usb3="00000000" w:csb0="2000019F" w:csb1="00000000"/>
  </w:font>
  <w:font w:name="한양신명조">
    <w:altName w:val="Malgun Gothic"/>
    <w:panose1 w:val="00000000000000000000"/>
    <w:charset w:val="81"/>
    <w:family w:val="roman"/>
    <w:pitch w:val="default"/>
    <w:sig w:usb0="00000000" w:usb1="00000000" w:usb2="00000000" w:usb3="00000000" w:csb0="00000000" w:csb1="00000000"/>
  </w:font>
  <w:font w:name="Malgun Gothic">
    <w:panose1 w:val="020B0503020000020004"/>
    <w:charset w:val="81"/>
    <w:family w:val="modern"/>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CEA7D">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D8B91"/>
    <w:multiLevelType w:val="multilevel"/>
    <w:tmpl w:val="852D8B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09FCC3"/>
    <w:multiLevelType w:val="multilevel"/>
    <w:tmpl w:val="8B09F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A3412E"/>
    <w:multiLevelType w:val="multilevel"/>
    <w:tmpl w:val="8BA34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E8EA1D"/>
    <w:multiLevelType w:val="singleLevel"/>
    <w:tmpl w:val="95E8EA1D"/>
    <w:lvl w:ilvl="0" w:tentative="0">
      <w:start w:val="1"/>
      <w:numFmt w:val="decimal"/>
      <w:suff w:val="nothing"/>
      <w:lvlText w:val="（%1）"/>
      <w:lvlJc w:val="left"/>
    </w:lvl>
  </w:abstractNum>
  <w:abstractNum w:abstractNumId="4">
    <w:nsid w:val="D254255A"/>
    <w:multiLevelType w:val="multilevel"/>
    <w:tmpl w:val="D25425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633418D"/>
    <w:multiLevelType w:val="singleLevel"/>
    <w:tmpl w:val="D633418D"/>
    <w:lvl w:ilvl="0" w:tentative="0">
      <w:start w:val="2"/>
      <w:numFmt w:val="decimal"/>
      <w:suff w:val="nothing"/>
      <w:lvlText w:val="（%1）"/>
      <w:lvlJc w:val="left"/>
    </w:lvl>
  </w:abstractNum>
  <w:abstractNum w:abstractNumId="6">
    <w:nsid w:val="DF07102E"/>
    <w:multiLevelType w:val="multilevel"/>
    <w:tmpl w:val="DF0710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8521D5"/>
    <w:multiLevelType w:val="multilevel"/>
    <w:tmpl w:val="DF852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F85631"/>
    <w:multiLevelType w:val="multilevel"/>
    <w:tmpl w:val="F4F85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A3685E4"/>
    <w:multiLevelType w:val="multilevel"/>
    <w:tmpl w:val="0A368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589E55C"/>
    <w:multiLevelType w:val="singleLevel"/>
    <w:tmpl w:val="1589E55C"/>
    <w:lvl w:ilvl="0" w:tentative="0">
      <w:start w:val="1"/>
      <w:numFmt w:val="decimal"/>
      <w:lvlText w:val="[%1]"/>
      <w:lvlJc w:val="left"/>
      <w:pPr>
        <w:tabs>
          <w:tab w:val="left" w:pos="312"/>
        </w:tabs>
      </w:pPr>
    </w:lvl>
  </w:abstractNum>
  <w:abstractNum w:abstractNumId="11">
    <w:nsid w:val="16F34579"/>
    <w:multiLevelType w:val="multilevel"/>
    <w:tmpl w:val="16F345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4783420"/>
    <w:multiLevelType w:val="multilevel"/>
    <w:tmpl w:val="24783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D47588B"/>
    <w:multiLevelType w:val="multilevel"/>
    <w:tmpl w:val="5D4758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5C8BAC5"/>
    <w:multiLevelType w:val="multilevel"/>
    <w:tmpl w:val="65C8B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D6641C"/>
    <w:multiLevelType w:val="multilevel"/>
    <w:tmpl w:val="7FD66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12"/>
  </w:num>
  <w:num w:numId="4">
    <w:abstractNumId w:val="0"/>
  </w:num>
  <w:num w:numId="5">
    <w:abstractNumId w:val="6"/>
  </w:num>
  <w:num w:numId="6">
    <w:abstractNumId w:val="11"/>
  </w:num>
  <w:num w:numId="7">
    <w:abstractNumId w:val="3"/>
  </w:num>
  <w:num w:numId="8">
    <w:abstractNumId w:val="5"/>
  </w:num>
  <w:num w:numId="9">
    <w:abstractNumId w:val="13"/>
  </w:num>
  <w:num w:numId="10">
    <w:abstractNumId w:val="14"/>
  </w:num>
  <w:num w:numId="11">
    <w:abstractNumId w:val="7"/>
  </w:num>
  <w:num w:numId="12">
    <w:abstractNumId w:val="15"/>
  </w:num>
  <w:num w:numId="13">
    <w:abstractNumId w:val="8"/>
  </w:num>
  <w:num w:numId="14">
    <w:abstractNumId w:val="9"/>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7A2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HAnsi" w:cstheme="minorEastAsia"/>
      <w:kern w:val="2"/>
      <w:szCs w:val="22"/>
      <w:lang w:val="en-US" w:eastAsia="ko-KR"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unhideWhenUsed/>
    <w:qFormat/>
    <w:uiPriority w:val="99"/>
    <w:pPr>
      <w:tabs>
        <w:tab w:val="center" w:pos="4513"/>
        <w:tab w:val="right" w:pos="9026"/>
      </w:tabs>
      <w:snapToGrid w:val="0"/>
    </w:pPr>
  </w:style>
  <w:style w:type="paragraph" w:styleId="7">
    <w:name w:val="toc 1"/>
    <w:basedOn w:val="1"/>
    <w:next w:val="1"/>
    <w:qFormat/>
    <w:uiPriority w:val="39"/>
    <w:pPr>
      <w:widowControl/>
      <w:tabs>
        <w:tab w:val="right" w:leader="dot" w:pos="9350"/>
      </w:tabs>
      <w:wordWrap/>
      <w:autoSpaceDE/>
      <w:autoSpaceDN/>
      <w:spacing w:after="0" w:line="360" w:lineRule="auto"/>
      <w:ind w:left="432" w:hanging="432"/>
      <w:jc w:val="left"/>
    </w:pPr>
    <w:rPr>
      <w:rFonts w:ascii="Times New Roman" w:hAnsi="Times New Roman" w:eastAsia="Times New Roman" w:cs="Times New Roman"/>
      <w:kern w:val="0"/>
      <w:sz w:val="24"/>
      <w:szCs w:val="24"/>
      <w:lang w:eastAsia="en-US"/>
    </w:rPr>
  </w:style>
  <w:style w:type="paragraph" w:styleId="8">
    <w:name w:val="toc 2"/>
    <w:basedOn w:val="1"/>
    <w:next w:val="1"/>
    <w:qFormat/>
    <w:uiPriority w:val="0"/>
    <w:pPr>
      <w:ind w:left="420" w:leftChars="200"/>
    </w:pPr>
  </w:style>
  <w:style w:type="paragraph" w:styleId="9">
    <w:name w:val="Normal (Web)"/>
    <w:basedOn w:val="1"/>
    <w:qFormat/>
    <w:uiPriority w:val="0"/>
    <w:pPr>
      <w:spacing w:beforeAutospacing="1" w:afterAutospacing="1"/>
      <w:jc w:val="left"/>
    </w:pPr>
    <w:rPr>
      <w:rFonts w:cs="Times New Roman"/>
      <w:kern w:val="0"/>
      <w:sz w:val="24"/>
    </w:rPr>
  </w:style>
  <w:style w:type="paragraph" w:customStyle="1" w:styleId="12">
    <w:name w:val="바탕글"/>
    <w:basedOn w:val="1"/>
    <w:qFormat/>
    <w:uiPriority w:val="0"/>
    <w:pPr>
      <w:spacing w:after="0" w:line="384" w:lineRule="auto"/>
      <w:textAlignment w:val="baseline"/>
    </w:pPr>
    <w:rPr>
      <w:rFonts w:ascii="굴림" w:hAnsi="굴림" w:eastAsia="굴림" w:cs="굴림"/>
      <w:color w:val="000000"/>
      <w:kern w:val="0"/>
      <w:szCs w:val="20"/>
    </w:rPr>
  </w:style>
  <w:style w:type="paragraph" w:customStyle="1" w:styleId="13">
    <w:name w:val="reference"/>
    <w:basedOn w:val="1"/>
    <w:qFormat/>
    <w:uiPriority w:val="0"/>
    <w:pPr>
      <w:wordWrap/>
      <w:spacing w:after="0" w:line="960" w:lineRule="auto"/>
      <w:jc w:val="center"/>
      <w:textAlignment w:val="baseline"/>
    </w:pPr>
    <w:rPr>
      <w:rFonts w:ascii="Times New Roman" w:hAnsi="Times New Roman" w:eastAsia="바탕체" w:cs="Times New Roman"/>
      <w:b/>
      <w:bCs/>
      <w:color w:val="000000"/>
      <w:kern w:val="0"/>
      <w:sz w:val="20"/>
      <w:szCs w:val="30"/>
    </w:rPr>
  </w:style>
  <w:style w:type="paragraph" w:customStyle="1" w:styleId="14">
    <w:name w:val="Figure 3.2 Layout map of Yanlong Lake area"/>
    <w:basedOn w:val="1"/>
    <w:next w:val="1"/>
    <w:uiPriority w:val="0"/>
    <w:pPr>
      <w:widowControl/>
      <w:spacing w:beforeAutospacing="1" w:afterAutospacing="1" w:line="480" w:lineRule="auto"/>
      <w:jc w:val="center"/>
      <w:outlineLvl w:val="1"/>
    </w:pPr>
    <w:rPr>
      <w:rFonts w:ascii="Times New Roman" w:hAnsi="Times New Roman" w:eastAsia="宋体" w:cs="Times New Roman"/>
      <w:b/>
      <w:bCs/>
      <w:color w:val="000000" w:themeColor="text1"/>
      <w:kern w:val="0"/>
      <w:szCs w:val="20"/>
      <w14:textFill>
        <w14:solidFill>
          <w14:schemeClr w14:val="tx1"/>
        </w14:solidFill>
      </w14:textFill>
    </w:rPr>
  </w:style>
  <w:style w:type="paragraph" w:customStyle="1" w:styleId="15">
    <w:name w:val="tu"/>
    <w:basedOn w:val="1"/>
    <w:qFormat/>
    <w:uiPriority w:val="0"/>
    <w:rPr>
      <w:rFonts w:ascii="Times New Roman" w:hAnsi="Times New Roman" w:eastAsia="바탕체" w:cs="Times New Roman"/>
      <w:b/>
      <w:bCs/>
      <w:kern w:val="0"/>
      <w:sz w:val="30"/>
      <w:szCs w:val="3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2026-06-07T04:31:49Z</dcterms:created>
  <dc:creator>23611</dc:creator>
  <cp:lastModifiedBy>酒空人散</cp:lastModifiedBy>
  <dcterms:modified xsi:type="dcterms:W3CDTF">2026-06-07T04:32:41Z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eyJoZGlkIjoiMTEyMmZiYTllNDRlNzc0Mzg5MzQ3MjQwMDY0NjI2ZDMiLCJ1c2VySWQiOiI1NTgzODkxMjUifQ==</vt:lpwstr>
  </property>
  <property fmtid="{D5CDD505-2E9C-101B-9397-08002B2CF9AE}" pid="4" name="ICV">
    <vt:lpwstr>49BF388EDDE741A2A08015B496BA8F9A_12</vt:lpwstr>
  </property>
</Properties>
</file>