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Calibri" w:cs="Calibri" w:eastAsia="Calibri" w:hAnsi="Calibri"/>
          <w:b w:val="false"/>
          <w:bCs w:val="false"/>
          <w:color w:val="c8872f"/>
          <w:spacing w:val="80"/>
          <w:sz w:val="58"/>
          <w:szCs w:val="58"/>
        </w:rPr>
        <w:t xml:space="preserve">AL-MUNYA</w:t>
      </w:r>
    </w:p>
    <w:p>
      <w:pPr>
        <w:spacing w:after="420"/>
        <w:jc w:val="center"/>
      </w:pPr>
      <w:r>
        <w:rPr>
          <w:rFonts w:ascii="Arial" w:cs="Arial" w:eastAsia="Arial" w:hAnsi="Arial"/>
          <w:color w:val="c8872f"/>
          <w:sz w:val="30"/>
          <w:szCs w:val="30"/>
        </w:rPr>
        <w:t xml:space="preserve">المنية</w:t>
      </w:r>
    </w:p>
    <w:p>
      <w:pPr>
        <w:spacing w:after="140" w:line="300"/>
        <w:jc w:val="center"/>
      </w:pPr>
      <w:r>
        <w:rPr>
          <w:rFonts w:ascii="Calibri" w:cs="Calibri" w:eastAsia="Calibri" w:hAnsi="Calibri"/>
          <w:color w:val="1f1f1f"/>
          <w:sz w:val="26"/>
          <w:szCs w:val="26"/>
        </w:rPr>
        <w:t xml:space="preserve">Dossier per l'investitore e per il mecenate</w:t>
      </w:r>
    </w:p>
    <w:p>
      <w:pPr>
        <w:spacing w:after="140" w:line="300"/>
        <w:jc w:val="center"/>
      </w:pPr>
      <w:r>
        <w:rPr>
          <w:rFonts w:ascii="Calibri" w:cs="Calibri" w:eastAsia="Calibri" w:hAnsi="Calibri"/>
          <w:color w:val="4a4a4a"/>
          <w:sz w:val="21"/>
          <w:szCs w:val="21"/>
        </w:rPr>
        <w:t xml:space="preserve">Una casa a numero chiuso accanto al Riad al-Uns — Fès</w:t>
      </w:r>
    </w:p>
    <w:p>
      <w:pPr>
        <w:spacing w:after="600"/>
      </w:pPr>
    </w:p>
    <w:p>
      <w:pPr>
        <w:spacing w:after="140" w:line="300"/>
        <w:jc w:val="center"/>
      </w:pPr>
      <w:r>
        <w:rPr>
          <w:rFonts w:ascii="Calibri" w:cs="Calibri" w:eastAsia="Calibri" w:hAnsi="Calibri"/>
          <w:i/>
          <w:iCs/>
          <w:color w:val="4a4a4a"/>
          <w:sz w:val="18"/>
          <w:szCs w:val="18"/>
        </w:rPr>
        <w:t xml:space="preserve">Documento riservato · agosto 2026 · versione di lavoro</w:t>
      </w:r>
    </w:p>
    <w:p>
      <w:r>
        <w:br w:type="page"/>
      </w:r>
    </w:p>
    <w:p>
      <w:pPr>
        <w:pStyle w:val="Heading1"/>
        <w:spacing w:after="180" w:before="360"/>
      </w:pPr>
      <w:r>
        <w:rPr>
          <w:rFonts w:ascii="Calibri" w:cs="Calibri" w:eastAsia="Calibri" w:hAnsi="Calibri"/>
          <w:b/>
          <w:bCs/>
          <w:color w:val="c8872f"/>
          <w:sz w:val="30"/>
          <w:szCs w:val="30"/>
        </w:rPr>
        <w:t xml:space="preserve">1. Sintesi</w:t>
      </w:r>
    </w:p>
    <w:p>
      <w:pPr>
        <w:spacing w:after="140" w:line="300"/>
      </w:pPr>
      <w:r>
        <w:rPr>
          <w:rFonts w:ascii="Calibri" w:cs="Calibri" w:eastAsia="Calibri" w:hAnsi="Calibri"/>
          <w:b/>
          <w:bCs/>
          <w:color w:val="1f1f1f"/>
          <w:sz w:val="21"/>
          <w:szCs w:val="21"/>
        </w:rPr>
        <w:t xml:space="preserve">L'operazione. </w:t>
      </w:r>
      <w:r>
        <w:rPr>
          <w:rFonts w:ascii="Calibri" w:cs="Calibri" w:eastAsia="Calibri" w:hAnsi="Calibri"/>
          <w:color w:val="4a4a4a"/>
          <w:sz w:val="21"/>
          <w:szCs w:val="21"/>
        </w:rPr>
        <w:t xml:space="preserve">Restaurare una dimora di circa 900 m² nella medina di Fès, a pochi minuti a piedi dal Riad al-Uns, e aprirla come casa privata a numero chiuso: sei suite, mai più di otto ospiti alla volta, ammissione per sola cooptazione, solo uomini. Non un albergo — un club che possiede una casa.</w:t>
      </w:r>
    </w:p>
    <w:p>
      <w:pPr>
        <w:spacing w:after="140" w:line="300"/>
      </w:pPr>
      <w:r>
        <w:rPr>
          <w:rFonts w:ascii="Calibri" w:cs="Calibri" w:eastAsia="Calibri" w:hAnsi="Calibri"/>
          <w:b/>
          <w:bCs/>
          <w:color w:val="1f1f1f"/>
          <w:sz w:val="21"/>
          <w:szCs w:val="21"/>
        </w:rPr>
        <w:t xml:space="preserve">L'attivo. </w:t>
      </w:r>
      <w:r>
        <w:rPr>
          <w:rFonts w:ascii="Calibri" w:cs="Calibri" w:eastAsia="Calibri" w:hAnsi="Calibri"/>
          <w:color w:val="4a4a4a"/>
          <w:sz w:val="21"/>
          <w:szCs w:val="21"/>
        </w:rPr>
        <w:t xml:space="preserve">Accanto c'è una comunità di giovani uomini che imparano lo zellīj, la calligrafia, la forgia, il cavallo e l'arco, e che esisterebbe identica se la Munya non ci fosse. Ogni operatore del lusso al mondo vende « incontri autentici con gli artigiani », costruiti e percepiti come tali. Qui non lo sono. Questa asimmetria non è replicabile con capitale: si può costruire un palazzo più bello in diciotto mesi, non la casa accanto.</w:t>
      </w:r>
    </w:p>
    <w:p>
      <w:pPr>
        <w:spacing w:after="140" w:line="300"/>
      </w:pPr>
      <w:r>
        <w:rPr>
          <w:rFonts w:ascii="Calibri" w:cs="Calibri" w:eastAsia="Calibri" w:hAnsi="Calibri"/>
          <w:b/>
          <w:bCs/>
          <w:color w:val="1f1f1f"/>
          <w:sz w:val="21"/>
          <w:szCs w:val="21"/>
        </w:rPr>
        <w:t xml:space="preserve">Il fabbisogno. </w:t>
      </w:r>
      <w:r>
        <w:rPr>
          <w:rFonts w:ascii="Calibri" w:cs="Calibri" w:eastAsia="Calibri" w:hAnsi="Calibri"/>
          <w:color w:val="4a4a4a"/>
          <w:sz w:val="21"/>
          <w:szCs w:val="21"/>
        </w:rPr>
        <w:t xml:space="preserve">4,84 M€ complessivi, di cui 1,00 M€ raccolti presso quaranta soci fondatori prima dell'acquisto, 2,23 M€ di capitale d'investimento e 1,61 M€ di debito.</w:t>
      </w:r>
    </w:p>
    <w:p>
      <w:pPr>
        <w:spacing w:after="140" w:line="300"/>
      </w:pPr>
      <w:r>
        <w:rPr>
          <w:rFonts w:ascii="Calibri" w:cs="Calibri" w:eastAsia="Calibri" w:hAnsi="Calibri"/>
          <w:b/>
          <w:bCs/>
          <w:color w:val="1f1f1f"/>
          <w:sz w:val="21"/>
          <w:szCs w:val="21"/>
        </w:rPr>
        <w:t xml:space="preserve">Il ritorno. </w:t>
      </w:r>
      <w:r>
        <w:rPr>
          <w:rFonts w:ascii="Calibri" w:cs="Calibri" w:eastAsia="Calibri" w:hAnsi="Calibri"/>
          <w:color w:val="4a4a4a"/>
          <w:sz w:val="21"/>
          <w:szCs w:val="21"/>
        </w:rPr>
        <w:t xml:space="preserve">Nello scenario di riferimento, margine operativo lordo di 1,39 M€ al quarto anno su 2,43 M€ di ricavi (47%), con ritorno del capitale complessivo intorno al settimo-ottavo anno, oltre alla rivalutazione di un immobile patrimoniale restaurato. Nello scenario prudente il margine scende a 0,26 M€ e l'operazione non remunera il capitale: la forbice fra i due scenari è la misura onesta del rischio.</w:t>
      </w:r>
    </w:p>
    <w:p>
      <w:pPr>
        <w:spacing w:after="140" w:line="300"/>
      </w:pPr>
      <w:r>
        <w:rPr>
          <w:rFonts w:ascii="Calibri" w:cs="Calibri" w:eastAsia="Calibri" w:hAnsi="Calibri"/>
          <w:b/>
          <w:bCs/>
          <w:color w:val="1f1f1f"/>
          <w:sz w:val="21"/>
          <w:szCs w:val="21"/>
        </w:rPr>
        <w:t xml:space="preserve">La condizione. </w:t>
      </w:r>
      <w:r>
        <w:rPr>
          <w:rFonts w:ascii="Calibri" w:cs="Calibri" w:eastAsia="Calibri" w:hAnsi="Calibri"/>
          <w:color w:val="4a4a4a"/>
          <w:sz w:val="21"/>
          <w:szCs w:val="21"/>
        </w:rPr>
        <w:t xml:space="preserve">Non si costruisce e poi si vende: si vende, e poi si costruisce. La tranche fondatrice va raccolta prima del rogito. Se in dodici mesi non si arriva a quaranta uomini, il progetto non si fa e nessun capitale è stato impegnato.</w:t>
      </w:r>
    </w:p>
    <w:p>
      <w:pPr>
        <w:pBdr>
          <w:bottom w:val="single" w:color="DDDDDD" w:sz="6"/>
        </w:pBdr>
        <w:spacing w:after="200"/>
      </w:pPr>
    </w:p>
    <w:p>
      <w:pPr>
        <w:spacing w:after="140" w:line="300"/>
      </w:pPr>
      <w:r>
        <w:rPr>
          <w:rFonts w:ascii="Calibri" w:cs="Calibri" w:eastAsia="Calibri" w:hAnsi="Calibri"/>
          <w:i/>
          <w:iCs/>
          <w:color w:val="4a4a4a"/>
          <w:sz w:val="19"/>
          <w:szCs w:val="19"/>
        </w:rPr>
        <w:t xml:space="preserve">Tutte le cifre di questo documento sono ipotesi di lavoro costruite su riferimenti pubblici di mercato (v. §10). Nessuna deriva da un preventivo firmato, da una perizia o da un immobile individuato. Vanno verificate prima di qualunque impegno.</w:t>
      </w:r>
    </w:p>
    <w:p>
      <w:pPr>
        <w:pStyle w:val="Heading1"/>
        <w:spacing w:after="180" w:before="360"/>
      </w:pPr>
      <w:r>
        <w:rPr>
          <w:rFonts w:ascii="Calibri" w:cs="Calibri" w:eastAsia="Calibri" w:hAnsi="Calibri"/>
          <w:b/>
          <w:bCs/>
          <w:color w:val="c8872f"/>
          <w:sz w:val="30"/>
          <w:szCs w:val="30"/>
        </w:rPr>
        <w:t xml:space="preserve">2. Il modello: un club, non un albergo</w:t>
      </w:r>
    </w:p>
    <w:p>
      <w:pPr>
        <w:spacing w:after="140" w:line="300"/>
      </w:pPr>
      <w:r>
        <w:rPr>
          <w:rFonts w:ascii="Calibri" w:cs="Calibri" w:eastAsia="Calibri" w:hAnsi="Calibri"/>
          <w:color w:val="4a4a4a"/>
          <w:sz w:val="21"/>
          <w:szCs w:val="21"/>
        </w:rPr>
        <w:t xml:space="preserve">La forma commerciale è quella del club a membri con casa propria. Ha tre conseguenze economiche che spiegano l'intero conto economico:</w:t>
      </w:r>
    </w:p>
    <w:p>
      <w:pPr>
        <w:pStyle w:val="ListParagraph"/>
        <w:numPr>
          <w:ilvl w:val="0"/>
          <w:numId w:val="1"/>
        </w:numPr>
        <w:spacing w:after="80" w:line="300"/>
      </w:pPr>
      <w:r>
        <w:rPr>
          <w:rFonts w:ascii="Calibri" w:cs="Calibri" w:eastAsia="Calibri" w:hAnsi="Calibri"/>
          <w:color w:val="4a4a4a"/>
          <w:sz w:val="21"/>
          <w:szCs w:val="21"/>
        </w:rPr>
        <w:t xml:space="preserve">Ricavo ricorrente. Le quote annuali sono incassate a prescindere dall'occupazione e hanno costo marginale quasi nullo. Nello scenario di riferimento valgono 0,90 M€ l'anno — il 37% dei ricavi — e da sole coprono i due terzi dei costi fissi.</w:t>
      </w:r>
    </w:p>
    <w:p>
      <w:pPr>
        <w:pStyle w:val="ListParagraph"/>
        <w:numPr>
          <w:ilvl w:val="0"/>
          <w:numId w:val="1"/>
        </w:numPr>
        <w:spacing w:after="80" w:line="300"/>
      </w:pPr>
      <w:r>
        <w:rPr>
          <w:rFonts w:ascii="Calibri" w:cs="Calibri" w:eastAsia="Calibri" w:hAnsi="Calibri"/>
          <w:color w:val="4a4a4a"/>
          <w:sz w:val="21"/>
          <w:szCs w:val="21"/>
        </w:rPr>
        <w:t xml:space="preserve">Occupazione bassa per costruzione. Il modello non ha bisogno di riempire: al 45% di occupazione è già ampiamente redditizio. Questo elimina il rischio strutturale dell'albergo di lusso, che è la stagionalità.</w:t>
      </w:r>
    </w:p>
    <w:p>
      <w:pPr>
        <w:pStyle w:val="ListParagraph"/>
        <w:numPr>
          <w:ilvl w:val="0"/>
          <w:numId w:val="1"/>
        </w:numPr>
        <w:spacing w:after="80" w:line="300"/>
      </w:pPr>
      <w:r>
        <w:rPr>
          <w:rFonts w:ascii="Calibri" w:cs="Calibri" w:eastAsia="Calibri" w:hAnsi="Calibri"/>
          <w:color w:val="4a4a4a"/>
          <w:sz w:val="21"/>
          <w:szCs w:val="21"/>
        </w:rPr>
        <w:t xml:space="preserve">Costo di acquisizione del cliente prossimo allo zero. Nessuna commissione di intermediazione, nessuna pubblicità, nessun portale. L'ammissione avviene per cooptazione fra soci.</w:t>
      </w:r>
    </w:p>
    <w:p>
      <w:pPr>
        <w:spacing w:after="140" w:line="300"/>
      </w:pPr>
      <w:r>
        <w:rPr>
          <w:rFonts w:ascii="Calibri" w:cs="Calibri" w:eastAsia="Calibri" w:hAnsi="Calibri"/>
          <w:color w:val="4a4a4a"/>
          <w:sz w:val="21"/>
          <w:szCs w:val="21"/>
        </w:rPr>
        <w:t xml:space="preserve">Il rovescio è che tutto il rischio si concentra in un punto solo: la formazione della base sociale. È trattato al §9.</w:t>
      </w:r>
    </w:p>
    <w:p>
      <w:pPr>
        <w:pStyle w:val="Heading2"/>
        <w:spacing w:after="120" w:before="260"/>
      </w:pPr>
      <w:r>
        <w:rPr>
          <w:rFonts w:ascii="Calibri" w:cs="Calibri" w:eastAsia="Calibri" w:hAnsi="Calibri"/>
          <w:b/>
          <w:bCs/>
          <w:color w:val="1f1f1f"/>
          <w:sz w:val="23"/>
          <w:szCs w:val="23"/>
        </w:rPr>
        <w:t xml:space="preserve">Riferimenti di mercato</w:t>
      </w:r>
    </w:p>
    <w:p>
      <w:pPr>
        <w:spacing w:after="140" w:line="300"/>
      </w:pPr>
      <w:r>
        <w:rPr>
          <w:rFonts w:ascii="Calibri" w:cs="Calibri" w:eastAsia="Calibri" w:hAnsi="Calibri"/>
          <w:color w:val="4a4a4a"/>
          <w:sz w:val="21"/>
          <w:szCs w:val="21"/>
        </w:rPr>
        <w:t xml:space="preserve">Aman Club: 200.000 $ di ingresso, 20.000 $ di quota annuale, per una rete internazionale. Bohemian Club: circa 25.000 $ di ingresso, 3.000–5.000 $ l'anno. Royal Mansour Marrakech: 1.500–2.000 $ a notte per un riad a una camera, sola sistemazione. Il posizionamento proposto — 40.000 € di ingresso, 9.000 € l'anno, 1.600 € a notte tutto compreso — sta sotto il riferimento Aman di un ordine di grandezza e sopra il club sociale urbano, che è la collocazione corretta per una casa unica.</w:t>
      </w:r>
    </w:p>
    <w:p>
      <w:pPr>
        <w:pStyle w:val="Heading2"/>
        <w:spacing w:after="120" w:before="260"/>
      </w:pPr>
      <w:r>
        <w:rPr>
          <w:rFonts w:ascii="Calibri" w:cs="Calibri" w:eastAsia="Calibri" w:hAnsi="Calibri"/>
          <w:b/>
          <w:bCs/>
          <w:color w:val="1f1f1f"/>
          <w:sz w:val="23"/>
          <w:szCs w:val="23"/>
        </w:rPr>
        <w:t xml:space="preserve">Tariffe e quote proposte</w:t>
      </w:r>
    </w:p>
    <w:tbl>
      <w:tblPr>
        <w:tblW w:type="dxa" w:w="9360"/>
        <w:tblBorders>
          <w:top w:val="single" w:color="E5E5E5" w:sz="2"/>
          <w:left w:val="none"/>
          <w:bottom w:val="single" w:color="E5E5E5" w:sz="2"/>
          <w:right w:val="none"/>
          <w:insideH w:val="single" w:color="EEEEEE" w:sz="2"/>
          <w:insideV w:val="none"/>
        </w:tblBorders>
      </w:tblPr>
      <w:tblGrid>
        <w:gridCol w:w="3400"/>
        <w:gridCol w:w="2400"/>
        <w:gridCol w:w="3560"/>
      </w:tblGrid>
      <w:tr>
        <w:trPr>
          <w:tblHeader/>
        </w:trPr>
        <w:tc>
          <w:tcPr>
            <w:tcW w:type="dxa" w:w="3400"/>
            <w:shd w:fill="c8872f"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19"/>
                <w:szCs w:val="19"/>
              </w:rPr>
              <w:t xml:space="preserve">Voce</w:t>
            </w:r>
          </w:p>
        </w:tc>
        <w:tc>
          <w:tcPr>
            <w:tcW w:type="dxa" w:w="24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Importo</w:t>
            </w:r>
          </w:p>
        </w:tc>
        <w:tc>
          <w:tcPr>
            <w:tcW w:type="dxa" w:w="356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Nota</w:t>
            </w:r>
          </w:p>
        </w:tc>
      </w:tr>
      <w:t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Diritto d'ammissione — soci fondatori</w:t>
            </w:r>
          </w:p>
        </w:tc>
        <w:tc>
          <w:tcPr>
            <w:tcW w:type="dxa" w:w="24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25.000 €</w:t>
            </w:r>
          </w:p>
        </w:tc>
        <w:tc>
          <w:tcPr>
            <w:tcW w:type="dxa" w:w="35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Una tantum, 40 posti, prima dei lavori</w:t>
            </w:r>
          </w:p>
        </w:tc>
      </w:tr>
      <w:tr>
        <w:tc>
          <w:tcPr>
            <w:tcW w:type="dxa" w:w="34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Diritto d'ammissione — ordinario</w:t>
            </w:r>
          </w:p>
        </w:tc>
        <w:tc>
          <w:tcPr>
            <w:tcW w:type="dxa" w:w="24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40.000 €</w:t>
            </w:r>
          </w:p>
        </w:tc>
        <w:tc>
          <w:tcPr>
            <w:tcW w:type="dxa" w:w="35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Una tantum, dopo l'apertura</w:t>
            </w:r>
          </w:p>
        </w:tc>
      </w:tr>
      <w:t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Quota annuale</w:t>
            </w:r>
          </w:p>
        </w:tc>
        <w:tc>
          <w:tcPr>
            <w:tcW w:type="dxa" w:w="24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9.000 €</w:t>
            </w:r>
          </w:p>
        </w:tc>
        <w:tc>
          <w:tcPr>
            <w:tcW w:type="dxa" w:w="35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Comprende 3 notti</w:t>
            </w:r>
          </w:p>
        </w:tc>
      </w:tr>
      <w:tr>
        <w:tc>
          <w:tcPr>
            <w:tcW w:type="dxa" w:w="34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Notte in suite</w:t>
            </w:r>
          </w:p>
        </w:tc>
        <w:tc>
          <w:tcPr>
            <w:tcW w:type="dxa" w:w="24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1.600 €</w:t>
            </w:r>
          </w:p>
        </w:tc>
        <w:tc>
          <w:tcPr>
            <w:tcW w:type="dxa" w:w="35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Pensione completa, hammam, personale</w:t>
            </w:r>
          </w:p>
        </w:tc>
      </w:tr>
      <w:t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Uso esclusivo della casa</w:t>
            </w:r>
          </w:p>
        </w:tc>
        <w:tc>
          <w:tcPr>
            <w:tcW w:type="dxa" w:w="24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7.500 €</w:t>
            </w:r>
          </w:p>
        </w:tc>
        <w:tc>
          <w:tcPr>
            <w:tcW w:type="dxa" w:w="35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A notte, sei suite, minimo 3 notti</w:t>
            </w:r>
          </w:p>
        </w:tc>
      </w:tr>
      <w:tr>
        <w:tc>
          <w:tcPr>
            <w:tcW w:type="dxa" w:w="34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Ospite non socio</w:t>
            </w:r>
          </w:p>
        </w:tc>
        <w:tc>
          <w:tcPr>
            <w:tcW w:type="dxa" w:w="24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+800 €</w:t>
            </w:r>
          </w:p>
        </w:tc>
        <w:tc>
          <w:tcPr>
            <w:tcW w:type="dxa" w:w="35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A notte, massimo 3 per soggiorno</w:t>
            </w:r>
          </w:p>
        </w:tc>
      </w:tr>
    </w:tbl>
    <w:p>
      <w:pPr>
        <w:spacing w:after="200"/>
      </w:pPr>
    </w:p>
    <w:p>
      <w:pPr>
        <w:spacing w:after="140" w:line="300"/>
      </w:pPr>
      <w:r>
        <w:rPr>
          <w:rFonts w:ascii="Calibri" w:cs="Calibri" w:eastAsia="Calibri" w:hAnsi="Calibri"/>
          <w:i/>
          <w:iCs/>
          <w:color w:val="4a4a4a"/>
          <w:sz w:val="19"/>
          <w:szCs w:val="19"/>
        </w:rPr>
        <w:t xml:space="preserve">Nessun listino è pubblicato. Le tariffe sono comunicate al candidato durante il colloquio di ammissione.</w:t>
      </w:r>
    </w:p>
    <w:p>
      <w:r>
        <w:br w:type="page"/>
      </w:r>
    </w:p>
    <w:p>
      <w:pPr>
        <w:pStyle w:val="Heading1"/>
        <w:spacing w:after="180" w:before="360"/>
      </w:pPr>
      <w:r>
        <w:rPr>
          <w:rFonts w:ascii="Calibri" w:cs="Calibri" w:eastAsia="Calibri" w:hAnsi="Calibri"/>
          <w:b/>
          <w:bCs/>
          <w:color w:val="c8872f"/>
          <w:sz w:val="30"/>
          <w:szCs w:val="30"/>
        </w:rPr>
        <w:t xml:space="preserve">3. Investimento</w:t>
      </w:r>
    </w:p>
    <w:tbl>
      <w:tblPr>
        <w:tblW w:type="dxa" w:w="9360"/>
        <w:tblBorders>
          <w:top w:val="single" w:color="E5E5E5" w:sz="2"/>
          <w:left w:val="none"/>
          <w:bottom w:val="single" w:color="E5E5E5" w:sz="2"/>
          <w:right w:val="none"/>
          <w:insideH w:val="single" w:color="EEEEEE" w:sz="2"/>
          <w:insideV w:val="none"/>
        </w:tblBorders>
      </w:tblPr>
      <w:tblGrid>
        <w:gridCol w:w="5600"/>
        <w:gridCol w:w="1900"/>
        <w:gridCol w:w="1860"/>
      </w:tblGrid>
      <w:tr>
        <w:trPr>
          <w:tblHeader/>
        </w:trPr>
        <w:tc>
          <w:tcPr>
            <w:tcW w:type="dxa" w:w="5600"/>
            <w:shd w:fill="c8872f"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19"/>
                <w:szCs w:val="19"/>
              </w:rPr>
              <w:t xml:space="preserve">Voce</w:t>
            </w:r>
          </w:p>
        </w:tc>
        <w:tc>
          <w:tcPr>
            <w:tcW w:type="dxa" w:w="19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Importo</w:t>
            </w:r>
          </w:p>
        </w:tc>
        <w:tc>
          <w:tcPr>
            <w:tcW w:type="dxa" w:w="186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w:t>
            </w:r>
          </w:p>
        </w:tc>
      </w:tr>
      <w:tr>
        <w:tc>
          <w:tcPr>
            <w:tcW w:type="dxa" w:w="56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Acquisizione della dimora (~900 m², medina di Fès)</w:t>
            </w:r>
          </w:p>
        </w:tc>
        <w:tc>
          <w:tcPr>
            <w:tcW w:type="dxa" w:w="19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950.000 €</w:t>
            </w:r>
          </w:p>
        </w:tc>
        <w:tc>
          <w:tcPr>
            <w:tcW w:type="dxa" w:w="18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20%</w:t>
            </w:r>
          </w:p>
        </w:tc>
      </w:tr>
      <w:tr>
        <w:tc>
          <w:tcPr>
            <w:tcW w:type="dxa" w:w="56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Restauro patrimoniale di alta gamma (2.100 €/m²)</w:t>
            </w:r>
          </w:p>
        </w:tc>
        <w:tc>
          <w:tcPr>
            <w:tcW w:type="dxa" w:w="19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1.890.000 €</w:t>
            </w:r>
          </w:p>
        </w:tc>
        <w:tc>
          <w:tcPr>
            <w:tcW w:type="dxa" w:w="18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39%</w:t>
            </w:r>
          </w:p>
        </w:tc>
      </w:tr>
      <w:tr>
        <w:tc>
          <w:tcPr>
            <w:tcW w:type="dxa" w:w="56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Impianti tecnici (clima, acqua, cucina, sicurezza)</w:t>
            </w:r>
          </w:p>
        </w:tc>
        <w:tc>
          <w:tcPr>
            <w:tcW w:type="dxa" w:w="19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380.000 €</w:t>
            </w:r>
          </w:p>
        </w:tc>
        <w:tc>
          <w:tcPr>
            <w:tcW w:type="dxa" w:w="18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8%</w:t>
            </w:r>
          </w:p>
        </w:tc>
      </w:tr>
      <w:tr>
        <w:tc>
          <w:tcPr>
            <w:tcW w:type="dxa" w:w="56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Arredo, tessili, biblioteca, opere</w:t>
            </w:r>
          </w:p>
        </w:tc>
        <w:tc>
          <w:tcPr>
            <w:tcW w:type="dxa" w:w="19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420.000 €</w:t>
            </w:r>
          </w:p>
        </w:tc>
        <w:tc>
          <w:tcPr>
            <w:tcW w:type="dxa" w:w="18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9%</w:t>
            </w:r>
          </w:p>
        </w:tc>
      </w:tr>
      <w:tr>
        <w:tc>
          <w:tcPr>
            <w:tcW w:type="dxa" w:w="56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Scuderia, giardino, terreno annesso</w:t>
            </w:r>
          </w:p>
        </w:tc>
        <w:tc>
          <w:tcPr>
            <w:tcW w:type="dxa" w:w="19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240.000 €</w:t>
            </w:r>
          </w:p>
        </w:tc>
        <w:tc>
          <w:tcPr>
            <w:tcW w:type="dxa" w:w="18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5%</w:t>
            </w:r>
          </w:p>
        </w:tc>
      </w:tr>
      <w:tr>
        <w:tc>
          <w:tcPr>
            <w:tcW w:type="dxa" w:w="56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Studi, licenze, legale, societario</w:t>
            </w:r>
          </w:p>
        </w:tc>
        <w:tc>
          <w:tcPr>
            <w:tcW w:type="dxa" w:w="19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180.000 €</w:t>
            </w:r>
          </w:p>
        </w:tc>
        <w:tc>
          <w:tcPr>
            <w:tcW w:type="dxa" w:w="18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w:t>
            </w:r>
          </w:p>
        </w:tc>
      </w:tr>
      <w:tr>
        <w:tc>
          <w:tcPr>
            <w:tcW w:type="dxa" w:w="56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Pre-apertura, formazione del personale, circolante</w:t>
            </w:r>
          </w:p>
        </w:tc>
        <w:tc>
          <w:tcPr>
            <w:tcW w:type="dxa" w:w="19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340.000 €</w:t>
            </w:r>
          </w:p>
        </w:tc>
        <w:tc>
          <w:tcPr>
            <w:tcW w:type="dxa" w:w="18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7%</w:t>
            </w:r>
          </w:p>
        </w:tc>
      </w:tr>
      <w:tr>
        <w:tc>
          <w:tcPr>
            <w:tcW w:type="dxa" w:w="56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Imprevisti (10%)</w:t>
            </w:r>
          </w:p>
        </w:tc>
        <w:tc>
          <w:tcPr>
            <w:tcW w:type="dxa" w:w="19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440.000 €</w:t>
            </w:r>
          </w:p>
        </w:tc>
        <w:tc>
          <w:tcPr>
            <w:tcW w:type="dxa" w:w="18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9%</w:t>
            </w:r>
          </w:p>
        </w:tc>
      </w:tr>
      <w:tr>
        <w:tc>
          <w:tcPr>
            <w:tcW w:type="dxa" w:w="560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TOTALE</w:t>
            </w:r>
          </w:p>
        </w:tc>
        <w:tc>
          <w:tcPr>
            <w:tcW w:type="dxa" w:w="19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4.840.000 €</w:t>
            </w:r>
          </w:p>
        </w:tc>
        <w:tc>
          <w:tcPr>
            <w:tcW w:type="dxa" w:w="186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100%</w:t>
            </w:r>
          </w:p>
        </w:tc>
      </w:tr>
    </w:tbl>
    <w:p>
      <w:pPr>
        <w:spacing w:after="220"/>
      </w:pPr>
    </w:p>
    <w:p>
      <w:pPr>
        <w:spacing w:after="140" w:line="300"/>
      </w:pPr>
      <w:r>
        <w:rPr>
          <w:rFonts w:ascii="Calibri" w:cs="Calibri" w:eastAsia="Calibri" w:hAnsi="Calibri"/>
          <w:color w:val="4a4a4a"/>
          <w:sz w:val="21"/>
          <w:szCs w:val="21"/>
        </w:rPr>
        <w:t xml:space="preserve">Il costo di restauro assunto — 2.100 €/m², pari a circa 22.500 MAD/m² — si colloca appena sopra la fascia alta indicata dagli operatori di Fès per il restauro patrimoniale (12.000–20.000 MAD/m²), come è corretto per un livello di finiture artigianali integrale. È la voce più esposta a scostamento: in medina i dissesti strutturali e l'umidità si scoprono a cantiere aperto. La riserva del 10% è un minimo, non un margine di sicurezza.</w:t>
      </w:r>
    </w:p>
    <w:p>
      <w:pPr>
        <w:pStyle w:val="Heading2"/>
        <w:spacing w:after="120" w:before="260"/>
      </w:pPr>
      <w:r>
        <w:rPr>
          <w:rFonts w:ascii="Calibri" w:cs="Calibri" w:eastAsia="Calibri" w:hAnsi="Calibri"/>
          <w:b/>
          <w:bCs/>
          <w:color w:val="1f1f1f"/>
          <w:sz w:val="23"/>
          <w:szCs w:val="23"/>
        </w:rPr>
        <w:t xml:space="preserve">Una commessa che torna alla casa accanto</w:t>
      </w:r>
    </w:p>
    <w:p>
      <w:pPr>
        <w:spacing w:after="140" w:line="300"/>
      </w:pPr>
      <w:r>
        <w:rPr>
          <w:rFonts w:ascii="Calibri" w:cs="Calibri" w:eastAsia="Calibri" w:hAnsi="Calibri"/>
          <w:color w:val="4a4a4a"/>
          <w:sz w:val="21"/>
          <w:szCs w:val="21"/>
        </w:rPr>
        <w:t xml:space="preserve">Circa 350.000 € del restauro — zellīj, gesso, legno, ferro battuto, cuoio — sono commissionati alle botteghe di Dar al-Hiraf a prezzo di mercato. Due effetti: le botteghe hanno un committente reale prima ancora di avere un mercato, e l'ospite dorme letteralmente dentro il lavoro della comunità di cui è ospite. Non è un dettaglio narrativo: è la prova di qualità su cui l'intero posizionamento si regge.</w:t>
      </w:r>
    </w:p>
    <w:p>
      <w:pPr>
        <w:pStyle w:val="Heading1"/>
        <w:spacing w:after="180" w:before="360"/>
      </w:pPr>
      <w:r>
        <w:rPr>
          <w:rFonts w:ascii="Calibri" w:cs="Calibri" w:eastAsia="Calibri" w:hAnsi="Calibri"/>
          <w:b/>
          <w:bCs/>
          <w:color w:val="c8872f"/>
          <w:sz w:val="30"/>
          <w:szCs w:val="30"/>
        </w:rPr>
        <w:t xml:space="preserve">4. Conto economico a regime — tre scenari</w:t>
      </w:r>
    </w:p>
    <w:p>
      <w:pPr>
        <w:spacing w:after="140" w:line="300"/>
      </w:pPr>
      <w:r>
        <w:rPr>
          <w:rFonts w:ascii="Calibri" w:cs="Calibri" w:eastAsia="Calibri" w:hAnsi="Calibri"/>
          <w:color w:val="4a4a4a"/>
          <w:sz w:val="21"/>
          <w:szCs w:val="21"/>
        </w:rPr>
        <w:t xml:space="preserve">Sei suite, 300 notti commercializzabili l'anno, 1.800 notti-suite disponibili.</w:t>
      </w:r>
    </w:p>
    <w:tbl>
      <w:tblPr>
        <w:tblW w:type="dxa" w:w="9360"/>
        <w:tblBorders>
          <w:top w:val="single" w:color="E5E5E5" w:sz="2"/>
          <w:left w:val="none"/>
          <w:bottom w:val="single" w:color="E5E5E5" w:sz="2"/>
          <w:right w:val="none"/>
          <w:insideH w:val="single" w:color="EEEEEE" w:sz="2"/>
          <w:insideV w:val="none"/>
        </w:tblBorders>
      </w:tblPr>
      <w:tblGrid>
        <w:gridCol w:w="3960"/>
        <w:gridCol w:w="1800"/>
        <w:gridCol w:w="1800"/>
        <w:gridCol w:w="1800"/>
      </w:tblGrid>
      <w:tr>
        <w:trPr>
          <w:tblHeader/>
        </w:trPr>
        <w:tc>
          <w:tcPr>
            <w:tcW w:type="dxa" w:w="3960"/>
            <w:shd w:fill="c8872f"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19"/>
                <w:szCs w:val="19"/>
              </w:rPr>
              <w:t xml:space="preserve"/>
            </w:r>
          </w:p>
        </w:tc>
        <w:tc>
          <w:tcPr>
            <w:tcW w:type="dxa" w:w="18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Prudente</w:t>
            </w:r>
          </w:p>
        </w:tc>
        <w:tc>
          <w:tcPr>
            <w:tcW w:type="dxa" w:w="18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Base</w:t>
            </w:r>
          </w:p>
        </w:tc>
        <w:tc>
          <w:tcPr>
            <w:tcW w:type="dxa" w:w="18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Alto</w:t>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Soci</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70</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100</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120</w:t>
            </w:r>
          </w:p>
        </w:tc>
      </w:tr>
      <w:tr>
        <w:tc>
          <w:tcPr>
            <w:tcW w:type="dxa" w:w="396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Quota annuale</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8.000 €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9.000 €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10.000 €</w:t>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Occupazione</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32%</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45%</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55%</w:t>
            </w:r>
          </w:p>
        </w:tc>
      </w:tr>
      <w:tr>
        <w:tc>
          <w:tcPr>
            <w:tcW w:type="dxa" w:w="396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Tariffa media a notte</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1.400 €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1.600 €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1.900 €</w:t>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Notti-suite vendute</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576</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810</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990</w:t>
            </w:r>
          </w:p>
        </w:tc>
      </w:tr>
      <w:tr>
        <w:tc>
          <w:tcPr>
            <w:tcW w:type="dxa" w:w="396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Ricavi da soggiorno</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806.400 €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1.296.000 €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1.881.000 €</w:t>
            </w:r>
          </w:p>
        </w:tc>
      </w:tr>
      <w:tr>
        <w:tc>
          <w:tcPr>
            <w:tcW w:type="dxa" w:w="396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Ricavi accessori</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120.960 €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233.280 €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413.820 €</w:t>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Quote associative</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560.000 €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900.000 €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1.200.000 €</w:t>
            </w:r>
          </w:p>
        </w:tc>
      </w:tr>
      <w:tr>
        <w:tc>
          <w:tcPr>
            <w:tcW w:type="dxa" w:w="396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RICAVI TOTALI</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1.487.000 €</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2.429.000 €</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3.495.000 €</w:t>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
            </w:r>
          </w:p>
        </w:tc>
      </w:tr>
      <w:tr>
        <w:tc>
          <w:tcPr>
            <w:tcW w:type="dxa" w:w="396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Personale</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445.000 €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445.000 €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445.000 €</w:t>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Ristorazione e consumi</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148.700 €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202.600 €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266.900 €</w:t>
            </w:r>
          </w:p>
        </w:tc>
      </w:tr>
      <w:tr>
        <w:tc>
          <w:tcPr>
            <w:tcW w:type="dxa" w:w="396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Esercizio, manutenzione, scuderia</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190.000 €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190.000 €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190.000 €</w:t>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Corrispettivo d'accesso al Riad</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150.000 €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150.000 €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150.000 €</w:t>
            </w:r>
          </w:p>
        </w:tc>
      </w:tr>
      <w:tr>
        <w:tc>
          <w:tcPr>
            <w:tcW w:type="dxa" w:w="396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Relazioni e vita sociale</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120.000 €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120.000 €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120.000 €</w:t>
            </w:r>
          </w:p>
        </w:tc>
      </w:tr>
      <w:tr>
        <w:tc>
          <w:tcPr>
            <w:tcW w:type="dxa" w:w="396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Amministrazione, assicurazioni, revisione</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130.000 €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130.000 €</w:t>
            </w:r>
          </w:p>
        </w:tc>
        <w:tc>
          <w:tcPr>
            <w:tcW w:type="dxa" w:w="18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130.000 €</w:t>
            </w:r>
          </w:p>
        </w:tc>
      </w:tr>
      <w:tr>
        <w:tc>
          <w:tcPr>
            <w:tcW w:type="dxa" w:w="396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Imposte locali</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40.000 €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40.000 €</w:t>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40.000 €</w:t>
            </w:r>
          </w:p>
        </w:tc>
      </w:tr>
      <w:tr>
        <w:tc>
          <w:tcPr>
            <w:tcW w:type="dxa" w:w="396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COSTI TOTALI</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1.224.000 €</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1.278.000 €</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1.342.000 €</w:t>
            </w:r>
          </w:p>
        </w:tc>
      </w:tr>
      <w:tr>
        <w:tc>
          <w:tcPr>
            <w:tcW w:type="dxa" w:w="396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
            </w:r>
          </w:p>
        </w:tc>
        <w:tc>
          <w:tcPr>
            <w:tcW w:type="dxa" w:w="18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
            </w:r>
          </w:p>
        </w:tc>
      </w:tr>
      <w:tr>
        <w:tc>
          <w:tcPr>
            <w:tcW w:type="dxa" w:w="396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MARGINE OPERATIVO LORDO</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264.000 €</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1.152.000 €</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2.153.000 €</w:t>
            </w:r>
          </w:p>
        </w:tc>
      </w:tr>
      <w:tr>
        <w:tc>
          <w:tcPr>
            <w:tcW w:type="dxa" w:w="396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Margine sui ricavi</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18%</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47%</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62%</w:t>
            </w:r>
          </w:p>
        </w:tc>
      </w:tr>
      <w:tr>
        <w:tc>
          <w:tcPr>
            <w:tcW w:type="dxa" w:w="396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Ritorno annuo sul capex</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5,4%</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23,8%</w:t>
            </w:r>
          </w:p>
        </w:tc>
        <w:tc>
          <w:tcPr>
            <w:tcW w:type="dxa" w:w="18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44,5%</w:t>
            </w:r>
          </w:p>
        </w:tc>
      </w:tr>
    </w:tbl>
    <w:p>
      <w:pPr>
        <w:spacing w:after="220"/>
      </w:pPr>
    </w:p>
    <w:p>
      <w:pPr>
        <w:spacing w:after="140" w:line="300"/>
      </w:pPr>
      <w:r>
        <w:rPr>
          <w:rFonts w:ascii="Calibri" w:cs="Calibri" w:eastAsia="Calibri" w:hAnsi="Calibri"/>
          <w:color w:val="4a4a4a"/>
          <w:sz w:val="21"/>
          <w:szCs w:val="21"/>
        </w:rPr>
        <w:t xml:space="preserve">La forbice va letta come la vera struttura del rischio. Fra prudente e base non cambia la qualità della casa, il servizio o la gestione: cambia solo il numero di uomini che hanno detto di sì. Trenta soci in più e tredici punti di occupazione trasformano un'operazione che non remunera il capitale in una che rende quasi il 24% l'anno. Nessuna leva gestionale ha un effetto paragonabile.</w:t>
      </w:r>
    </w:p>
    <w:p>
      <w:r>
        <w:br w:type="page"/>
      </w:r>
    </w:p>
    <w:p>
      <w:pPr>
        <w:pStyle w:val="Heading1"/>
        <w:spacing w:after="180" w:before="360"/>
      </w:pPr>
      <w:r>
        <w:rPr>
          <w:rFonts w:ascii="Calibri" w:cs="Calibri" w:eastAsia="Calibri" w:hAnsi="Calibri"/>
          <w:b/>
          <w:bCs/>
          <w:color w:val="c8872f"/>
          <w:sz w:val="30"/>
          <w:szCs w:val="30"/>
        </w:rPr>
        <w:t xml:space="preserve">5. Primi sette anni — scenario di riferimento</w:t>
      </w:r>
    </w:p>
    <w:tbl>
      <w:tblPr>
        <w:tblW w:type="dxa" w:w="9360"/>
        <w:tblBorders>
          <w:top w:val="single" w:color="E5E5E5" w:sz="2"/>
          <w:left w:val="none"/>
          <w:bottom w:val="single" w:color="E5E5E5" w:sz="2"/>
          <w:right w:val="none"/>
          <w:insideH w:val="single" w:color="EEEEEE" w:sz="2"/>
          <w:insideV w:val="none"/>
        </w:tblBorders>
      </w:tblPr>
      <w:tblGrid>
        <w:gridCol w:w="1000"/>
        <w:gridCol w:w="1100"/>
        <w:gridCol w:w="1100"/>
        <w:gridCol w:w="1900"/>
        <w:gridCol w:w="1500"/>
        <w:gridCol w:w="1400"/>
        <w:gridCol w:w="1360"/>
      </w:tblGrid>
      <w:tr>
        <w:trPr>
          <w:tblHeader/>
        </w:trPr>
        <w:tc>
          <w:tcPr>
            <w:tcW w:type="dxa" w:w="1000"/>
            <w:shd w:fill="c8872f"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19"/>
                <w:szCs w:val="19"/>
              </w:rPr>
              <w:t xml:space="preserve">Anno</w:t>
            </w:r>
          </w:p>
        </w:tc>
        <w:tc>
          <w:tcPr>
            <w:tcW w:type="dxa" w:w="11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Soci</w:t>
            </w:r>
          </w:p>
        </w:tc>
        <w:tc>
          <w:tcPr>
            <w:tcW w:type="dxa" w:w="11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Occ.</w:t>
            </w:r>
          </w:p>
        </w:tc>
        <w:tc>
          <w:tcPr>
            <w:tcW w:type="dxa" w:w="19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Ricavi</w:t>
            </w:r>
          </w:p>
        </w:tc>
        <w:tc>
          <w:tcPr>
            <w:tcW w:type="dxa" w:w="15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Diritti</w:t>
            </w:r>
          </w:p>
        </w:tc>
        <w:tc>
          <w:tcPr>
            <w:tcW w:type="dxa" w:w="14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MOL</w:t>
            </w:r>
          </w:p>
        </w:tc>
        <w:tc>
          <w:tcPr>
            <w:tcW w:type="dxa" w:w="136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Cumulato</w:t>
            </w:r>
          </w:p>
        </w:tc>
      </w:tr>
      <w:tr>
        <w:tc>
          <w:tcPr>
            <w:tcW w:type="dxa" w:w="10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1</w:t>
            </w:r>
          </w:p>
        </w:tc>
        <w:tc>
          <w:tcPr>
            <w:tcW w:type="dxa" w:w="11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40</w:t>
            </w:r>
          </w:p>
        </w:tc>
        <w:tc>
          <w:tcPr>
            <w:tcW w:type="dxa" w:w="11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20%</w:t>
            </w:r>
          </w:p>
        </w:tc>
        <w:tc>
          <w:tcPr>
            <w:tcW w:type="dxa" w:w="19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1.040.000 €</w:t>
            </w:r>
          </w:p>
        </w:tc>
        <w:tc>
          <w:tcPr>
            <w:tcW w:type="dxa" w:w="15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w:t>
            </w:r>
          </w:p>
        </w:tc>
        <w:tc>
          <w:tcPr>
            <w:tcW w:type="dxa" w:w="14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-159.000 €</w:t>
            </w:r>
          </w:p>
        </w:tc>
        <w:tc>
          <w:tcPr>
            <w:tcW w:type="dxa" w:w="13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-159.000 €</w:t>
            </w:r>
          </w:p>
        </w:tc>
      </w:tr>
      <w:tr>
        <w:tc>
          <w:tcPr>
            <w:tcW w:type="dxa" w:w="10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2</w:t>
            </w:r>
          </w:p>
        </w:tc>
        <w:tc>
          <w:tcPr>
            <w:tcW w:type="dxa" w:w="11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65</w:t>
            </w:r>
          </w:p>
        </w:tc>
        <w:tc>
          <w:tcPr>
            <w:tcW w:type="dxa" w:w="11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32%</w:t>
            </w:r>
          </w:p>
        </w:tc>
        <w:tc>
          <w:tcPr>
            <w:tcW w:type="dxa" w:w="19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1.672.000 €</w:t>
            </w:r>
          </w:p>
        </w:tc>
        <w:tc>
          <w:tcPr>
            <w:tcW w:type="dxa" w:w="15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w:t>
            </w:r>
          </w:p>
        </w:tc>
        <w:tc>
          <w:tcPr>
            <w:tcW w:type="dxa" w:w="14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436.000 €</w:t>
            </w:r>
          </w:p>
        </w:tc>
        <w:tc>
          <w:tcPr>
            <w:tcW w:type="dxa" w:w="13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277.000 €</w:t>
            </w:r>
          </w:p>
        </w:tc>
      </w:tr>
      <w:tr>
        <w:tc>
          <w:tcPr>
            <w:tcW w:type="dxa" w:w="10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3</w:t>
            </w:r>
          </w:p>
        </w:tc>
        <w:tc>
          <w:tcPr>
            <w:tcW w:type="dxa" w:w="11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85</w:t>
            </w:r>
          </w:p>
        </w:tc>
        <w:tc>
          <w:tcPr>
            <w:tcW w:type="dxa" w:w="11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40%</w:t>
            </w:r>
          </w:p>
        </w:tc>
        <w:tc>
          <w:tcPr>
            <w:tcW w:type="dxa" w:w="19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2.124.000 €</w:t>
            </w:r>
          </w:p>
        </w:tc>
        <w:tc>
          <w:tcPr>
            <w:tcW w:type="dxa" w:w="15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300.000 €</w:t>
            </w:r>
          </w:p>
        </w:tc>
        <w:tc>
          <w:tcPr>
            <w:tcW w:type="dxa" w:w="14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1.163.000 €</w:t>
            </w:r>
          </w:p>
        </w:tc>
        <w:tc>
          <w:tcPr>
            <w:tcW w:type="dxa" w:w="13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1.440.000 €</w:t>
            </w:r>
          </w:p>
        </w:tc>
      </w:tr>
      <w:tr>
        <w:tc>
          <w:tcPr>
            <w:tcW w:type="dxa" w:w="10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4</w:t>
            </w:r>
          </w:p>
        </w:tc>
        <w:tc>
          <w:tcPr>
            <w:tcW w:type="dxa" w:w="11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100</w:t>
            </w:r>
          </w:p>
        </w:tc>
        <w:tc>
          <w:tcPr>
            <w:tcW w:type="dxa" w:w="11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45%</w:t>
            </w:r>
          </w:p>
        </w:tc>
        <w:tc>
          <w:tcPr>
            <w:tcW w:type="dxa" w:w="19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2.429.000 €</w:t>
            </w:r>
          </w:p>
        </w:tc>
        <w:tc>
          <w:tcPr>
            <w:tcW w:type="dxa" w:w="15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240.000 €</w:t>
            </w:r>
          </w:p>
        </w:tc>
        <w:tc>
          <w:tcPr>
            <w:tcW w:type="dxa" w:w="14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1.392.000 €</w:t>
            </w:r>
          </w:p>
        </w:tc>
        <w:tc>
          <w:tcPr>
            <w:tcW w:type="dxa" w:w="13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2.832.000 €</w:t>
            </w:r>
          </w:p>
        </w:tc>
      </w:tr>
      <w:tr>
        <w:tc>
          <w:tcPr>
            <w:tcW w:type="dxa" w:w="10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5</w:t>
            </w:r>
          </w:p>
        </w:tc>
        <w:tc>
          <w:tcPr>
            <w:tcW w:type="dxa" w:w="11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100</w:t>
            </w:r>
          </w:p>
        </w:tc>
        <w:tc>
          <w:tcPr>
            <w:tcW w:type="dxa" w:w="11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45%</w:t>
            </w:r>
          </w:p>
        </w:tc>
        <w:tc>
          <w:tcPr>
            <w:tcW w:type="dxa" w:w="19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2.429.000 €</w:t>
            </w:r>
          </w:p>
        </w:tc>
        <w:tc>
          <w:tcPr>
            <w:tcW w:type="dxa" w:w="15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160.000 €</w:t>
            </w:r>
          </w:p>
        </w:tc>
        <w:tc>
          <w:tcPr>
            <w:tcW w:type="dxa" w:w="14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1.312.000 €</w:t>
            </w:r>
          </w:p>
        </w:tc>
        <w:tc>
          <w:tcPr>
            <w:tcW w:type="dxa" w:w="13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4.144.000 €</w:t>
            </w:r>
          </w:p>
        </w:tc>
      </w:tr>
      <w:tr>
        <w:tc>
          <w:tcPr>
            <w:tcW w:type="dxa" w:w="10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6</w:t>
            </w:r>
          </w:p>
        </w:tc>
        <w:tc>
          <w:tcPr>
            <w:tcW w:type="dxa" w:w="11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100</w:t>
            </w:r>
          </w:p>
        </w:tc>
        <w:tc>
          <w:tcPr>
            <w:tcW w:type="dxa" w:w="11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48%</w:t>
            </w:r>
          </w:p>
        </w:tc>
        <w:tc>
          <w:tcPr>
            <w:tcW w:type="dxa" w:w="19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2.531.000 €</w:t>
            </w:r>
          </w:p>
        </w:tc>
        <w:tc>
          <w:tcPr>
            <w:tcW w:type="dxa" w:w="15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160.000 €</w:t>
            </w:r>
          </w:p>
        </w:tc>
        <w:tc>
          <w:tcPr>
            <w:tcW w:type="dxa" w:w="14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1.404.000 €</w:t>
            </w:r>
          </w:p>
        </w:tc>
        <w:tc>
          <w:tcPr>
            <w:tcW w:type="dxa" w:w="13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5.548.000 €</w:t>
            </w:r>
          </w:p>
        </w:tc>
      </w:tr>
      <w:tr>
        <w:tc>
          <w:tcPr>
            <w:tcW w:type="dxa" w:w="10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7</w:t>
            </w:r>
          </w:p>
        </w:tc>
        <w:tc>
          <w:tcPr>
            <w:tcW w:type="dxa" w:w="11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100</w:t>
            </w:r>
          </w:p>
        </w:tc>
        <w:tc>
          <w:tcPr>
            <w:tcW w:type="dxa" w:w="11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48%</w:t>
            </w:r>
          </w:p>
        </w:tc>
        <w:tc>
          <w:tcPr>
            <w:tcW w:type="dxa" w:w="19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2.531.000 €</w:t>
            </w:r>
          </w:p>
        </w:tc>
        <w:tc>
          <w:tcPr>
            <w:tcW w:type="dxa" w:w="15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160.000 €</w:t>
            </w:r>
          </w:p>
        </w:tc>
        <w:tc>
          <w:tcPr>
            <w:tcW w:type="dxa" w:w="14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1.404.000 €</w:t>
            </w:r>
          </w:p>
        </w:tc>
        <w:tc>
          <w:tcPr>
            <w:tcW w:type="dxa" w:w="13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6.952.000 €</w:t>
            </w:r>
          </w:p>
        </w:tc>
      </w:tr>
    </w:tbl>
    <w:p>
      <w:pPr>
        <w:spacing w:after="220"/>
      </w:pPr>
    </w:p>
    <w:p>
      <w:pPr>
        <w:spacing w:after="140" w:line="300"/>
      </w:pPr>
      <w:r>
        <w:rPr>
          <w:rFonts w:ascii="Calibri" w:cs="Calibri" w:eastAsia="Calibri" w:hAnsi="Calibri"/>
          <w:color w:val="4a4a4a"/>
          <w:sz w:val="21"/>
          <w:szCs w:val="21"/>
        </w:rPr>
        <w:t xml:space="preserve">« Diritti » è la quota dei diritti d'ammissione ordinari imputata a conto economico (metà; l'altra metà è accantonata a riserva di manutenzione dell'immobile). Il margine cumulato eguaglia l'investimento complessivo di 4,84 M€ nel corso del sesto anno; considerando il servizio del debito, il ritorno effettivo del capitale si colloca fra il settimo e l'ottavo anno. A questo va aggiunto il valore residuo dell'immobile, che è la parte meno volatile del ritorno.</w:t>
      </w:r>
    </w:p>
    <w:p>
      <w:pPr>
        <w:pStyle w:val="Heading2"/>
        <w:spacing w:after="120" w:before="260"/>
      </w:pPr>
      <w:r>
        <w:rPr>
          <w:rFonts w:ascii="Calibri" w:cs="Calibri" w:eastAsia="Calibri" w:hAnsi="Calibri"/>
          <w:b/>
          <w:bCs/>
          <w:color w:val="1f1f1f"/>
          <w:sz w:val="23"/>
          <w:szCs w:val="23"/>
        </w:rPr>
        <w:t xml:space="preserve">Struttura finanziaria</w:t>
      </w:r>
    </w:p>
    <w:tbl>
      <w:tblPr>
        <w:tblW w:type="dxa" w:w="9360"/>
        <w:tblBorders>
          <w:top w:val="single" w:color="E5E5E5" w:sz="2"/>
          <w:left w:val="none"/>
          <w:bottom w:val="single" w:color="E5E5E5" w:sz="2"/>
          <w:right w:val="none"/>
          <w:insideH w:val="single" w:color="EEEEEE" w:sz="2"/>
          <w:insideV w:val="none"/>
        </w:tblBorders>
      </w:tblPr>
      <w:tblGrid>
        <w:gridCol w:w="4400"/>
        <w:gridCol w:w="2400"/>
        <w:gridCol w:w="2560"/>
      </w:tblGrid>
      <w:tr>
        <w:trPr>
          <w:tblHeader/>
        </w:trPr>
        <w:tc>
          <w:tcPr>
            <w:tcW w:type="dxa" w:w="4400"/>
            <w:shd w:fill="c8872f"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19"/>
                <w:szCs w:val="19"/>
              </w:rPr>
              <w:t xml:space="preserve">Fonte</w:t>
            </w:r>
          </w:p>
        </w:tc>
        <w:tc>
          <w:tcPr>
            <w:tcW w:type="dxa" w:w="24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Importo</w:t>
            </w:r>
          </w:p>
        </w:tc>
        <w:tc>
          <w:tcPr>
            <w:tcW w:type="dxa" w:w="256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Nota</w:t>
            </w:r>
          </w:p>
        </w:tc>
      </w:tr>
      <w:tr>
        <w:tc>
          <w:tcPr>
            <w:tcW w:type="dxa" w:w="44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Diritti dei soci fondatori</w:t>
            </w:r>
          </w:p>
        </w:tc>
        <w:tc>
          <w:tcPr>
            <w:tcW w:type="dxa" w:w="24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1.000.000 €</w:t>
            </w:r>
          </w:p>
        </w:tc>
        <w:tc>
          <w:tcPr>
            <w:tcW w:type="dxa" w:w="25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40 × 25.000 €, raccolti prima del rogito</w:t>
            </w:r>
          </w:p>
        </w:tc>
      </w:tr>
      <w:tr>
        <w:tc>
          <w:tcPr>
            <w:tcW w:type="dxa" w:w="44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Capitale d'investimento</w:t>
            </w:r>
          </w:p>
        </w:tc>
        <w:tc>
          <w:tcPr>
            <w:tcW w:type="dxa" w:w="24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2.230.000 €</w:t>
            </w:r>
          </w:p>
        </w:tc>
        <w:tc>
          <w:tcPr>
            <w:tcW w:type="dxa" w:w="25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Quota di maggioranza o paritaria, da definire</w:t>
            </w:r>
          </w:p>
        </w:tc>
      </w:tr>
      <w:tr>
        <w:tc>
          <w:tcPr>
            <w:tcW w:type="dxa" w:w="44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Debito bancario o mecenatizio</w:t>
            </w:r>
          </w:p>
        </w:tc>
        <w:tc>
          <w:tcPr>
            <w:tcW w:type="dxa" w:w="24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1.610.000 €</w:t>
            </w:r>
          </w:p>
        </w:tc>
        <w:tc>
          <w:tcPr>
            <w:tcW w:type="dxa" w:w="25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Garantito dall'immobile</w:t>
            </w:r>
          </w:p>
        </w:tc>
      </w:tr>
      <w:tr>
        <w:tc>
          <w:tcPr>
            <w:tcW w:type="dxa" w:w="440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TOTALE</w:t>
            </w:r>
          </w:p>
        </w:tc>
        <w:tc>
          <w:tcPr>
            <w:tcW w:type="dxa" w:w="24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4.840.000 €</w:t>
            </w:r>
          </w:p>
        </w:tc>
        <w:tc>
          <w:tcPr>
            <w:tcW w:type="dxa" w:w="256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
            </w:r>
          </w:p>
        </w:tc>
      </w:tr>
    </w:tbl>
    <w:p>
      <w:pPr>
        <w:pStyle w:val="Heading1"/>
        <w:spacing w:after="180" w:before="360"/>
      </w:pPr>
      <w:r>
        <w:rPr>
          <w:rFonts w:ascii="Calibri" w:cs="Calibri" w:eastAsia="Calibri" w:hAnsi="Calibri"/>
          <w:b/>
          <w:bCs/>
          <w:color w:val="c8872f"/>
          <w:sz w:val="30"/>
          <w:szCs w:val="30"/>
        </w:rPr>
        <w:t xml:space="preserve">6. Il flusso verso Dar al-Hiraf</w:t>
      </w:r>
    </w:p>
    <w:p>
      <w:pPr>
        <w:spacing w:after="140" w:line="300"/>
      </w:pPr>
      <w:r>
        <w:rPr>
          <w:rFonts w:ascii="Calibri" w:cs="Calibri" w:eastAsia="Calibri" w:hAnsi="Calibri"/>
          <w:color w:val="4a4a4a"/>
          <w:sz w:val="21"/>
          <w:szCs w:val="21"/>
        </w:rPr>
        <w:t xml:space="preserve">Lo statuto della Munya vincola il venti per cento del margine operativo lordo al fondo borse di Dar al-Hiraf. L'impegno è statutario, non discrezionale: non dipende da chi dirigerà la casa fra dieci anni.</w:t>
      </w:r>
    </w:p>
    <w:tbl>
      <w:tblPr>
        <w:tblW w:type="dxa" w:w="9360"/>
        <w:tblBorders>
          <w:top w:val="single" w:color="E5E5E5" w:sz="2"/>
          <w:left w:val="none"/>
          <w:bottom w:val="single" w:color="E5E5E5" w:sz="2"/>
          <w:right w:val="none"/>
          <w:insideH w:val="single" w:color="EEEEEE" w:sz="2"/>
          <w:insideV w:val="none"/>
        </w:tblBorders>
      </w:tblPr>
      <w:tblGrid>
        <w:gridCol w:w="4400"/>
        <w:gridCol w:w="1700"/>
        <w:gridCol w:w="3260"/>
      </w:tblGrid>
      <w:tr>
        <w:trPr>
          <w:tblHeader/>
        </w:trPr>
        <w:tc>
          <w:tcPr>
            <w:tcW w:type="dxa" w:w="4400"/>
            <w:shd w:fill="c8872f"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19"/>
                <w:szCs w:val="19"/>
              </w:rPr>
              <w:t xml:space="preserve">Scenario</w:t>
            </w:r>
          </w:p>
        </w:tc>
        <w:tc>
          <w:tcPr>
            <w:tcW w:type="dxa" w:w="17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Dotazione annua</w:t>
            </w:r>
          </w:p>
        </w:tc>
        <w:tc>
          <w:tcPr>
            <w:tcW w:type="dxa" w:w="326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Borse di residenza finanziate</w:t>
            </w:r>
          </w:p>
        </w:tc>
      </w:tr>
      <w:tr>
        <w:tc>
          <w:tcPr>
            <w:tcW w:type="dxa" w:w="44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Prudente</w:t>
            </w:r>
          </w:p>
        </w:tc>
        <w:tc>
          <w:tcPr>
            <w:tcW w:type="dxa" w:w="17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53.000 €</w:t>
            </w:r>
          </w:p>
        </w:tc>
        <w:tc>
          <w:tcPr>
            <w:tcW w:type="dxa" w:w="32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7 apprendisti</w:t>
            </w:r>
          </w:p>
        </w:tc>
      </w:tr>
      <w:tr>
        <w:tc>
          <w:tcPr>
            <w:tcW w:type="dxa" w:w="440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Base</w:t>
            </w:r>
          </w:p>
        </w:tc>
        <w:tc>
          <w:tcPr>
            <w:tcW w:type="dxa" w:w="17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230.000 €</w:t>
            </w:r>
          </w:p>
        </w:tc>
        <w:tc>
          <w:tcPr>
            <w:tcW w:type="dxa" w:w="326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31 apprendisti</w:t>
            </w:r>
          </w:p>
        </w:tc>
      </w:tr>
      <w:tr>
        <w:tc>
          <w:tcPr>
            <w:tcW w:type="dxa" w:w="44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Alto</w:t>
            </w:r>
          </w:p>
        </w:tc>
        <w:tc>
          <w:tcPr>
            <w:tcW w:type="dxa" w:w="17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431.000 €</w:t>
            </w:r>
          </w:p>
        </w:tc>
        <w:tc>
          <w:tcPr>
            <w:tcW w:type="dxa" w:w="32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57 apprendisti</w:t>
            </w:r>
          </w:p>
        </w:tc>
      </w:tr>
    </w:tbl>
    <w:p>
      <w:pPr>
        <w:spacing w:after="200"/>
      </w:pPr>
    </w:p>
    <w:p>
      <w:pPr>
        <w:spacing w:after="140" w:line="300"/>
      </w:pPr>
      <w:r>
        <w:rPr>
          <w:rFonts w:ascii="Calibri" w:cs="Calibri" w:eastAsia="Calibri" w:hAnsi="Calibri"/>
          <w:color w:val="4a4a4a"/>
          <w:sz w:val="21"/>
          <w:szCs w:val="21"/>
        </w:rPr>
        <w:t xml:space="preserve">Assumendo un costo pieno di 7.500 € per apprendista e per anno — vitto, alloggio, materiali, tempo dei maestri. Nello scenario di riferimento la Munya copre da sola l'intero fondo borse della casa.</w:t>
      </w:r>
    </w:p>
    <w:p>
      <w:pPr>
        <w:pStyle w:val="Heading2"/>
        <w:spacing w:after="120" w:before="260"/>
      </w:pPr>
      <w:r>
        <w:rPr>
          <w:rFonts w:ascii="Calibri" w:cs="Calibri" w:eastAsia="Calibri" w:hAnsi="Calibri"/>
          <w:b/>
          <w:bCs/>
          <w:color w:val="1f1f1f"/>
          <w:sz w:val="23"/>
          <w:szCs w:val="23"/>
        </w:rPr>
        <w:t xml:space="preserve">Perché conviene dirlo</w:t>
      </w:r>
    </w:p>
    <w:p>
      <w:pPr>
        <w:spacing w:after="140" w:line="300"/>
      </w:pPr>
      <w:r>
        <w:rPr>
          <w:rFonts w:ascii="Calibri" w:cs="Calibri" w:eastAsia="Calibri" w:hAnsi="Calibri"/>
          <w:color w:val="4a4a4a"/>
          <w:sz w:val="21"/>
          <w:szCs w:val="21"/>
        </w:rPr>
        <w:t xml:space="preserve">Un socio che paga 1.600 € a notte per una camera ha un termine di paragone, e prima o poi lo userà. Un socio che sa di mantenere un apprendista per un anno con due soggiorni non ha nulla con cui confrontare, perché non esiste un secondo posto al mondo che gli offra la stessa cosa. Dichiarare il flusso non è un gesto morale che costa margine: è ciò che rende il prezzo indiscutibile e la fedeltà lunga.</w:t>
      </w:r>
    </w:p>
    <w:p>
      <w:pPr>
        <w:spacing w:after="140" w:line="300"/>
      </w:pPr>
      <w:r>
        <w:rPr>
          <w:rFonts w:ascii="Calibri" w:cs="Calibri" w:eastAsia="Calibri" w:hAnsi="Calibri"/>
          <w:color w:val="4a4a4a"/>
          <w:sz w:val="21"/>
          <w:szCs w:val="21"/>
        </w:rPr>
        <w:t xml:space="preserve">Al socio è comunicato il mestiere che sostiene, mai il nome dell'apprendista: il registro della casa non è pubblico e non lo diventerà. Una volta l'anno riceve una riga scritta a mano su che cosa è stato fatto — un pannello posato, una porta finita, un maestro trattenuto.</w:t>
      </w:r>
    </w:p>
    <w:p>
      <w:r>
        <w:br w:type="page"/>
      </w:r>
    </w:p>
    <w:p>
      <w:pPr>
        <w:pStyle w:val="Heading1"/>
        <w:spacing w:after="180" w:before="360"/>
      </w:pPr>
      <w:r>
        <w:rPr>
          <w:rFonts w:ascii="Calibri" w:cs="Calibri" w:eastAsia="Calibri" w:hAnsi="Calibri"/>
          <w:b/>
          <w:bCs/>
          <w:color w:val="c8872f"/>
          <w:sz w:val="30"/>
          <w:szCs w:val="30"/>
        </w:rPr>
        <w:t xml:space="preserve">7. La regola di soglia — clausola di salvaguardia dell'attivo</w:t>
      </w:r>
    </w:p>
    <w:p>
      <w:pPr>
        <w:spacing w:after="140" w:line="300"/>
      </w:pPr>
      <w:r>
        <w:rPr>
          <w:rFonts w:ascii="Calibri" w:cs="Calibri" w:eastAsia="Calibri" w:hAnsi="Calibri"/>
          <w:color w:val="4a4a4a"/>
          <w:sz w:val="21"/>
          <w:szCs w:val="21"/>
        </w:rPr>
        <w:t xml:space="preserve">L'ospite non alloggia nel riad, non entra nei quartieri residenziali, non assiste alla preghiera, non è presente ai momenti interni della comunità. Ciò che può essergli concesso — un'ora al banco di un maestro, un pasto alla tavola comune, una sera di malḥūn, il campo di tiro all'alba — è concesso caso per caso, non è a listino, non è compreso nel prezzo e può essere rifiutato senza motivazione.</w:t>
      </w:r>
    </w:p>
    <w:p>
      <w:pPr>
        <w:spacing w:after="140" w:line="300"/>
      </w:pPr>
      <w:r>
        <w:rPr>
          <w:rFonts w:ascii="Calibri" w:cs="Calibri" w:eastAsia="Calibri" w:hAnsi="Calibri"/>
          <w:color w:val="4a4a4a"/>
          <w:sz w:val="21"/>
          <w:szCs w:val="21"/>
        </w:rPr>
        <w:t xml:space="preserve">Per un investitore questa è una clausola di protezione del patrimonio, non una delicatezza. Il giorno in cui la comunità si organizzasse in funzione degli ospiti, l'unica cosa non replicabile del progetto sarebbe distrutta e con essa il premio di prezzo. La convenzione d'accesso riconosce quindi al riad il diritto assoluto e non motivato di sospendere l'accesso in qualunque momento e senza penale.</w:t>
      </w:r>
    </w:p>
    <w:p>
      <w:pPr>
        <w:spacing w:after="140" w:line="300"/>
      </w:pPr>
      <w:r>
        <w:rPr>
          <w:rFonts w:ascii="Calibri" w:cs="Calibri" w:eastAsia="Calibri" w:hAnsi="Calibri"/>
          <w:color w:val="4a4a4a"/>
          <w:sz w:val="21"/>
          <w:szCs w:val="21"/>
        </w:rPr>
        <w:t xml:space="preserve">I residenti non sono personale: non ricevono mance, non sono fotografati, non fanno dimostrazioni. Il socio che vi contravviene conclude il soggiorno lo stesso giorno. È scritto nel regolamento che firma all'ammissione.</w:t>
      </w:r>
    </w:p>
    <w:p>
      <w:pPr>
        <w:pStyle w:val="Heading1"/>
        <w:spacing w:after="180" w:before="360"/>
      </w:pPr>
      <w:r>
        <w:rPr>
          <w:rFonts w:ascii="Calibri" w:cs="Calibri" w:eastAsia="Calibri" w:hAnsi="Calibri"/>
          <w:b/>
          <w:bCs/>
          <w:color w:val="c8872f"/>
          <w:sz w:val="30"/>
          <w:szCs w:val="30"/>
        </w:rPr>
        <w:t xml:space="preserve">8. Assetto giuridico e punti da verificare</w:t>
      </w:r>
    </w:p>
    <w:p>
      <w:pPr>
        <w:spacing w:after="140" w:line="300"/>
      </w:pPr>
      <w:r>
        <w:rPr>
          <w:rFonts w:ascii="Calibri" w:cs="Calibri" w:eastAsia="Calibri" w:hAnsi="Calibri"/>
          <w:color w:val="4a4a4a"/>
          <w:sz w:val="21"/>
          <w:szCs w:val="21"/>
        </w:rPr>
        <w:t xml:space="preserve">Due entità nettamente separate. Il Riad al-Uns resta struttura non commerciale, destinata a essere costituita in bene inalienabile (ḥubus/waqf) nelle forme che il diritto marocchino consentirà. La Munya è una società commerciale distinta, con proprio bilancio e proprio rischio: nessuna responsabilità della Munya può risalire al riad. Fra le due, una convenzione d'accesso scritta, con corrispettivo per visita ammessa e canone annuale fisso.</w:t>
      </w:r>
    </w:p>
    <w:p>
      <w:pPr>
        <w:spacing w:after="100" w:line="300"/>
      </w:pPr>
      <w:r>
        <w:rPr>
          <w:rFonts w:ascii="Calibri" w:cs="Calibri" w:eastAsia="Calibri" w:hAnsi="Calibri"/>
          <w:color w:val="4a4a4a"/>
          <w:sz w:val="21"/>
          <w:szCs w:val="21"/>
        </w:rPr>
        <w:t xml:space="preserve">Quattro punti vanno sottoposti a un avvocato marocchino prima di qualunque impegno di capitale:</w:t>
      </w:r>
    </w:p>
    <w:p>
      <w:pPr>
        <w:pStyle w:val="ListParagraph"/>
        <w:numPr>
          <w:ilvl w:val="0"/>
          <w:numId w:val="1"/>
        </w:numPr>
        <w:spacing w:after="80" w:line="300"/>
      </w:pPr>
      <w:r>
        <w:rPr>
          <w:rFonts w:ascii="Calibri" w:cs="Calibri" w:eastAsia="Calibri" w:hAnsi="Calibri"/>
          <w:color w:val="4a4a4a"/>
          <w:sz w:val="21"/>
          <w:szCs w:val="21"/>
        </w:rPr>
        <w:t xml:space="preserve">Ammissione riservata agli uomini — sostenibile per un club privato a cooptazione, problematica per una struttura ricettiva classificata. L'assetto probabilmente corretto è la residenza privata messa a disposizione dei membri di un'associazione, non la maison d'hôtes. Da verificare, non da presumere.</w:t>
      </w:r>
    </w:p>
    <w:p>
      <w:pPr>
        <w:pStyle w:val="ListParagraph"/>
        <w:numPr>
          <w:ilvl w:val="0"/>
          <w:numId w:val="1"/>
        </w:numPr>
        <w:spacing w:after="80" w:line="300"/>
      </w:pPr>
      <w:r>
        <w:rPr>
          <w:rFonts w:ascii="Calibri" w:cs="Calibri" w:eastAsia="Calibri" w:hAnsi="Calibri"/>
          <w:color w:val="4a4a4a"/>
          <w:sz w:val="21"/>
          <w:szCs w:val="21"/>
        </w:rPr>
        <w:t xml:space="preserve">Proprietà immobiliare in medina: titolarità, servitù, autorizzazioni di restauro in zona UNESCO, vincoli di cantiere.</w:t>
      </w:r>
    </w:p>
    <w:p>
      <w:pPr>
        <w:pStyle w:val="ListParagraph"/>
        <w:numPr>
          <w:ilvl w:val="0"/>
          <w:numId w:val="1"/>
        </w:numPr>
        <w:spacing w:after="80" w:line="300"/>
      </w:pPr>
      <w:r>
        <w:rPr>
          <w:rFonts w:ascii="Calibri" w:cs="Calibri" w:eastAsia="Calibri" w:hAnsi="Calibri"/>
          <w:color w:val="4a4a4a"/>
          <w:sz w:val="21"/>
          <w:szCs w:val="21"/>
        </w:rPr>
        <w:t xml:space="preserve">Compatibilità della convenzione d'accesso con lo statuto non lucrativo del riad.</w:t>
      </w:r>
    </w:p>
    <w:p>
      <w:pPr>
        <w:pStyle w:val="ListParagraph"/>
        <w:numPr>
          <w:ilvl w:val="0"/>
          <w:numId w:val="1"/>
        </w:numPr>
        <w:spacing w:after="80" w:line="300"/>
      </w:pPr>
      <w:r>
        <w:rPr>
          <w:rFonts w:ascii="Calibri" w:cs="Calibri" w:eastAsia="Calibri" w:hAnsi="Calibri"/>
          <w:color w:val="4a4a4a"/>
          <w:sz w:val="21"/>
          <w:szCs w:val="21"/>
        </w:rPr>
        <w:t xml:space="preserve">Trattamento fiscale del diritto d'ammissione — ricavo d'esercizio o riserva patrimoniale.</w:t>
      </w:r>
    </w:p>
    <w:p>
      <w:pPr>
        <w:spacing w:after="140" w:line="300"/>
      </w:pPr>
      <w:r>
        <w:rPr>
          <w:rFonts w:ascii="Calibri" w:cs="Calibri" w:eastAsia="Calibri" w:hAnsi="Calibri"/>
          <w:i/>
          <w:iCs/>
          <w:color w:val="4a4a4a"/>
          <w:sz w:val="19"/>
          <w:szCs w:val="19"/>
        </w:rPr>
        <w:t xml:space="preserve">L'assenza di alcol semplifica sensibilmente il quadro autorizzativo ed elimina un centro di costo e di rischio.</w:t>
      </w:r>
    </w:p>
    <w:p>
      <w:pPr>
        <w:pStyle w:val="Heading1"/>
        <w:spacing w:after="180" w:before="360"/>
      </w:pPr>
      <w:r>
        <w:rPr>
          <w:rFonts w:ascii="Calibri" w:cs="Calibri" w:eastAsia="Calibri" w:hAnsi="Calibri"/>
          <w:b/>
          <w:bCs/>
          <w:color w:val="c8872f"/>
          <w:sz w:val="30"/>
          <w:szCs w:val="30"/>
        </w:rPr>
        <w:t xml:space="preserve">9. Rischi</w:t>
      </w:r>
    </w:p>
    <w:tbl>
      <w:tblPr>
        <w:tblW w:type="dxa" w:w="9360"/>
        <w:tblBorders>
          <w:top w:val="single" w:color="E5E5E5" w:sz="2"/>
          <w:left w:val="none"/>
          <w:bottom w:val="single" w:color="E5E5E5" w:sz="2"/>
          <w:right w:val="none"/>
          <w:insideH w:val="single" w:color="EEEEEE" w:sz="2"/>
          <w:insideV w:val="none"/>
        </w:tblBorders>
      </w:tblPr>
      <w:tblGrid>
        <w:gridCol w:w="3000"/>
        <w:gridCol w:w="1500"/>
        <w:gridCol w:w="4860"/>
      </w:tblGrid>
      <w:tr>
        <w:trPr>
          <w:tblHeader/>
        </w:trPr>
        <w:tc>
          <w:tcPr>
            <w:tcW w:type="dxa" w:w="3000"/>
            <w:shd w:fill="c8872f"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19"/>
                <w:szCs w:val="19"/>
              </w:rPr>
              <w:t xml:space="preserve">Rischio</w:t>
            </w:r>
          </w:p>
        </w:tc>
        <w:tc>
          <w:tcPr>
            <w:tcW w:type="dxa" w:w="15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Gravità</w:t>
            </w:r>
          </w:p>
        </w:tc>
        <w:tc>
          <w:tcPr>
            <w:tcW w:type="dxa" w:w="486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Mitigazione</w:t>
            </w:r>
          </w:p>
        </w:tc>
      </w:tr>
      <w:tr>
        <w:tc>
          <w:tcPr>
            <w:tcW w:type="dxa" w:w="300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Base sociale insufficiente</w:t>
            </w:r>
          </w:p>
        </w:tc>
        <w:tc>
          <w:tcPr>
            <w:tcW w:type="dxa" w:w="15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Critica</w:t>
            </w:r>
          </w:p>
        </w:tc>
        <w:tc>
          <w:tcPr>
            <w:tcW w:type="dxa" w:w="486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Raccogliere i 40 fondatori prima del rogito. Se in 12 mesi non si arriva a 40, il progetto non si fa.</w:t>
            </w:r>
          </w:p>
        </w:tc>
      </w:tr>
      <w:tr>
        <w:tc>
          <w:tcPr>
            <w:tcW w:type="dxa" w:w="30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Sforamento del cantiere</w:t>
            </w:r>
          </w:p>
        </w:tc>
        <w:tc>
          <w:tcPr>
            <w:tcW w:type="dxa" w:w="15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Alta</w:t>
            </w:r>
          </w:p>
        </w:tc>
        <w:tc>
          <w:tcPr>
            <w:tcW w:type="dxa" w:w="48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Riserva 10%; direzione lavori indipendente; diagnosi strutturale prima del compromesso.</w:t>
            </w:r>
          </w:p>
        </w:tc>
      </w:tr>
      <w:tr>
        <w:tc>
          <w:tcPr>
            <w:tcW w:type="dxa" w:w="30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Ritardo di apertura del riad</w:t>
            </w:r>
          </w:p>
        </w:tc>
        <w:tc>
          <w:tcPr>
            <w:tcW w:type="dxa" w:w="15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Alta</w:t>
            </w:r>
          </w:p>
        </w:tc>
        <w:tc>
          <w:tcPr>
            <w:tcW w:type="dxa" w:w="48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La Munya non apre prima che la comunità sia insediata e stabile: senza casa accanto non c'è prodotto.</w:t>
            </w:r>
          </w:p>
        </w:tc>
      </w:tr>
      <w:tr>
        <w:tc>
          <w:tcPr>
            <w:tcW w:type="dxa" w:w="30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Vincolo giuridico sull'ammissione</w:t>
            </w:r>
          </w:p>
        </w:tc>
        <w:tc>
          <w:tcPr>
            <w:tcW w:type="dxa" w:w="15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Alta</w:t>
            </w:r>
          </w:p>
        </w:tc>
        <w:tc>
          <w:tcPr>
            <w:tcW w:type="dxa" w:w="48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Parere legale marocchino preliminare; assetto associativo alternativo già istruito.</w:t>
            </w:r>
          </w:p>
        </w:tc>
      </w:tr>
      <w:tr>
        <w:tc>
          <w:tcPr>
            <w:tcW w:type="dxa" w:w="30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Deriva del riad verso la vetrina</w:t>
            </w:r>
          </w:p>
        </w:tc>
        <w:tc>
          <w:tcPr>
            <w:tcW w:type="dxa" w:w="15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Alta</w:t>
            </w:r>
          </w:p>
        </w:tc>
        <w:tc>
          <w:tcPr>
            <w:tcW w:type="dxa" w:w="48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Regola di soglia statutaria; diritto di sospensione unilaterale in capo al riad.</w:t>
            </w:r>
          </w:p>
        </w:tc>
      </w:tr>
      <w:tr>
        <w:tc>
          <w:tcPr>
            <w:tcW w:type="dxa" w:w="30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Indiscrezione, stampa, immagine</w:t>
            </w:r>
          </w:p>
        </w:tc>
        <w:tc>
          <w:tcPr>
            <w:tcW w:type="dxa" w:w="15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Media</w:t>
            </w:r>
          </w:p>
        </w:tc>
        <w:tc>
          <w:tcPr>
            <w:tcW w:type="dxa" w:w="48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Clausola di riservatezza nello statuto; espulsione senza rimborso; nessun nome pubblicato.</w:t>
            </w:r>
          </w:p>
        </w:tc>
      </w:tr>
      <w:tr>
        <w:tc>
          <w:tcPr>
            <w:tcW w:type="dxa" w:w="30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Instabilità regionale, calo dei viaggi</w:t>
            </w:r>
          </w:p>
        </w:tc>
        <w:tc>
          <w:tcPr>
            <w:tcW w:type="dxa" w:w="15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Media</w:t>
            </w:r>
          </w:p>
        </w:tc>
        <w:tc>
          <w:tcPr>
            <w:tcW w:type="dxa" w:w="48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Le quote annuali restano incassate; il punto di pareggio è a occupazione bassa.</w:t>
            </w:r>
          </w:p>
        </w:tc>
      </w:tr>
      <w:tr>
        <w:tc>
          <w:tcPr>
            <w:tcW w:type="dxa" w:w="30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Dipendenza da poche persone chiave</w:t>
            </w:r>
          </w:p>
        </w:tc>
        <w:tc>
          <w:tcPr>
            <w:tcW w:type="dxa" w:w="15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Media</w:t>
            </w:r>
          </w:p>
        </w:tc>
        <w:tc>
          <w:tcPr>
            <w:tcW w:type="dxa" w:w="48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Formazione di quadri locali dal primo anno; nessun ruolo non sostituibile.</w:t>
            </w:r>
          </w:p>
        </w:tc>
      </w:tr>
    </w:tbl>
    <w:p>
      <w:r>
        <w:br w:type="page"/>
      </w:r>
    </w:p>
    <w:p>
      <w:pPr>
        <w:pStyle w:val="Heading1"/>
        <w:spacing w:after="180" w:before="360"/>
      </w:pPr>
      <w:r>
        <w:rPr>
          <w:rFonts w:ascii="Calibri" w:cs="Calibri" w:eastAsia="Calibri" w:hAnsi="Calibri"/>
          <w:b/>
          <w:bCs/>
          <w:color w:val="c8872f"/>
          <w:sz w:val="30"/>
          <w:szCs w:val="30"/>
        </w:rPr>
        <w:t xml:space="preserve">10. Sequenza proposta</w:t>
      </w:r>
    </w:p>
    <w:p>
      <w:pPr>
        <w:spacing w:after="120" w:line="300"/>
      </w:pPr>
      <w:r>
        <w:rPr>
          <w:rFonts w:ascii="Calibri" w:cs="Calibri" w:eastAsia="Calibri" w:hAnsi="Calibri"/>
          <w:color w:val="4a4a4a"/>
          <w:sz w:val="21"/>
          <w:szCs w:val="21"/>
        </w:rPr>
        <w:t xml:space="preserve">Nessuna delle fasi impegna capitale prima che la precedente sia riuscita.</w:t>
      </w:r>
    </w:p>
    <w:tbl>
      <w:tblPr>
        <w:tblW w:type="dxa" w:w="9360"/>
        <w:tblBorders>
          <w:top w:val="single" w:color="E5E5E5" w:sz="2"/>
          <w:left w:val="none"/>
          <w:bottom w:val="single" w:color="E5E5E5" w:sz="2"/>
          <w:right w:val="none"/>
          <w:insideH w:val="single" w:color="EEEEEE" w:sz="2"/>
          <w:insideV w:val="none"/>
        </w:tblBorders>
      </w:tblPr>
      <w:tblGrid>
        <w:gridCol w:w="1300"/>
        <w:gridCol w:w="3600"/>
        <w:gridCol w:w="2300"/>
        <w:gridCol w:w="2160"/>
      </w:tblGrid>
      <w:tr>
        <w:trPr>
          <w:tblHeader/>
        </w:trPr>
        <w:tc>
          <w:tcPr>
            <w:tcW w:type="dxa" w:w="1300"/>
            <w:shd w:fill="c8872f"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19"/>
                <w:szCs w:val="19"/>
              </w:rPr>
              <w:t xml:space="preserve">Fase</w:t>
            </w:r>
          </w:p>
        </w:tc>
        <w:tc>
          <w:tcPr>
            <w:tcW w:type="dxa" w:w="36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Contenuto</w:t>
            </w:r>
          </w:p>
        </w:tc>
        <w:tc>
          <w:tcPr>
            <w:tcW w:type="dxa" w:w="23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Durata</w:t>
            </w:r>
          </w:p>
        </w:tc>
        <w:tc>
          <w:tcPr>
            <w:tcW w:type="dxa" w:w="216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Impegno</w:t>
            </w:r>
          </w:p>
        </w:tc>
      </w:tr>
      <w:tr>
        <w:tc>
          <w:tcPr>
            <w:tcW w:type="dxa" w:w="13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0</w:t>
            </w:r>
          </w:p>
        </w:tc>
        <w:tc>
          <w:tcPr>
            <w:tcW w:type="dxa" w:w="36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Parere legale marocchino sull'assetto ammissione/società</w:t>
            </w:r>
          </w:p>
        </w:tc>
        <w:tc>
          <w:tcPr>
            <w:tcW w:type="dxa" w:w="23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2 mesi</w:t>
            </w:r>
          </w:p>
        </w:tc>
        <w:tc>
          <w:tcPr>
            <w:tcW w:type="dxa" w:w="21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15.000 €</w:t>
            </w:r>
          </w:p>
        </w:tc>
      </w:tr>
      <w:tr>
        <w:tc>
          <w:tcPr>
            <w:tcW w:type="dxa" w:w="1300"/>
            <w:shd w:fill="FAFAFA" w:color="auto" w:val="clear"/>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1</w:t>
            </w:r>
          </w:p>
        </w:tc>
        <w:tc>
          <w:tcPr>
            <w:tcW w:type="dxa" w:w="36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Dossier, immagini, modello di suite; ricerca dei 40 fondatori</w:t>
            </w:r>
          </w:p>
        </w:tc>
        <w:tc>
          <w:tcPr>
            <w:tcW w:type="dxa" w:w="23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12 mesi</w:t>
            </w:r>
          </w:p>
        </w:tc>
        <w:tc>
          <w:tcPr>
            <w:tcW w:type="dxa" w:w="216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120.000 €</w:t>
            </w:r>
          </w:p>
        </w:tc>
      </w:tr>
      <w:tr>
        <w:tc>
          <w:tcPr>
            <w:tcW w:type="dxa" w:w="13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2</w:t>
            </w:r>
          </w:p>
        </w:tc>
        <w:tc>
          <w:tcPr>
            <w:tcW w:type="dxa" w:w="36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Individuazione dell'immobile, diagnosi strutturale, compromesso</w:t>
            </w:r>
          </w:p>
        </w:tc>
        <w:tc>
          <w:tcPr>
            <w:tcW w:type="dxa" w:w="23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6 mesi</w:t>
            </w:r>
          </w:p>
        </w:tc>
        <w:tc>
          <w:tcPr>
            <w:tcW w:type="dxa" w:w="21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condizionato</w:t>
            </w:r>
          </w:p>
        </w:tc>
      </w:tr>
      <w:tr>
        <w:tc>
          <w:tcPr>
            <w:tcW w:type="dxa" w:w="1300"/>
            <w:shd w:fill="FAFAFA" w:color="auto" w:val="clear"/>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3</w:t>
            </w:r>
          </w:p>
        </w:tc>
        <w:tc>
          <w:tcPr>
            <w:tcW w:type="dxa" w:w="36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Rogito e apertura del cantiere</w:t>
            </w:r>
          </w:p>
        </w:tc>
        <w:tc>
          <w:tcPr>
            <w:tcW w:type="dxa" w:w="23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w:t>
            </w:r>
          </w:p>
        </w:tc>
        <w:tc>
          <w:tcPr>
            <w:tcW w:type="dxa" w:w="216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4,84 M€</w:t>
            </w:r>
          </w:p>
        </w:tc>
      </w:tr>
      <w:tr>
        <w:tc>
          <w:tcPr>
            <w:tcW w:type="dxa" w:w="1300"/>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4</w:t>
            </w:r>
          </w:p>
        </w:tc>
        <w:tc>
          <w:tcPr>
            <w:tcW w:type="dxa" w:w="36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Restauro</w:t>
            </w:r>
          </w:p>
        </w:tc>
        <w:tc>
          <w:tcPr>
            <w:tcW w:type="dxa" w:w="230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24–30 mesi</w:t>
            </w:r>
          </w:p>
        </w:tc>
        <w:tc>
          <w:tcPr>
            <w:tcW w:type="dxa" w:w="2160"/>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
            </w:r>
          </w:p>
        </w:tc>
      </w:tr>
      <w:tr>
        <w:tc>
          <w:tcPr>
            <w:tcW w:type="dxa" w:w="1300"/>
            <w:shd w:fill="FAFAFA" w:color="auto" w:val="clear"/>
            <w:tcMar>
              <w:top w:type="dxa" w:w="80"/>
              <w:left w:type="dxa" w:w="110"/>
              <w:bottom w:type="dxa" w:w="80"/>
              <w:right w:type="dxa" w:w="110"/>
            </w:tcMar>
          </w:tcPr>
          <w:p>
            <w:pPr>
              <w:spacing w:after="0" w:line="260"/>
              <w:jc w:val="left"/>
            </w:pPr>
            <w:r>
              <w:rPr>
                <w:rFonts w:ascii="Calibri" w:cs="Calibri" w:eastAsia="Calibri" w:hAnsi="Calibri"/>
                <w:color w:val="4a4a4a"/>
                <w:sz w:val="19"/>
                <w:szCs w:val="19"/>
              </w:rPr>
              <w:t xml:space="preserve">5</w:t>
            </w:r>
          </w:p>
        </w:tc>
        <w:tc>
          <w:tcPr>
            <w:tcW w:type="dxa" w:w="36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Apertura a base sociale già formata</w:t>
            </w:r>
          </w:p>
        </w:tc>
        <w:tc>
          <w:tcPr>
            <w:tcW w:type="dxa" w:w="230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w:t>
            </w:r>
          </w:p>
        </w:tc>
        <w:tc>
          <w:tcPr>
            <w:tcW w:type="dxa" w:w="2160"/>
            <w:shd w:fill="FAFAFA" w:color="auto" w:val="clear"/>
            <w:tcMar>
              <w:top w:type="dxa" w:w="80"/>
              <w:left w:type="dxa" w:w="110"/>
              <w:bottom w:type="dxa" w:w="80"/>
              <w:right w:type="dxa" w:w="110"/>
            </w:tcMar>
          </w:tcPr>
          <w:p>
            <w:pPr>
              <w:spacing w:after="0" w:line="260"/>
              <w:jc w:val="right"/>
            </w:pPr>
            <w:r>
              <w:rPr>
                <w:rFonts w:ascii="Calibri" w:cs="Calibri" w:eastAsia="Calibri" w:hAnsi="Calibri"/>
                <w:color w:val="4a4a4a"/>
                <w:sz w:val="19"/>
                <w:szCs w:val="19"/>
              </w:rPr>
              <w:t xml:space="preserve"/>
            </w:r>
          </w:p>
        </w:tc>
      </w:tr>
    </w:tbl>
    <w:p>
      <w:pPr>
        <w:spacing w:after="240"/>
      </w:pPr>
    </w:p>
    <w:p>
      <w:pPr>
        <w:spacing w:after="140" w:line="300"/>
      </w:pPr>
      <w:r>
        <w:rPr>
          <w:rFonts w:ascii="Calibri" w:cs="Calibri" w:eastAsia="Calibri" w:hAnsi="Calibri"/>
          <w:color w:val="4a4a4a"/>
          <w:sz w:val="21"/>
          <w:szCs w:val="21"/>
        </w:rPr>
        <w:t xml:space="preserve">La fase 1 costa centoventimila euro e un anno. È l'unico capitale realmente a rischio, e compra l'informazione che decide tutto il resto: se questi uomini esistono o no.</w:t>
      </w:r>
    </w:p>
    <w:p>
      <w:pPr>
        <w:pStyle w:val="Heading1"/>
        <w:spacing w:after="180" w:before="360"/>
      </w:pPr>
      <w:r>
        <w:rPr>
          <w:rFonts w:ascii="Calibri" w:cs="Calibri" w:eastAsia="Calibri" w:hAnsi="Calibri"/>
          <w:b/>
          <w:bCs/>
          <w:color w:val="c8872f"/>
          <w:sz w:val="30"/>
          <w:szCs w:val="30"/>
        </w:rPr>
        <w:t xml:space="preserve">11. Riferimenti</w:t>
      </w:r>
    </w:p>
    <w:p>
      <w:pPr>
        <w:pStyle w:val="ListParagraph"/>
        <w:numPr>
          <w:ilvl w:val="0"/>
          <w:numId w:val="1"/>
        </w:numPr>
        <w:spacing w:after="80" w:line="300"/>
      </w:pPr>
      <w:r>
        <w:rPr>
          <w:rFonts w:ascii="Calibri" w:cs="Calibri" w:eastAsia="Calibri" w:hAnsi="Calibri"/>
          <w:color w:val="4a4a4a"/>
          <w:sz w:val="21"/>
          <w:szCs w:val="21"/>
        </w:rPr>
        <w:t xml:space="preserve">Aman Club — quote di ammissione e annuali (Elite Traveler, « Inside Luxury Travel's Private Members' Club Boom »).</w:t>
      </w:r>
    </w:p>
    <w:p>
      <w:pPr>
        <w:pStyle w:val="ListParagraph"/>
        <w:numPr>
          <w:ilvl w:val="0"/>
          <w:numId w:val="1"/>
        </w:numPr>
        <w:spacing w:after="80" w:line="300"/>
      </w:pPr>
      <w:r>
        <w:rPr>
          <w:rFonts w:ascii="Calibri" w:cs="Calibri" w:eastAsia="Calibri" w:hAnsi="Calibri"/>
          <w:color w:val="4a4a4a"/>
          <w:sz w:val="21"/>
          <w:szCs w:val="21"/>
        </w:rPr>
        <w:t xml:space="preserve">Bohemian Club, Knickerbocker Club — quote 2026 (Private Club Marketing, « Private Club Membership Costs 2026 »).</w:t>
      </w:r>
    </w:p>
    <w:p>
      <w:pPr>
        <w:pStyle w:val="ListParagraph"/>
        <w:numPr>
          <w:ilvl w:val="0"/>
          <w:numId w:val="1"/>
        </w:numPr>
        <w:spacing w:after="80" w:line="300"/>
      </w:pPr>
      <w:r>
        <w:rPr>
          <w:rFonts w:ascii="Calibri" w:cs="Calibri" w:eastAsia="Calibri" w:hAnsi="Calibri"/>
          <w:color w:val="4a4a4a"/>
          <w:sz w:val="21"/>
          <w:szCs w:val="21"/>
        </w:rPr>
        <w:t xml:space="preserve">Royal Mansour Marrakech — tariffe per riad, 2026.</w:t>
      </w:r>
    </w:p>
    <w:p>
      <w:pPr>
        <w:pStyle w:val="ListParagraph"/>
        <w:numPr>
          <w:ilvl w:val="0"/>
          <w:numId w:val="1"/>
        </w:numPr>
        <w:spacing w:after="80" w:line="300"/>
      </w:pPr>
      <w:r>
        <w:rPr>
          <w:rFonts w:ascii="Calibri" w:cs="Calibri" w:eastAsia="Calibri" w:hAnsi="Calibri"/>
          <w:color w:val="4a4a4a"/>
          <w:sz w:val="21"/>
          <w:szCs w:val="21"/>
        </w:rPr>
        <w:t xml:space="preserve">Costi di restauro riad a Fès, 2026 — 12.000–20.000 MAD/m² per il restauro patrimoniale (Bricolat, « Rénovation riad Fès »).</w:t>
      </w:r>
    </w:p>
    <w:p>
      <w:pPr>
        <w:pStyle w:val="ListParagraph"/>
        <w:numPr>
          <w:ilvl w:val="0"/>
          <w:numId w:val="1"/>
        </w:numPr>
        <w:spacing w:after="80" w:line="300"/>
      </w:pPr>
      <w:r>
        <w:rPr>
          <w:rFonts w:ascii="Calibri" w:cs="Calibri" w:eastAsia="Calibri" w:hAnsi="Calibri"/>
          <w:color w:val="4a4a4a"/>
          <w:sz w:val="21"/>
          <w:szCs w:val="21"/>
        </w:rPr>
        <w:t xml:space="preserve">Prezzi immobiliari in medina di Fès — annunci correnti (Trovit, Mitula, PAP).</w:t>
      </w:r>
    </w:p>
    <w:p>
      <w:pPr>
        <w:spacing w:after="240"/>
      </w:pPr>
    </w:p>
    <w:p>
      <w:pPr>
        <w:spacing w:after="140" w:line="300"/>
      </w:pPr>
      <w:r>
        <w:rPr>
          <w:rFonts w:ascii="Calibri" w:cs="Calibri" w:eastAsia="Calibri" w:hAnsi="Calibri"/>
          <w:i/>
          <w:iCs/>
          <w:color w:val="4a4a4a"/>
          <w:sz w:val="19"/>
          <w:szCs w:val="19"/>
        </w:rPr>
        <w:t xml:space="preserve">Le voci di costo di esercizio (personale, ristorazione, manutenzione) sono stime costruite su rapporti standard dell'ospitalità di lusso applicati al livello salariale marocchino. Non derivano da un budget verificato e vanno riviste con un direttore d'esercizio prima di qualunque decisione.</w:t>
      </w:r>
    </w:p>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a4a4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2026-08-18T11:49:42.315Z</dcterms:created>
  <dcterms:modified xsi:type="dcterms:W3CDTF">2026-08-18T11:49:42.329Z</dcterms:modified>
</cp:coreProperties>
</file>

<file path=docProps/custom.xml><?xml version="1.0" encoding="utf-8"?>
<Properties xmlns="http://schemas.openxmlformats.org/officeDocument/2006/custom-properties" xmlns:vt="http://schemas.openxmlformats.org/officeDocument/2006/docPropsVTypes"/>
</file>