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val="false"/>
          <w:bCs w:val="false"/>
          <w:color w:val="c8872f"/>
          <w:spacing w:val="80"/>
          <w:sz w:val="58"/>
          <w:szCs w:val="58"/>
        </w:rPr>
        <w:t xml:space="preserve">AL-MUNYA</w:t>
      </w:r>
    </w:p>
    <w:p>
      <w:pPr>
        <w:spacing w:after="420"/>
        <w:jc w:val="center"/>
      </w:pPr>
      <w:r>
        <w:rPr>
          <w:rFonts w:ascii="Arial" w:cs="Arial" w:eastAsia="Arial" w:hAnsi="Arial"/>
          <w:color w:val="c8872f"/>
          <w:sz w:val="30"/>
          <w:szCs w:val="30"/>
        </w:rPr>
        <w:t xml:space="preserve">المنية</w:t>
      </w:r>
    </w:p>
    <w:p>
      <w:pPr>
        <w:spacing w:after="140" w:line="300"/>
        <w:jc w:val="center"/>
      </w:pPr>
      <w:r>
        <w:rPr>
          <w:rFonts w:ascii="Calibri" w:cs="Calibri" w:eastAsia="Calibri" w:hAnsi="Calibri"/>
          <w:color w:val="1f1f1f"/>
          <w:sz w:val="26"/>
          <w:szCs w:val="26"/>
        </w:rPr>
        <w:t xml:space="preserve">Dossier per l'investitore e per il mecenate</w:t>
      </w:r>
    </w:p>
    <w:p>
      <w:pPr>
        <w:spacing w:after="140" w:line="300"/>
        <w:jc w:val="center"/>
      </w:pPr>
      <w:r>
        <w:rPr>
          <w:rFonts w:ascii="Calibri" w:cs="Calibri" w:eastAsia="Calibri" w:hAnsi="Calibri"/>
          <w:color w:val="4a4a4a"/>
          <w:sz w:val="21"/>
          <w:szCs w:val="21"/>
        </w:rPr>
        <w:t xml:space="preserve">Una casa a numero chiuso, muro contro muro con il Riad al-Uns — Fès</w:t>
      </w:r>
    </w:p>
    <w:p>
      <w:pPr>
        <w:spacing w:after="600"/>
      </w:pPr>
    </w:p>
    <w:p>
      <w:pPr>
        <w:spacing w:after="140" w:line="300"/>
        <w:jc w:val="center"/>
      </w:pPr>
      <w:r>
        <w:rPr>
          <w:rFonts w:ascii="Calibri" w:cs="Calibri" w:eastAsia="Calibri" w:hAnsi="Calibri"/>
          <w:i/>
          <w:iCs/>
          <w:color w:val="4a4a4a"/>
          <w:sz w:val="18"/>
          <w:szCs w:val="18"/>
        </w:rPr>
        <w:t xml:space="preserve">Documento riservato · agosto 2026 · versione di lavoro</w:t>
      </w:r>
    </w:p>
    <w:p>
      <w:r>
        <w:br w:type="page"/>
      </w:r>
    </w:p>
    <w:p>
      <w:pPr>
        <w:pStyle w:val="Heading1"/>
        <w:spacing w:after="180" w:before="360"/>
      </w:pPr>
      <w:r>
        <w:rPr>
          <w:rFonts w:ascii="Calibri" w:cs="Calibri" w:eastAsia="Calibri" w:hAnsi="Calibri"/>
          <w:b/>
          <w:bCs/>
          <w:color w:val="c8872f"/>
          <w:sz w:val="30"/>
          <w:szCs w:val="30"/>
        </w:rPr>
        <w:t xml:space="preserve">1. Sintesi</w:t>
      </w:r>
    </w:p>
    <w:p>
      <w:pPr>
        <w:spacing w:after="140" w:line="300"/>
      </w:pPr>
      <w:r>
        <w:rPr>
          <w:rFonts w:ascii="Calibri" w:cs="Calibri" w:eastAsia="Calibri" w:hAnsi="Calibri"/>
          <w:b/>
          <w:bCs/>
          <w:color w:val="1f1f1f"/>
          <w:sz w:val="21"/>
          <w:szCs w:val="21"/>
        </w:rPr>
        <w:t xml:space="preserve">L'operazione. </w:t>
      </w:r>
      <w:r>
        <w:rPr>
          <w:rFonts w:ascii="Calibri" w:cs="Calibri" w:eastAsia="Calibri" w:hAnsi="Calibri"/>
          <w:color w:val="4a4a4a"/>
          <w:sz w:val="21"/>
          <w:szCs w:val="21"/>
        </w:rPr>
        <w:t xml:space="preserve">Restaurare una dimora di circa 900 m² nella medina di Fès, confinante con il Riad al-Uns, e aprirla come casa privata a numero chiuso: sei suite, mai più di otto ospiti alla volta, ammissione per sola cooptazione, solo uomini. In più, un appartamento d'onore che non viene mai affittato. Non un albergo — un club che possiede una casa.</w:t>
      </w:r>
    </w:p>
    <w:p>
      <w:pPr>
        <w:spacing w:after="140" w:line="300"/>
      </w:pPr>
      <w:r>
        <w:rPr>
          <w:rFonts w:ascii="Calibri" w:cs="Calibri" w:eastAsia="Calibri" w:hAnsi="Calibri"/>
          <w:b/>
          <w:bCs/>
          <w:color w:val="1f1f1f"/>
          <w:sz w:val="21"/>
          <w:szCs w:val="21"/>
        </w:rPr>
        <w:t xml:space="preserve">L'attivo. </w:t>
      </w:r>
      <w:r>
        <w:rPr>
          <w:rFonts w:ascii="Calibri" w:cs="Calibri" w:eastAsia="Calibri" w:hAnsi="Calibri"/>
          <w:color w:val="4a4a4a"/>
          <w:sz w:val="21"/>
          <w:szCs w:val="21"/>
        </w:rPr>
        <w:t xml:space="preserve">Dall'altra parte del muro c'è una comunità di giovani uomini che imparano lo zellīj, la calligrafia, la forgia, il cavallo e l'arco, e che esisterebbe identica se la Munya non ci fosse. Ogni operatore del lusso al mondo vende « incontri autentici con gli artigiani », costruiti e percepiti come tali. Qui non lo sono. Questa asimmetria non è replicabile con capitale: si può costruire un palazzo più bello in diciotto mesi, non la casa accanto.</w:t>
      </w:r>
    </w:p>
    <w:p>
      <w:pPr>
        <w:spacing w:after="140" w:line="300"/>
      </w:pPr>
      <w:r>
        <w:rPr>
          <w:rFonts w:ascii="Calibri" w:cs="Calibri" w:eastAsia="Calibri" w:hAnsi="Calibri"/>
          <w:b/>
          <w:bCs/>
          <w:color w:val="1f1f1f"/>
          <w:sz w:val="21"/>
          <w:szCs w:val="21"/>
        </w:rPr>
        <w:t xml:space="preserve">Il fabbisogno. </w:t>
      </w:r>
      <w:r>
        <w:rPr>
          <w:rFonts w:ascii="Calibri" w:cs="Calibri" w:eastAsia="Calibri" w:hAnsi="Calibri"/>
          <w:color w:val="4a4a4a"/>
          <w:sz w:val="21"/>
          <w:szCs w:val="21"/>
        </w:rPr>
        <w:t xml:space="preserve">5,29 M€ complessivi, di cui 1,00 M€ raccolti presso quaranta soci fondatori prima dell'acquisto, 2,49 M€ di capitale d'investimento e 1,80 M€ di debito.</w:t>
      </w:r>
    </w:p>
    <w:p>
      <w:pPr>
        <w:spacing w:after="140" w:line="300"/>
      </w:pPr>
      <w:r>
        <w:rPr>
          <w:rFonts w:ascii="Calibri" w:cs="Calibri" w:eastAsia="Calibri" w:hAnsi="Calibri"/>
          <w:b/>
          <w:bCs/>
          <w:color w:val="1f1f1f"/>
          <w:sz w:val="21"/>
          <w:szCs w:val="21"/>
        </w:rPr>
        <w:t xml:space="preserve">Il ritorno. </w:t>
      </w:r>
      <w:r>
        <w:rPr>
          <w:rFonts w:ascii="Calibri" w:cs="Calibri" w:eastAsia="Calibri" w:hAnsi="Calibri"/>
          <w:color w:val="4a4a4a"/>
          <w:sz w:val="21"/>
          <w:szCs w:val="21"/>
        </w:rPr>
        <w:t xml:space="preserve">Nello scenario di riferimento, margine operativo lordo di 1,26 M€ al quarto anno su 2,35 M€ di ricavi (44%), con ritorno del capitale complessivo nel corso del settimo anno, oltre alla rivalutazione di un immobile patrimoniale restaurato. Nello scenario prudente il margine scende a 0,16 M€ e l'operazione non remunera il capitale: la forbice fra i due scenari è la misura onesta del rischio.</w:t>
      </w:r>
    </w:p>
    <w:p>
      <w:pPr>
        <w:spacing w:after="140" w:line="300"/>
      </w:pPr>
      <w:r>
        <w:rPr>
          <w:rFonts w:ascii="Calibri" w:cs="Calibri" w:eastAsia="Calibri" w:hAnsi="Calibri"/>
          <w:b/>
          <w:bCs/>
          <w:color w:val="1f1f1f"/>
          <w:sz w:val="21"/>
          <w:szCs w:val="21"/>
        </w:rPr>
        <w:t xml:space="preserve">La condizione. </w:t>
      </w:r>
      <w:r>
        <w:rPr>
          <w:rFonts w:ascii="Calibri" w:cs="Calibri" w:eastAsia="Calibri" w:hAnsi="Calibri"/>
          <w:color w:val="4a4a4a"/>
          <w:sz w:val="21"/>
          <w:szCs w:val="21"/>
        </w:rPr>
        <w:t xml:space="preserve">Non si costruisce e poi si vende: si vende, e poi si costruisce. La proprietà confinante va bloccata subito con un'opzione, non comprata; la tranche fondatrice va raccolta prima di esercitarla. Se in dodici mesi non si arriva a quaranta uomini, si perde l'acconto sull'opzione e nient'altro.</w:t>
      </w:r>
    </w:p>
    <w:p>
      <w:pPr>
        <w:pBdr>
          <w:bottom w:val="single" w:color="DDDDDD" w:sz="6"/>
        </w:pBdr>
        <w:spacing w:after="200"/>
      </w:pPr>
    </w:p>
    <w:p>
      <w:pPr>
        <w:spacing w:after="140" w:line="300"/>
      </w:pPr>
      <w:r>
        <w:rPr>
          <w:rFonts w:ascii="Calibri" w:cs="Calibri" w:eastAsia="Calibri" w:hAnsi="Calibri"/>
          <w:i/>
          <w:iCs/>
          <w:color w:val="4a4a4a"/>
          <w:sz w:val="19"/>
          <w:szCs w:val="19"/>
        </w:rPr>
        <w:t xml:space="preserve">Tutte le cifre di questo documento sono ipotesi di lavoro costruite su riferimenti pubblici di mercato (v. §10). Nessuna deriva da un preventivo firmato, da una perizia o da un immobile individuato. Vanno verificate prima di qualunque impegno.</w:t>
      </w:r>
    </w:p>
    <w:p>
      <w:pPr>
        <w:pStyle w:val="Heading1"/>
        <w:spacing w:after="180" w:before="360"/>
      </w:pPr>
      <w:r>
        <w:rPr>
          <w:rFonts w:ascii="Calibri" w:cs="Calibri" w:eastAsia="Calibri" w:hAnsi="Calibri"/>
          <w:b/>
          <w:bCs/>
          <w:color w:val="c8872f"/>
          <w:sz w:val="30"/>
          <w:szCs w:val="30"/>
        </w:rPr>
        <w:t xml:space="preserve">2. Il modello: un club, non un albergo</w:t>
      </w:r>
    </w:p>
    <w:p>
      <w:pPr>
        <w:spacing w:after="140" w:line="300"/>
      </w:pPr>
      <w:r>
        <w:rPr>
          <w:rFonts w:ascii="Calibri" w:cs="Calibri" w:eastAsia="Calibri" w:hAnsi="Calibri"/>
          <w:color w:val="4a4a4a"/>
          <w:sz w:val="21"/>
          <w:szCs w:val="21"/>
        </w:rPr>
        <w:t xml:space="preserve">La forma commerciale è quella del club a membri con casa propria. Ha tre conseguenze economiche che spiegano l'intero conto economico:</w:t>
      </w:r>
    </w:p>
    <w:p>
      <w:pPr>
        <w:pStyle w:val="ListParagraph"/>
        <w:numPr>
          <w:ilvl w:val="0"/>
          <w:numId w:val="1"/>
        </w:numPr>
        <w:spacing w:after="80" w:line="300"/>
      </w:pPr>
      <w:r>
        <w:rPr>
          <w:rFonts w:ascii="Calibri" w:cs="Calibri" w:eastAsia="Calibri" w:hAnsi="Calibri"/>
          <w:color w:val="4a4a4a"/>
          <w:sz w:val="21"/>
          <w:szCs w:val="21"/>
        </w:rPr>
        <w:t xml:space="preserve">Ricavo ricorrente. Le quote annuali sono incassate a prescindere dall'occupazione e hanno costo marginale quasi nullo. Nello scenario di riferimento valgono 0,90 M€ l'anno — il 37% dei ricavi — e da sole coprono i due terzi dei costi fissi.</w:t>
      </w:r>
    </w:p>
    <w:p>
      <w:pPr>
        <w:pStyle w:val="ListParagraph"/>
        <w:numPr>
          <w:ilvl w:val="0"/>
          <w:numId w:val="1"/>
        </w:numPr>
        <w:spacing w:after="80" w:line="300"/>
      </w:pPr>
      <w:r>
        <w:rPr>
          <w:rFonts w:ascii="Calibri" w:cs="Calibri" w:eastAsia="Calibri" w:hAnsi="Calibri"/>
          <w:color w:val="4a4a4a"/>
          <w:sz w:val="21"/>
          <w:szCs w:val="21"/>
        </w:rPr>
        <w:t xml:space="preserve">Occupazione bassa per costruzione. Il modello non ha bisogno di riempire: al 45% di occupazione è già ampiamente redditizio. Questo elimina il rischio strutturale dell'albergo di lusso, che è la stagionalità.</w:t>
      </w:r>
    </w:p>
    <w:p>
      <w:pPr>
        <w:pStyle w:val="ListParagraph"/>
        <w:numPr>
          <w:ilvl w:val="0"/>
          <w:numId w:val="1"/>
        </w:numPr>
        <w:spacing w:after="80" w:line="300"/>
      </w:pPr>
      <w:r>
        <w:rPr>
          <w:rFonts w:ascii="Calibri" w:cs="Calibri" w:eastAsia="Calibri" w:hAnsi="Calibri"/>
          <w:color w:val="4a4a4a"/>
          <w:sz w:val="21"/>
          <w:szCs w:val="21"/>
        </w:rPr>
        <w:t xml:space="preserve">Costo di acquisizione del cliente prossimo allo zero. Nessuna commissione di intermediazione, nessuna pubblicità, nessun portale. L'ammissione avviene per cooptazione fra soci.</w:t>
      </w:r>
    </w:p>
    <w:p>
      <w:pPr>
        <w:spacing w:after="140" w:line="300"/>
      </w:pPr>
      <w:r>
        <w:rPr>
          <w:rFonts w:ascii="Calibri" w:cs="Calibri" w:eastAsia="Calibri" w:hAnsi="Calibri"/>
          <w:color w:val="4a4a4a"/>
          <w:sz w:val="21"/>
          <w:szCs w:val="21"/>
        </w:rPr>
        <w:t xml:space="preserve">Il rovescio è che tutto il rischio si concentra in un punto solo: la formazione della base sociale. È trattato al §9.</w:t>
      </w:r>
    </w:p>
    <w:p>
      <w:pPr>
        <w:pStyle w:val="Heading2"/>
        <w:spacing w:after="120" w:before="260"/>
      </w:pPr>
      <w:r>
        <w:rPr>
          <w:rFonts w:ascii="Calibri" w:cs="Calibri" w:eastAsia="Calibri" w:hAnsi="Calibri"/>
          <w:b/>
          <w:bCs/>
          <w:color w:val="1f1f1f"/>
          <w:sz w:val="23"/>
          <w:szCs w:val="23"/>
        </w:rPr>
        <w:t xml:space="preserve">Riferimenti di mercato</w:t>
      </w:r>
    </w:p>
    <w:p>
      <w:pPr>
        <w:spacing w:after="140" w:line="300"/>
      </w:pPr>
      <w:r>
        <w:rPr>
          <w:rFonts w:ascii="Calibri" w:cs="Calibri" w:eastAsia="Calibri" w:hAnsi="Calibri"/>
          <w:color w:val="4a4a4a"/>
          <w:sz w:val="21"/>
          <w:szCs w:val="21"/>
        </w:rPr>
        <w:t xml:space="preserve">Aman Club: 200.000 $ di ingresso, 20.000 $ di quota annuale, per una rete internazionale. Bohemian Club: circa 25.000 $ di ingresso, 3.000–5.000 $ l'anno. Royal Mansour Marrakech: 1.500–2.000 $ a notte per un riad a una camera, sola sistemazione. Il posizionamento proposto — 40.000 € di ingresso, 9.000 € l'anno, 1.600 € a notte tutto compreso — sta sotto il riferimento Aman di un ordine di grandezza e sopra il club sociale urbano, che è la collocazione corretta per una casa unica.</w:t>
      </w:r>
    </w:p>
    <w:p>
      <w:pPr>
        <w:pStyle w:val="Heading2"/>
        <w:spacing w:after="120" w:before="260"/>
      </w:pPr>
      <w:r>
        <w:rPr>
          <w:rFonts w:ascii="Calibri" w:cs="Calibri" w:eastAsia="Calibri" w:hAnsi="Calibri"/>
          <w:b/>
          <w:bCs/>
          <w:color w:val="1f1f1f"/>
          <w:sz w:val="23"/>
          <w:szCs w:val="23"/>
        </w:rPr>
        <w:t xml:space="preserve">Tariffe e quote proposte</w:t>
      </w:r>
    </w:p>
    <w:tbl>
      <w:tblPr>
        <w:tblW w:type="dxa" w:w="9360"/>
        <w:tblBorders>
          <w:top w:val="single" w:color="E5E5E5" w:sz="2"/>
          <w:left w:val="none"/>
          <w:bottom w:val="single" w:color="E5E5E5" w:sz="2"/>
          <w:right w:val="none"/>
          <w:insideH w:val="single" w:color="EEEEEE" w:sz="2"/>
          <w:insideV w:val="none"/>
        </w:tblBorders>
      </w:tblPr>
      <w:tblGrid>
        <w:gridCol w:w="3400"/>
        <w:gridCol w:w="2400"/>
        <w:gridCol w:w="3560"/>
      </w:tblGrid>
      <w:tr>
        <w:trPr>
          <w:tblHeader/>
        </w:trPr>
        <w:tc>
          <w:tcPr>
            <w:tcW w:type="dxa" w:w="34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Voce</w:t>
            </w:r>
          </w:p>
        </w:tc>
        <w:tc>
          <w:tcPr>
            <w:tcW w:type="dxa" w:w="24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35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Nota</w:t>
            </w:r>
          </w:p>
        </w:tc>
      </w:tr>
      <w:t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Diritto d'ammissione — soci fondatori</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25.000 €</w:t>
            </w:r>
          </w:p>
        </w:tc>
        <w:tc>
          <w:tcPr>
            <w:tcW w:type="dxa" w:w="35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Una tantum, 40 posti, prima dei lavori</w:t>
            </w:r>
          </w:p>
        </w:tc>
      </w:tr>
      <w:tr>
        <w:tc>
          <w:tcPr>
            <w:tcW w:type="dxa" w:w="34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Diritto d'ammissione — ordinario</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40.000 €</w:t>
            </w:r>
          </w:p>
        </w:tc>
        <w:tc>
          <w:tcPr>
            <w:tcW w:type="dxa" w:w="35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Una tantum, dopo l'apertura</w:t>
            </w:r>
          </w:p>
        </w:tc>
      </w:tr>
      <w:t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Quota annuale</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9.000 €</w:t>
            </w:r>
          </w:p>
        </w:tc>
        <w:tc>
          <w:tcPr>
            <w:tcW w:type="dxa" w:w="35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Comprende 3 notti</w:t>
            </w:r>
          </w:p>
        </w:tc>
      </w:tr>
      <w:tr>
        <w:tc>
          <w:tcPr>
            <w:tcW w:type="dxa" w:w="34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Notte in suite</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1.600 €</w:t>
            </w:r>
          </w:p>
        </w:tc>
        <w:tc>
          <w:tcPr>
            <w:tcW w:type="dxa" w:w="35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Pensione completa, hammam, personale</w:t>
            </w:r>
          </w:p>
        </w:tc>
      </w:tr>
      <w:t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Uso esclusivo della casa</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7.500 €</w:t>
            </w:r>
          </w:p>
        </w:tc>
        <w:tc>
          <w:tcPr>
            <w:tcW w:type="dxa" w:w="35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 notte, sei suite, minimo 3 notti</w:t>
            </w:r>
          </w:p>
        </w:tc>
      </w:tr>
      <w:tr>
        <w:tc>
          <w:tcPr>
            <w:tcW w:type="dxa" w:w="34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Ospite non socio</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+800 €</w:t>
            </w:r>
          </w:p>
        </w:tc>
        <w:tc>
          <w:tcPr>
            <w:tcW w:type="dxa" w:w="35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 notte, massimo 3 per soggiorno</w:t>
            </w:r>
          </w:p>
        </w:tc>
      </w:tr>
    </w:tbl>
    <w:p>
      <w:pPr>
        <w:spacing w:after="200"/>
      </w:pPr>
    </w:p>
    <w:p>
      <w:pPr>
        <w:spacing w:after="140" w:line="300"/>
      </w:pPr>
      <w:r>
        <w:rPr>
          <w:rFonts w:ascii="Calibri" w:cs="Calibri" w:eastAsia="Calibri" w:hAnsi="Calibri"/>
          <w:i/>
          <w:iCs/>
          <w:color w:val="4a4a4a"/>
          <w:sz w:val="19"/>
          <w:szCs w:val="19"/>
        </w:rPr>
        <w:t xml:space="preserve">Nessun listino è pubblicato. Le tariffe sono comunicate al candidato durante il colloquio di ammissione.</w:t>
      </w:r>
    </w:p>
    <w:p>
      <w:r>
        <w:br w:type="page"/>
      </w:r>
    </w:p>
    <w:p>
      <w:pPr>
        <w:pStyle w:val="Heading1"/>
        <w:spacing w:after="180" w:before="360"/>
      </w:pPr>
      <w:r>
        <w:rPr>
          <w:rFonts w:ascii="Calibri" w:cs="Calibri" w:eastAsia="Calibri" w:hAnsi="Calibri"/>
          <w:b/>
          <w:bCs/>
          <w:color w:val="c8872f"/>
          <w:sz w:val="30"/>
          <w:szCs w:val="30"/>
        </w:rPr>
        <w:t xml:space="preserve">3. Investimento</w:t>
      </w:r>
    </w:p>
    <w:tbl>
      <w:tblPr>
        <w:tblW w:type="dxa" w:w="9360"/>
        <w:tblBorders>
          <w:top w:val="single" w:color="E5E5E5" w:sz="2"/>
          <w:left w:val="none"/>
          <w:bottom w:val="single" w:color="E5E5E5" w:sz="2"/>
          <w:right w:val="none"/>
          <w:insideH w:val="single" w:color="EEEEEE" w:sz="2"/>
          <w:insideV w:val="none"/>
        </w:tblBorders>
      </w:tblPr>
      <w:tblGrid>
        <w:gridCol w:w="5600"/>
        <w:gridCol w:w="1900"/>
        <w:gridCol w:w="1860"/>
      </w:tblGrid>
      <w:tr>
        <w:trPr>
          <w:tblHeader/>
        </w:trPr>
        <w:tc>
          <w:tcPr>
            <w:tcW w:type="dxa" w:w="56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Voce</w:t>
            </w:r>
          </w:p>
        </w:tc>
        <w:tc>
          <w:tcPr>
            <w:tcW w:type="dxa" w:w="19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18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w:t>
            </w:r>
          </w:p>
        </w:tc>
      </w:tr>
      <w:tr>
        <w:tc>
          <w:tcPr>
            <w:tcW w:type="dxa" w:w="56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Acquisizione della dimora confinante (~900 m², medina di Fès)</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950.000 €</w:t>
            </w:r>
          </w:p>
        </w:tc>
        <w:tc>
          <w:tcPr>
            <w:tcW w:type="dxa" w:w="1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w:t>
            </w:r>
          </w:p>
        </w:tc>
      </w:tr>
      <w:tr>
        <w:tc>
          <w:tcPr>
            <w:tcW w:type="dxa" w:w="56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Restauro patrimoniale di alta gamma (2.100 €/m²)</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1.890.000 €</w:t>
            </w:r>
          </w:p>
        </w:tc>
        <w:tc>
          <w:tcPr>
            <w:tcW w:type="dxa" w:w="1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36%</w:t>
            </w:r>
          </w:p>
        </w:tc>
      </w:tr>
      <w:tr>
        <w:tc>
          <w:tcPr>
            <w:tcW w:type="dxa" w:w="56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Appartamento d'onore: ingresso, patio e circolazione separati</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320.000 €</w:t>
            </w:r>
          </w:p>
        </w:tc>
        <w:tc>
          <w:tcPr>
            <w:tcW w:type="dxa" w:w="1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w:t>
            </w:r>
          </w:p>
        </w:tc>
      </w:tr>
      <w:tr>
        <w:tc>
          <w:tcPr>
            <w:tcW w:type="dxa" w:w="56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Trattamento acustico e strutturale del muro comune</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90.000 €</w:t>
            </w:r>
          </w:p>
        </w:tc>
        <w:tc>
          <w:tcPr>
            <w:tcW w:type="dxa" w:w="1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w:t>
            </w:r>
          </w:p>
        </w:tc>
      </w:tr>
      <w:tr>
        <w:tc>
          <w:tcPr>
            <w:tcW w:type="dxa" w:w="56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Impianti tecnici (clima, acqua, cucina, sicurezza)</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380.000 €</w:t>
            </w:r>
          </w:p>
        </w:tc>
        <w:tc>
          <w:tcPr>
            <w:tcW w:type="dxa" w:w="1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w:t>
            </w:r>
          </w:p>
        </w:tc>
      </w:tr>
      <w:tr>
        <w:tc>
          <w:tcPr>
            <w:tcW w:type="dxa" w:w="56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Arredo, tessili, biblioteca, opere</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420.000 €</w:t>
            </w:r>
          </w:p>
        </w:tc>
        <w:tc>
          <w:tcPr>
            <w:tcW w:type="dxa" w:w="1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w:t>
            </w:r>
          </w:p>
        </w:tc>
      </w:tr>
      <w:tr>
        <w:tc>
          <w:tcPr>
            <w:tcW w:type="dxa" w:w="56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Scuderia, giardino, terreno annesso</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240.000 €</w:t>
            </w:r>
          </w:p>
        </w:tc>
        <w:tc>
          <w:tcPr>
            <w:tcW w:type="dxa" w:w="1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w:t>
            </w:r>
          </w:p>
        </w:tc>
      </w:tr>
      <w:tr>
        <w:tc>
          <w:tcPr>
            <w:tcW w:type="dxa" w:w="56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Studi, licenze, legale, societario</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180.000 €</w:t>
            </w:r>
          </w:p>
        </w:tc>
        <w:tc>
          <w:tcPr>
            <w:tcW w:type="dxa" w:w="1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w:t>
            </w:r>
          </w:p>
        </w:tc>
      </w:tr>
      <w:tr>
        <w:tc>
          <w:tcPr>
            <w:tcW w:type="dxa" w:w="56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Pre-apertura, formazione del personale, circolante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340.000 €</w:t>
            </w:r>
          </w:p>
        </w:tc>
        <w:tc>
          <w:tcPr>
            <w:tcW w:type="dxa" w:w="1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w:t>
            </w:r>
          </w:p>
        </w:tc>
      </w:tr>
      <w:tr>
        <w:tc>
          <w:tcPr>
            <w:tcW w:type="dxa" w:w="56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Imprevisti (10%)</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481.000 €</w:t>
            </w:r>
          </w:p>
        </w:tc>
        <w:tc>
          <w:tcPr>
            <w:tcW w:type="dxa" w:w="1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w:t>
            </w:r>
          </w:p>
        </w:tc>
      </w:tr>
      <w:tr>
        <w:tc>
          <w:tcPr>
            <w:tcW w:type="dxa" w:w="56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TOTALE</w:t>
            </w:r>
          </w:p>
        </w:tc>
        <w:tc>
          <w:tcPr>
            <w:tcW w:type="dxa" w:w="19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5.291.000 €</w:t>
            </w:r>
          </w:p>
        </w:tc>
        <w:tc>
          <w:tcPr>
            <w:tcW w:type="dxa" w:w="18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100%</w:t>
            </w:r>
          </w:p>
        </w:tc>
      </w:tr>
    </w:tbl>
    <w:p>
      <w:pPr>
        <w:spacing w:after="220"/>
      </w:pPr>
    </w:p>
    <w:p>
      <w:pPr>
        <w:spacing w:after="140" w:line="300"/>
      </w:pPr>
      <w:r>
        <w:rPr>
          <w:rFonts w:ascii="Calibri" w:cs="Calibri" w:eastAsia="Calibri" w:hAnsi="Calibri"/>
          <w:color w:val="4a4a4a"/>
          <w:sz w:val="21"/>
          <w:szCs w:val="21"/>
        </w:rPr>
        <w:t xml:space="preserve">Il costo di restauro assunto — 2.100 €/m², pari a circa 22.500 MAD/m² — si colloca appena sopra la fascia alta indicata dagli operatori di Fès per il restauro patrimoniale (12.000–20.000 MAD/m²), come è corretto per un livello di finiture artigianali integrale. È la voce più esposta a scostamento: in medina i dissesti strutturali e l'umidità si scoprono a cantiere aperto. La riserva del 10% è un minimo, non un margine di sicurezza.</w:t>
      </w:r>
    </w:p>
    <w:p>
      <w:pPr>
        <w:pStyle w:val="Heading2"/>
        <w:spacing w:after="120" w:before="260"/>
      </w:pPr>
      <w:r>
        <w:rPr>
          <w:rFonts w:ascii="Calibri" w:cs="Calibri" w:eastAsia="Calibri" w:hAnsi="Calibri"/>
          <w:b/>
          <w:bCs/>
          <w:color w:val="1f1f1f"/>
          <w:sz w:val="23"/>
          <w:szCs w:val="23"/>
        </w:rPr>
        <w:t xml:space="preserve">Le due voci che nascono dalla contiguità</w:t>
      </w:r>
    </w:p>
    <w:p>
      <w:pPr>
        <w:spacing w:after="140" w:line="300"/>
      </w:pPr>
      <w:r>
        <w:rPr>
          <w:rFonts w:ascii="Calibri" w:cs="Calibri" w:eastAsia="Calibri" w:hAnsi="Calibri"/>
          <w:color w:val="4a4a4a"/>
          <w:sz w:val="21"/>
          <w:szCs w:val="21"/>
        </w:rPr>
        <w:t xml:space="preserve">L'appartamento d'onore (320.000 €) è un'ala autonoma con ingresso proprio sulla strada, patio, cucina e servizio propri, isolabile dal resto della casa in un'ora, capace di ricevere un seguito e un dispositivo di sicurezza senza che questi attraversino il club. Non viene mai affittato e non produce ricavo diretto: è trattato al §7.</w:t>
      </w:r>
    </w:p>
    <w:p>
      <w:pPr>
        <w:spacing w:after="140" w:line="300"/>
      </w:pPr>
      <w:r>
        <w:rPr>
          <w:rFonts w:ascii="Calibri" w:cs="Calibri" w:eastAsia="Calibri" w:hAnsi="Calibri"/>
          <w:color w:val="4a4a4a"/>
          <w:sz w:val="21"/>
          <w:szCs w:val="21"/>
        </w:rPr>
        <w:t xml:space="preserve">Il trattamento acustico del muro comune (90.000 €) è progettato in un senso solo: dal riad non si deve sentire nulla della Munya. Il contrario non è cercato — che l'ospite senta attraverso il muro una casa che si alza prima dell'alba è esattamente ciò per cui è venuto.</w:t>
      </w:r>
    </w:p>
    <w:p>
      <w:pPr>
        <w:pStyle w:val="Heading2"/>
        <w:spacing w:after="120" w:before="260"/>
      </w:pPr>
      <w:r>
        <w:rPr>
          <w:rFonts w:ascii="Calibri" w:cs="Calibri" w:eastAsia="Calibri" w:hAnsi="Calibri"/>
          <w:b/>
          <w:bCs/>
          <w:color w:val="1f1f1f"/>
          <w:sz w:val="23"/>
          <w:szCs w:val="23"/>
        </w:rPr>
        <w:t xml:space="preserve">Una commessa che torna alla casa accanto</w:t>
      </w:r>
    </w:p>
    <w:p>
      <w:pPr>
        <w:spacing w:after="140" w:line="300"/>
      </w:pPr>
      <w:r>
        <w:rPr>
          <w:rFonts w:ascii="Calibri" w:cs="Calibri" w:eastAsia="Calibri" w:hAnsi="Calibri"/>
          <w:color w:val="4a4a4a"/>
          <w:sz w:val="21"/>
          <w:szCs w:val="21"/>
        </w:rPr>
        <w:t xml:space="preserve">Circa 350.000 € del restauro — zellīj, gesso, legno, ferro battuto, cuoio — sono commissionati alle botteghe di Dar al-Hiraf a prezzo di mercato. Due effetti: le botteghe hanno un committente reale prima ancora di avere un mercato, e l'ospite dorme letteralmente dentro il lavoro della comunità che ha dall'altra parte del muro. Non è un dettaglio narrativo: è la prova di qualità su cui l'intero posizionamento si regge.</w:t>
      </w:r>
    </w:p>
    <w:p>
      <w:pPr>
        <w:pStyle w:val="Heading1"/>
        <w:spacing w:after="180" w:before="360"/>
      </w:pPr>
      <w:r>
        <w:rPr>
          <w:rFonts w:ascii="Calibri" w:cs="Calibri" w:eastAsia="Calibri" w:hAnsi="Calibri"/>
          <w:b/>
          <w:bCs/>
          <w:color w:val="c8872f"/>
          <w:sz w:val="30"/>
          <w:szCs w:val="30"/>
        </w:rPr>
        <w:t xml:space="preserve">4. Conto economico a regime — tre scenari</w:t>
      </w:r>
    </w:p>
    <w:p>
      <w:pPr>
        <w:spacing w:after="140" w:line="300"/>
      </w:pPr>
      <w:r>
        <w:rPr>
          <w:rFonts w:ascii="Calibri" w:cs="Calibri" w:eastAsia="Calibri" w:hAnsi="Calibri"/>
          <w:color w:val="4a4a4a"/>
          <w:sz w:val="21"/>
          <w:szCs w:val="21"/>
        </w:rPr>
        <w:t xml:space="preserve">Sei suite, 285 notti commercializzabili l'anno — trecento meno una media di quindici notti di chiusura per ospite d'onore (§7) — pari a 1.710 notti-suite disponibili.</w:t>
      </w:r>
    </w:p>
    <w:tbl>
      <w:tblPr>
        <w:tblW w:type="dxa" w:w="9360"/>
        <w:tblBorders>
          <w:top w:val="single" w:color="E5E5E5" w:sz="2"/>
          <w:left w:val="none"/>
          <w:bottom w:val="single" w:color="E5E5E5" w:sz="2"/>
          <w:right w:val="none"/>
          <w:insideH w:val="single" w:color="EEEEEE" w:sz="2"/>
          <w:insideV w:val="none"/>
        </w:tblBorders>
      </w:tblPr>
      <w:tblGrid>
        <w:gridCol w:w="3960"/>
        <w:gridCol w:w="1800"/>
        <w:gridCol w:w="1800"/>
        <w:gridCol w:w="1800"/>
      </w:tblGrid>
      <w:tr>
        <w:trPr>
          <w:tblHeader/>
        </w:trPr>
        <w:tc>
          <w:tcPr>
            <w:tcW w:type="dxa" w:w="396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Prudente</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Base</w:t>
            </w:r>
          </w:p>
        </w:tc>
        <w:tc>
          <w:tcPr>
            <w:tcW w:type="dxa" w:w="18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Alto</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Soci</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Quota annuale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8.000 €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Occupazione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32%</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45%</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55%</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Tariffa media a notte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1.400 €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1.600 €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Notti-suite vendute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547</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770</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941</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Ricavi da soggiorno</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766.000 €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1.231.000 €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1.787.000 €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Ricavi accessori</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115.000 €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222.000 €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393.000 €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Quote associative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560.000 €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900.000 €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RICAVI TOTALI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1.441.000 €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2.353.000 €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3.380.000 €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Personale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445.000 €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445.000 €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445.000 €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Ristorazione e consumi</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144.000 €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195.000 €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257.000 €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Esercizio, manutenzione, scuderia</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190.000 €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Custodia e sicurezza dell'ala d'onore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60.000 €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Corrispettivo d'accesso al Riad</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150.000 €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150.000 €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150.000 €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Relazioni e vita sociale</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120.000 €</w:t>
            </w:r>
          </w:p>
        </w:tc>
      </w:tr>
      <w:tr>
        <w:tc>
          <w:tcPr>
            <w:tcW w:type="dxa" w:w="396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Amministrazione, assicurazioni, revisione</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c>
          <w:tcPr>
            <w:tcW w:type="dxa" w:w="18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130.000 €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Imposte locali</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40.000 €</w:t>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40.000 €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COSTI TOTALI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1.279.000 €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1.330.000 €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1.392.000 €</w:t>
            </w:r>
          </w:p>
        </w:tc>
      </w:tr>
      <w:tr>
        <w:tc>
          <w:tcPr>
            <w:tcW w:type="dxa" w:w="396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c>
          <w:tcPr>
            <w:tcW w:type="dxa" w:w="18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MARGINE OPERATIVO LORDO</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162.000 €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1.022.000 €</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1.989.000 €</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Margine sui ricavi</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11%</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44%</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59%</w:t>
            </w:r>
          </w:p>
        </w:tc>
      </w:tr>
      <w:tr>
        <w:tc>
          <w:tcPr>
            <w:tcW w:type="dxa" w:w="396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Ritorno annuo sul capex</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3,1%</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19,3%</w:t>
            </w:r>
          </w:p>
        </w:tc>
        <w:tc>
          <w:tcPr>
            <w:tcW w:type="dxa" w:w="18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37,6%</w:t>
            </w:r>
          </w:p>
        </w:tc>
      </w:tr>
    </w:tbl>
    <w:p>
      <w:pPr>
        <w:spacing w:after="220"/>
      </w:pPr>
    </w:p>
    <w:p>
      <w:pPr>
        <w:spacing w:after="140" w:line="300"/>
      </w:pPr>
      <w:r>
        <w:rPr>
          <w:rFonts w:ascii="Calibri" w:cs="Calibri" w:eastAsia="Calibri" w:hAnsi="Calibri"/>
          <w:color w:val="4a4a4a"/>
          <w:sz w:val="21"/>
          <w:szCs w:val="21"/>
        </w:rPr>
        <w:t xml:space="preserve">La forbice va letta come la vera struttura del rischio. Fra prudente e base non cambia la qualità della casa, il servizio o la gestione: cambia solo il numero di uomini che hanno detto di sì. Trenta soci in più e tredici punti di occupazione trasformano un'operazione che non remunera il capitale in una che rende quasi il 20% l'anno. Nessuna leva gestionale ha un effetto paragonabile.</w:t>
      </w:r>
    </w:p>
    <w:p>
      <w:r>
        <w:br w:type="page"/>
      </w:r>
    </w:p>
    <w:p>
      <w:pPr>
        <w:pStyle w:val="Heading1"/>
        <w:spacing w:after="180" w:before="360"/>
      </w:pPr>
      <w:r>
        <w:rPr>
          <w:rFonts w:ascii="Calibri" w:cs="Calibri" w:eastAsia="Calibri" w:hAnsi="Calibri"/>
          <w:b/>
          <w:bCs/>
          <w:color w:val="c8872f"/>
          <w:sz w:val="30"/>
          <w:szCs w:val="30"/>
        </w:rPr>
        <w:t xml:space="preserve">5. Primi sette anni — scenario di riferimento</w:t>
      </w:r>
    </w:p>
    <w:tbl>
      <w:tblPr>
        <w:tblW w:type="dxa" w:w="9360"/>
        <w:tblBorders>
          <w:top w:val="single" w:color="E5E5E5" w:sz="2"/>
          <w:left w:val="none"/>
          <w:bottom w:val="single" w:color="E5E5E5" w:sz="2"/>
          <w:right w:val="none"/>
          <w:insideH w:val="single" w:color="EEEEEE" w:sz="2"/>
          <w:insideV w:val="none"/>
        </w:tblBorders>
      </w:tblPr>
      <w:tblGrid>
        <w:gridCol w:w="1000"/>
        <w:gridCol w:w="1100"/>
        <w:gridCol w:w="1100"/>
        <w:gridCol w:w="1900"/>
        <w:gridCol w:w="1500"/>
        <w:gridCol w:w="1400"/>
        <w:gridCol w:w="1360"/>
      </w:tblGrid>
      <w:tr>
        <w:trPr>
          <w:tblHeader/>
        </w:trPr>
        <w:tc>
          <w:tcPr>
            <w:tcW w:type="dxa" w:w="10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Anno</w:t>
            </w:r>
          </w:p>
        </w:tc>
        <w:tc>
          <w:tcPr>
            <w:tcW w:type="dxa" w:w="11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Soci</w:t>
            </w:r>
          </w:p>
        </w:tc>
        <w:tc>
          <w:tcPr>
            <w:tcW w:type="dxa" w:w="11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Occ.</w:t>
            </w:r>
          </w:p>
        </w:tc>
        <w:tc>
          <w:tcPr>
            <w:tcW w:type="dxa" w:w="19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Ricavi</w:t>
            </w:r>
          </w:p>
        </w:tc>
        <w:tc>
          <w:tcPr>
            <w:tcW w:type="dxa" w:w="15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Diritti</w:t>
            </w:r>
          </w:p>
        </w:tc>
        <w:tc>
          <w:tcPr>
            <w:tcW w:type="dxa" w:w="14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MOL</w:t>
            </w:r>
          </w:p>
        </w:tc>
        <w:tc>
          <w:tcPr>
            <w:tcW w:type="dxa" w:w="13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Cumulato</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1</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20%</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1.006.000 €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1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-249.000 €</w:t>
            </w:r>
          </w:p>
        </w:tc>
        <w:tc>
          <w:tcPr>
            <w:tcW w:type="dxa" w:w="13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-249.000 €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2</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65</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32%</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1.618.000 €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1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327.000 €</w:t>
            </w:r>
          </w:p>
        </w:tc>
        <w:tc>
          <w:tcPr>
            <w:tcW w:type="dxa" w:w="13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77.000 €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3</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85</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40%</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2.056.000 €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300.000 €</w:t>
            </w:r>
          </w:p>
        </w:tc>
        <w:tc>
          <w:tcPr>
            <w:tcW w:type="dxa" w:w="1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1.041.000 €</w:t>
            </w:r>
          </w:p>
        </w:tc>
        <w:tc>
          <w:tcPr>
            <w:tcW w:type="dxa" w:w="13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1.118.000 €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4</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45%</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2.353.000 €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240.000 €</w:t>
            </w:r>
          </w:p>
        </w:tc>
        <w:tc>
          <w:tcPr>
            <w:tcW w:type="dxa" w:w="1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1.262.000 €</w:t>
            </w:r>
          </w:p>
        </w:tc>
        <w:tc>
          <w:tcPr>
            <w:tcW w:type="dxa" w:w="13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2.381.000 €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5</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45%</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2.353.000 €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160.000 €</w:t>
            </w:r>
          </w:p>
        </w:tc>
        <w:tc>
          <w:tcPr>
            <w:tcW w:type="dxa" w:w="1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1.182.000 €</w:t>
            </w:r>
          </w:p>
        </w:tc>
        <w:tc>
          <w:tcPr>
            <w:tcW w:type="dxa" w:w="13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3.563.000 €</w:t>
            </w:r>
          </w:p>
        </w:tc>
      </w:tr>
      <w:tr>
        <w:tc>
          <w:tcPr>
            <w:tcW w:type="dxa" w:w="10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6</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48%</w:t>
            </w:r>
          </w:p>
        </w:tc>
        <w:tc>
          <w:tcPr>
            <w:tcW w:type="dxa" w:w="19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2.450.000 €</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160.000 €</w:t>
            </w:r>
          </w:p>
        </w:tc>
        <w:tc>
          <w:tcPr>
            <w:tcW w:type="dxa" w:w="14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1.270.000 €</w:t>
            </w:r>
          </w:p>
        </w:tc>
        <w:tc>
          <w:tcPr>
            <w:tcW w:type="dxa" w:w="13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4.833.000 €</w:t>
            </w:r>
          </w:p>
        </w:tc>
      </w:tr>
      <w:tr>
        <w:tc>
          <w:tcPr>
            <w:tcW w:type="dxa" w:w="10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7</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100</w:t>
            </w:r>
          </w:p>
        </w:tc>
        <w:tc>
          <w:tcPr>
            <w:tcW w:type="dxa" w:w="11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48%</w:t>
            </w:r>
          </w:p>
        </w:tc>
        <w:tc>
          <w:tcPr>
            <w:tcW w:type="dxa" w:w="19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2.450.000 €</w:t>
            </w:r>
          </w:p>
        </w:tc>
        <w:tc>
          <w:tcPr>
            <w:tcW w:type="dxa" w:w="15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160.000 €</w:t>
            </w:r>
          </w:p>
        </w:tc>
        <w:tc>
          <w:tcPr>
            <w:tcW w:type="dxa" w:w="14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1.270.000 €</w:t>
            </w:r>
          </w:p>
        </w:tc>
        <w:tc>
          <w:tcPr>
            <w:tcW w:type="dxa" w:w="13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6.104.000 €</w:t>
            </w:r>
          </w:p>
        </w:tc>
      </w:tr>
    </w:tbl>
    <w:p>
      <w:pPr>
        <w:spacing w:after="220"/>
      </w:pPr>
    </w:p>
    <w:p>
      <w:pPr>
        <w:spacing w:after="140" w:line="300"/>
      </w:pPr>
      <w:r>
        <w:rPr>
          <w:rFonts w:ascii="Calibri" w:cs="Calibri" w:eastAsia="Calibri" w:hAnsi="Calibri"/>
          <w:color w:val="4a4a4a"/>
          <w:sz w:val="21"/>
          <w:szCs w:val="21"/>
        </w:rPr>
        <w:t xml:space="preserve">« Diritti » è la quota dei diritti d'ammissione ordinari imputata a conto economico (metà; l'altra metà è accantonata a riserva di manutenzione dell'immobile). Il margine cumulato eguaglia l'investimento complessivo di 5,29 M€ nel corso del settimo anno; considerando il servizio del debito, il ritorno effettivo del capitale si colloca fra l'ottavo e il nono. A questo va aggiunto il valore residuo dell'immobile, che è la parte meno volatile del ritorno.</w:t>
      </w:r>
    </w:p>
    <w:p>
      <w:pPr>
        <w:pStyle w:val="Heading2"/>
        <w:spacing w:after="120" w:before="260"/>
      </w:pPr>
      <w:r>
        <w:rPr>
          <w:rFonts w:ascii="Calibri" w:cs="Calibri" w:eastAsia="Calibri" w:hAnsi="Calibri"/>
          <w:b/>
          <w:bCs/>
          <w:color w:val="1f1f1f"/>
          <w:sz w:val="23"/>
          <w:szCs w:val="23"/>
        </w:rPr>
        <w:t xml:space="preserve">Struttura finanziaria</w:t>
      </w:r>
    </w:p>
    <w:tbl>
      <w:tblPr>
        <w:tblW w:type="dxa" w:w="9360"/>
        <w:tblBorders>
          <w:top w:val="single" w:color="E5E5E5" w:sz="2"/>
          <w:left w:val="none"/>
          <w:bottom w:val="single" w:color="E5E5E5" w:sz="2"/>
          <w:right w:val="none"/>
          <w:insideH w:val="single" w:color="EEEEEE" w:sz="2"/>
          <w:insideV w:val="none"/>
        </w:tblBorders>
      </w:tblPr>
      <w:tblGrid>
        <w:gridCol w:w="4400"/>
        <w:gridCol w:w="2400"/>
        <w:gridCol w:w="2560"/>
      </w:tblGrid>
      <w:tr>
        <w:trPr>
          <w:tblHeader/>
        </w:trPr>
        <w:tc>
          <w:tcPr>
            <w:tcW w:type="dxa" w:w="44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Fonte</w:t>
            </w:r>
          </w:p>
        </w:tc>
        <w:tc>
          <w:tcPr>
            <w:tcW w:type="dxa" w:w="24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Importo</w:t>
            </w:r>
          </w:p>
        </w:tc>
        <w:tc>
          <w:tcPr>
            <w:tcW w:type="dxa" w:w="25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Nota</w:t>
            </w:r>
          </w:p>
        </w:tc>
      </w:tr>
      <w:tr>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Diritti dei soci fondatori</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1.000.000 €</w:t>
            </w:r>
          </w:p>
        </w:tc>
        <w:tc>
          <w:tcPr>
            <w:tcW w:type="dxa" w:w="25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40 × 25.000 €, raccolti prima di esercitare l'opzione</w:t>
            </w:r>
          </w:p>
        </w:tc>
      </w:tr>
      <w:tr>
        <w:tc>
          <w:tcPr>
            <w:tcW w:type="dxa" w:w="44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Capitale d'investimento</w:t>
            </w:r>
          </w:p>
        </w:tc>
        <w:tc>
          <w:tcPr>
            <w:tcW w:type="dxa" w:w="24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2.491.000 €</w:t>
            </w:r>
          </w:p>
        </w:tc>
        <w:tc>
          <w:tcPr>
            <w:tcW w:type="dxa" w:w="25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Quota di maggioranza o paritaria, da definire</w:t>
            </w:r>
          </w:p>
        </w:tc>
      </w:tr>
      <w:tr>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Debito bancario o mecenatizio</w:t>
            </w:r>
          </w:p>
        </w:tc>
        <w:tc>
          <w:tcPr>
            <w:tcW w:type="dxa" w:w="24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1.800.000 €</w:t>
            </w:r>
          </w:p>
        </w:tc>
        <w:tc>
          <w:tcPr>
            <w:tcW w:type="dxa" w:w="25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Garantito dall'immobile</w:t>
            </w:r>
          </w:p>
        </w:tc>
      </w:tr>
      <w:tr>
        <w:tc>
          <w:tcPr>
            <w:tcW w:type="dxa" w:w="44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TOTALE</w:t>
            </w:r>
          </w:p>
        </w:tc>
        <w:tc>
          <w:tcPr>
            <w:tcW w:type="dxa" w:w="24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5.291.000 €</w:t>
            </w:r>
          </w:p>
        </w:tc>
        <w:tc>
          <w:tcPr>
            <w:tcW w:type="dxa" w:w="25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
            </w:r>
          </w:p>
        </w:tc>
      </w:tr>
    </w:tbl>
    <w:p>
      <w:pPr>
        <w:pStyle w:val="Heading1"/>
        <w:spacing w:after="180" w:before="360"/>
      </w:pPr>
      <w:r>
        <w:rPr>
          <w:rFonts w:ascii="Calibri" w:cs="Calibri" w:eastAsia="Calibri" w:hAnsi="Calibri"/>
          <w:b/>
          <w:bCs/>
          <w:color w:val="c8872f"/>
          <w:sz w:val="30"/>
          <w:szCs w:val="30"/>
        </w:rPr>
        <w:t xml:space="preserve">6. Il flusso verso Dar al-Hiraf</w:t>
      </w:r>
    </w:p>
    <w:p>
      <w:pPr>
        <w:spacing w:after="140" w:line="300"/>
      </w:pPr>
      <w:r>
        <w:rPr>
          <w:rFonts w:ascii="Calibri" w:cs="Calibri" w:eastAsia="Calibri" w:hAnsi="Calibri"/>
          <w:color w:val="4a4a4a"/>
          <w:sz w:val="21"/>
          <w:szCs w:val="21"/>
        </w:rPr>
        <w:t xml:space="preserve">Lo statuto della Munya vincola il venti per cento del margine operativo lordo al fondo borse di Dar al-Hiraf. L'impegno è statutario, non discrezionale: non dipende da chi dirigerà la casa fra dieci anni.</w:t>
      </w:r>
    </w:p>
    <w:tbl>
      <w:tblPr>
        <w:tblW w:type="dxa" w:w="9360"/>
        <w:tblBorders>
          <w:top w:val="single" w:color="E5E5E5" w:sz="2"/>
          <w:left w:val="none"/>
          <w:bottom w:val="single" w:color="E5E5E5" w:sz="2"/>
          <w:right w:val="none"/>
          <w:insideH w:val="single" w:color="EEEEEE" w:sz="2"/>
          <w:insideV w:val="none"/>
        </w:tblBorders>
      </w:tblPr>
      <w:tblGrid>
        <w:gridCol w:w="4400"/>
        <w:gridCol w:w="1700"/>
        <w:gridCol w:w="3260"/>
      </w:tblGrid>
      <w:tr>
        <w:trPr>
          <w:tblHeader/>
        </w:trPr>
        <w:tc>
          <w:tcPr>
            <w:tcW w:type="dxa" w:w="44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Scenario</w:t>
            </w:r>
          </w:p>
        </w:tc>
        <w:tc>
          <w:tcPr>
            <w:tcW w:type="dxa" w:w="17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Dotazione annua</w:t>
            </w:r>
          </w:p>
        </w:tc>
        <w:tc>
          <w:tcPr>
            <w:tcW w:type="dxa" w:w="32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Borse di residenza finanziate</w:t>
            </w:r>
          </w:p>
        </w:tc>
      </w:tr>
      <w:tr>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Prudente</w:t>
            </w:r>
          </w:p>
        </w:tc>
        <w:tc>
          <w:tcPr>
            <w:tcW w:type="dxa" w:w="17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32.000 €</w:t>
            </w:r>
          </w:p>
        </w:tc>
        <w:tc>
          <w:tcPr>
            <w:tcW w:type="dxa" w:w="32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4 apprendisti</w:t>
            </w:r>
          </w:p>
        </w:tc>
      </w:tr>
      <w:tr>
        <w:tc>
          <w:tcPr>
            <w:tcW w:type="dxa" w:w="44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Base</w:t>
            </w:r>
          </w:p>
        </w:tc>
        <w:tc>
          <w:tcPr>
            <w:tcW w:type="dxa" w:w="17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204.000 €</w:t>
            </w:r>
          </w:p>
        </w:tc>
        <w:tc>
          <w:tcPr>
            <w:tcW w:type="dxa" w:w="32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27 apprendisti</w:t>
            </w:r>
          </w:p>
        </w:tc>
      </w:tr>
      <w:tr>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Alto</w:t>
            </w:r>
          </w:p>
        </w:tc>
        <w:tc>
          <w:tcPr>
            <w:tcW w:type="dxa" w:w="17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398.000 €</w:t>
            </w:r>
          </w:p>
        </w:tc>
        <w:tc>
          <w:tcPr>
            <w:tcW w:type="dxa" w:w="32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53 apprendisti</w:t>
            </w:r>
          </w:p>
        </w:tc>
      </w:tr>
    </w:tbl>
    <w:p>
      <w:pPr>
        <w:spacing w:after="200"/>
      </w:pPr>
    </w:p>
    <w:p>
      <w:pPr>
        <w:spacing w:after="140" w:line="300"/>
      </w:pPr>
      <w:r>
        <w:rPr>
          <w:rFonts w:ascii="Calibri" w:cs="Calibri" w:eastAsia="Calibri" w:hAnsi="Calibri"/>
          <w:color w:val="4a4a4a"/>
          <w:sz w:val="21"/>
          <w:szCs w:val="21"/>
        </w:rPr>
        <w:t xml:space="preserve">Assumendo un costo pieno di 7.500 € per apprendista e per anno — vitto, alloggio, materiali, tempo dei maestri. Nello scenario di riferimento la Munya copre da sola la quasi totalità del fondo borse della casa.</w:t>
      </w:r>
    </w:p>
    <w:p>
      <w:pPr>
        <w:pStyle w:val="Heading2"/>
        <w:spacing w:after="120" w:before="260"/>
      </w:pPr>
      <w:r>
        <w:rPr>
          <w:rFonts w:ascii="Calibri" w:cs="Calibri" w:eastAsia="Calibri" w:hAnsi="Calibri"/>
          <w:b/>
          <w:bCs/>
          <w:color w:val="1f1f1f"/>
          <w:sz w:val="23"/>
          <w:szCs w:val="23"/>
        </w:rPr>
        <w:t xml:space="preserve">L'anonimato dell'apprendista non è negoziabile</w:t>
      </w:r>
    </w:p>
    <w:p>
      <w:pPr>
        <w:spacing w:after="140" w:line="300"/>
      </w:pPr>
      <w:r>
        <w:rPr>
          <w:rFonts w:ascii="Calibri" w:cs="Calibri" w:eastAsia="Calibri" w:hAnsi="Calibri"/>
          <w:color w:val="4a4a4a"/>
          <w:sz w:val="21"/>
          <w:szCs w:val="21"/>
        </w:rPr>
        <w:t xml:space="preserve">Un socio, e soprattutto un ospite di rango, chiederà prima o poi di sapere chi è il ragazzo che mantiene. La risposta resta no, e le ragioni non sono di forma. Nel momento in cui un apprendista sa che un uomo potente paga per lui, smette di essere mantenuto dalla casa e diventa il protetto di qualcuno: fra venti ragazzi si apre l'unica frattura che una comunità così non sopporta. E per l'ospite stesso, un legame nominativo con un giovane preciso, in una casa di soli uomini, è materiale che chiunque saprebbe usare contro di lui: non dirglielo non è una regola imposta, è una protezione offerta, e va presentata così.</w:t>
      </w:r>
    </w:p>
    <w:p>
      <w:pPr>
        <w:spacing w:after="140" w:line="300"/>
      </w:pPr>
      <w:r>
        <w:rPr>
          <w:rFonts w:ascii="Calibri" w:cs="Calibri" w:eastAsia="Calibri" w:hAnsi="Calibri"/>
          <w:color w:val="4a4a4a"/>
          <w:sz w:val="21"/>
          <w:szCs w:val="21"/>
        </w:rPr>
        <w:t xml:space="preserve">Gli si dà invece qualcosa di più durevole: l'opera esatta che il suo denaro ha prodotto — questa porta, questo pannello — che può vedere e ritrovare fra vent'anni; la scelta del mestiere che dota; e, per dotazioni di peso, una borsa fondata a perpetuità che porta il suo nome nella forma del ḥubus. Il nome va sulla dotazione, che è una cosa, mai sul ragazzo. Una sola deroga è difendibile: a formazione conclusa, quando l'apprendista non dipende più da nessuno, questi può — se lo vuole e di sua iniziativa — scrivere al benefattore.</w:t>
      </w:r>
    </w:p>
    <w:p>
      <w:pPr>
        <w:pStyle w:val="Heading2"/>
        <w:spacing w:after="120" w:before="260"/>
      </w:pPr>
      <w:r>
        <w:rPr>
          <w:rFonts w:ascii="Calibri" w:cs="Calibri" w:eastAsia="Calibri" w:hAnsi="Calibri"/>
          <w:b/>
          <w:bCs/>
          <w:color w:val="1f1f1f"/>
          <w:sz w:val="23"/>
          <w:szCs w:val="23"/>
        </w:rPr>
        <w:t xml:space="preserve">Perché conviene dirlo</w:t>
      </w:r>
    </w:p>
    <w:p>
      <w:pPr>
        <w:spacing w:after="140" w:line="300"/>
      </w:pPr>
      <w:r>
        <w:rPr>
          <w:rFonts w:ascii="Calibri" w:cs="Calibri" w:eastAsia="Calibri" w:hAnsi="Calibri"/>
          <w:color w:val="4a4a4a"/>
          <w:sz w:val="21"/>
          <w:szCs w:val="21"/>
        </w:rPr>
        <w:t xml:space="preserve">Un socio che paga 1.600 € a notte per una camera ha un termine di paragone, e prima o poi lo userà. Un socio che sa di mantenere un apprendista per un anno con due soggiorni non ha nulla con cui confrontare, perché non esiste un secondo posto al mondo che gli offra la stessa cosa. Dichiarare il flusso non è un gesto morale che costa margine: è ciò che rende il prezzo indiscutibile e la fedeltà lunga.</w:t>
      </w:r>
    </w:p>
    <w:p>
      <w:pPr>
        <w:spacing w:after="140" w:line="300"/>
      </w:pPr>
      <w:r>
        <w:rPr>
          <w:rFonts w:ascii="Calibri" w:cs="Calibri" w:eastAsia="Calibri" w:hAnsi="Calibri"/>
          <w:color w:val="4a4a4a"/>
          <w:sz w:val="21"/>
          <w:szCs w:val="21"/>
        </w:rPr>
        <w:t xml:space="preserve">Al socio è comunicato il mestiere che sostiene, mai il nome dell'apprendista: il registro della casa non è pubblico e non lo diventerà. Una volta l'anno riceve una riga scritta a mano su che cosa è stato fatto — un pannello posato, una porta finita, un maestro trattenuto.</w:t>
      </w:r>
    </w:p>
    <w:p>
      <w:r>
        <w:br w:type="page"/>
      </w:r>
    </w:p>
    <w:p>
      <w:pPr>
        <w:pStyle w:val="Heading1"/>
        <w:spacing w:after="180" w:before="360"/>
      </w:pPr>
      <w:r>
        <w:rPr>
          <w:rFonts w:ascii="Calibri" w:cs="Calibri" w:eastAsia="Calibri" w:hAnsi="Calibri"/>
          <w:b/>
          <w:bCs/>
          <w:color w:val="c8872f"/>
          <w:sz w:val="30"/>
          <w:szCs w:val="30"/>
        </w:rPr>
        <w:t xml:space="preserve">7. La contiguità: la porta e l'appartamento d'onore</w:t>
      </w:r>
    </w:p>
    <w:p>
      <w:pPr>
        <w:pStyle w:val="Heading2"/>
        <w:spacing w:after="120" w:before="260"/>
      </w:pPr>
      <w:r>
        <w:rPr>
          <w:rFonts w:ascii="Calibri" w:cs="Calibri" w:eastAsia="Calibri" w:hAnsi="Calibri"/>
          <w:b/>
          <w:bCs/>
          <w:color w:val="1f1f1f"/>
          <w:sz w:val="23"/>
          <w:szCs w:val="23"/>
        </w:rPr>
        <w:t xml:space="preserve">La porta</w:t>
      </w:r>
    </w:p>
    <w:p>
      <w:pPr>
        <w:spacing w:after="140" w:line="300"/>
      </w:pPr>
      <w:r>
        <w:rPr>
          <w:rFonts w:ascii="Calibri" w:cs="Calibri" w:eastAsia="Calibri" w:hAnsi="Calibri"/>
          <w:color w:val="4a4a4a"/>
          <w:sz w:val="21"/>
          <w:szCs w:val="21"/>
        </w:rPr>
        <w:t xml:space="preserve">Le due case condividono un muro e nient'altro: ingressi su strade diverse, cucine, personale e circolazioni interamente separati, nessuna finestra dell'una che dia sul patio dell'altra. Nel muro comune c'è una sola porta, e si apre dal lato del riad: dal lato della Munya non ha maniglia. Non è un'immagine, è una specifica costruttiva. Nessun ospite ne possiede la chiave; il passaggio è aperto da un residente e richiuso dietro di lui.</w:t>
      </w:r>
    </w:p>
    <w:p>
      <w:pPr>
        <w:spacing w:after="140" w:line="300"/>
      </w:pPr>
      <w:r>
        <w:rPr>
          <w:rFonts w:ascii="Calibri" w:cs="Calibri" w:eastAsia="Calibri" w:hAnsi="Calibri"/>
          <w:color w:val="4a4a4a"/>
          <w:sz w:val="21"/>
          <w:szCs w:val="21"/>
        </w:rPr>
        <w:t xml:space="preserve">L'ospite non alloggia nel riad, non entra nei quartieri residenziali, non assiste alla preghiera, non è presente ai momenti interni della comunità. Ciò che può essergli concesso — un'ora al banco di un maestro, un pasto alla tavola comune, una sera di malḥūn, il campo di tiro all'alba — è concesso caso per caso, non è a listino, non è compreso nel prezzo e può essere rifiutato senza motivazione.</w:t>
      </w:r>
    </w:p>
    <w:p>
      <w:pPr>
        <w:spacing w:after="140" w:line="300"/>
      </w:pPr>
      <w:r>
        <w:rPr>
          <w:rFonts w:ascii="Calibri" w:cs="Calibri" w:eastAsia="Calibri" w:hAnsi="Calibri"/>
          <w:color w:val="4a4a4a"/>
          <w:sz w:val="21"/>
          <w:szCs w:val="21"/>
        </w:rPr>
        <w:t xml:space="preserve">Per un investitore questa è una clausola di protezione del patrimonio, non una delicatezza, e la contiguità la rende più necessaria, non meno. Il giorno in cui la comunità si organizzasse in funzione degli ospiti, l'unica cosa non replicabile del progetto sarebbe distrutta e con essa il premio di prezzo. La convenzione d'accesso riconosce quindi al riad il diritto assoluto e non motivato di sospendere l'accesso — cioè di far murare la porta — in qualunque momento e senza penale.</w:t>
      </w:r>
    </w:p>
    <w:p>
      <w:pPr>
        <w:spacing w:after="140" w:line="300"/>
      </w:pPr>
      <w:r>
        <w:rPr>
          <w:rFonts w:ascii="Calibri" w:cs="Calibri" w:eastAsia="Calibri" w:hAnsi="Calibri"/>
          <w:color w:val="4a4a4a"/>
          <w:sz w:val="21"/>
          <w:szCs w:val="21"/>
        </w:rPr>
        <w:t xml:space="preserve">I residenti non sono personale: non ricevono mance, non sono fotografati, non fanno dimostrazioni. Il socio che vi contravviene conclude il soggiorno lo stesso giorno. È scritto nel regolamento che firma all'ammissione.</w:t>
      </w:r>
    </w:p>
    <w:p>
      <w:pPr>
        <w:pStyle w:val="Heading2"/>
        <w:spacing w:after="120" w:before="260"/>
      </w:pPr>
      <w:r>
        <w:rPr>
          <w:rFonts w:ascii="Calibri" w:cs="Calibri" w:eastAsia="Calibri" w:hAnsi="Calibri"/>
          <w:b/>
          <w:bCs/>
          <w:color w:val="1f1f1f"/>
          <w:sz w:val="23"/>
          <w:szCs w:val="23"/>
        </w:rPr>
        <w:t xml:space="preserve">L'appartamento d'onore</w:t>
      </w:r>
    </w:p>
    <w:p>
      <w:pPr>
        <w:spacing w:after="140" w:line="300"/>
      </w:pPr>
      <w:r>
        <w:rPr>
          <w:rFonts w:ascii="Calibri" w:cs="Calibri" w:eastAsia="Calibri" w:hAnsi="Calibri"/>
          <w:color w:val="4a4a4a"/>
          <w:sz w:val="21"/>
          <w:szCs w:val="21"/>
        </w:rPr>
        <w:t xml:space="preserve">Un ospite di rango — un membro di una casa reale, un ospite ufficiale — non può essere alloggiato fra soci paganti, né nel riad, che è una casa di giovani uomini in formazione senza protocollo né sicurezza. La contiguità risolve il problema con un terzo luogo: un'ala autonoma della Munya, isolabile in un'ora, con ingresso e servizio propri.</w:t>
      </w:r>
    </w:p>
    <w:p>
      <w:pPr>
        <w:spacing w:after="140" w:line="300"/>
      </w:pPr>
      <w:r>
        <w:rPr>
          <w:rFonts w:ascii="Calibri" w:cs="Calibri" w:eastAsia="Calibri" w:hAnsi="Calibri"/>
          <w:color w:val="4a4a4a"/>
          <w:sz w:val="21"/>
          <w:szCs w:val="21"/>
        </w:rPr>
        <w:t xml:space="preserve">Non si affitta e non ha prezzo. È offerta, oppure resta vuota: il giorno in cui avesse una tariffa, la sua funzione sarebbe distrutta. Quando è occupata, il club è chiuso e nessun socio è presente. Lo statuto fissa il tetto — trenta notti l'anno — il preavviso e la compensazione: le notti spostate sono restituite in doppio. Il costo di questa clausola è già iscritto nel modello, sotto forma di quindici notti medie di chiusura l'anno e di 60.000 € di custodia.</w:t>
      </w:r>
    </w:p>
    <w:p>
      <w:pPr>
        <w:spacing w:after="140" w:line="300"/>
      </w:pPr>
      <w:r>
        <w:rPr>
          <w:rFonts w:ascii="Calibri" w:cs="Calibri" w:eastAsia="Calibri" w:hAnsi="Calibri"/>
          <w:color w:val="4a4a4a"/>
          <w:sz w:val="21"/>
          <w:szCs w:val="21"/>
        </w:rPr>
        <w:t xml:space="preserve">Il valore non è di ricavo. È che un ospite di quel rango, ricevuto accanto a Dar al-Hiraf, dà alla casa una protezione istituzionale che nessun budget di comunicazione può comprare — e che non potrà mai essere comunicata. Non comparirà da nessuna parte: sarà nota esattamente alle persone che devono saperla, che sono le stesse attraverso cui passa la cooptazione.</w:t>
      </w:r>
    </w:p>
    <w:p>
      <w:pPr>
        <w:spacing w:after="140" w:line="300"/>
      </w:pPr>
      <w:r>
        <w:rPr>
          <w:rFonts w:ascii="Calibri" w:cs="Calibri" w:eastAsia="Calibri" w:hAnsi="Calibri"/>
          <w:color w:val="4a4a4a"/>
          <w:sz w:val="21"/>
          <w:szCs w:val="21"/>
        </w:rPr>
        <w:t xml:space="preserve">Va aggiunto un punto che si comprende solo sul posto: la discrezione qui non è prodotta da un dispositivo, ma dal vicinato. Altrove un ospite simile è protetto da un apparato che lo annuncia — un albergo che sa, un piano svuotato, un personale informato. Qui la casa non cambia nulla per lui: stesse ore, stessa tavola, stesso silenzio. Una casa che si riorganizza per un ospite è costretta a dirlo a molte persone; una casa che non si riorganizza non ha niente da dire a nessuno.</w:t>
      </w:r>
    </w:p>
    <w:p>
      <w:pPr>
        <w:pStyle w:val="Heading1"/>
        <w:spacing w:after="180" w:before="360"/>
      </w:pPr>
      <w:r>
        <w:rPr>
          <w:rFonts w:ascii="Calibri" w:cs="Calibri" w:eastAsia="Calibri" w:hAnsi="Calibri"/>
          <w:b/>
          <w:bCs/>
          <w:color w:val="c8872f"/>
          <w:sz w:val="30"/>
          <w:szCs w:val="30"/>
        </w:rPr>
        <w:t xml:space="preserve">8. Assetto giuridico e punti da verificare</w:t>
      </w:r>
    </w:p>
    <w:p>
      <w:pPr>
        <w:spacing w:after="140" w:line="300"/>
      </w:pPr>
      <w:r>
        <w:rPr>
          <w:rFonts w:ascii="Calibri" w:cs="Calibri" w:eastAsia="Calibri" w:hAnsi="Calibri"/>
          <w:color w:val="4a4a4a"/>
          <w:sz w:val="21"/>
          <w:szCs w:val="21"/>
        </w:rPr>
        <w:t xml:space="preserve">Due entità nettamente separate. Il Riad al-Uns resta struttura non commerciale, destinata a essere costituita in bene inalienabile (ḥubus/waqf) nelle forme che il diritto marocchino consentirà. La Munya è una società commerciale distinta, con proprio bilancio e proprio rischio: nessuna responsabilità della Munya può risalire al riad. Fra le due, una convenzione d'accesso scritta, con corrispettivo per visita ammessa e canone annuale fisso.</w:t>
      </w:r>
    </w:p>
    <w:p>
      <w:pPr>
        <w:spacing w:after="100" w:line="300"/>
      </w:pPr>
      <w:r>
        <w:rPr>
          <w:rFonts w:ascii="Calibri" w:cs="Calibri" w:eastAsia="Calibri" w:hAnsi="Calibri"/>
          <w:color w:val="4a4a4a"/>
          <w:sz w:val="21"/>
          <w:szCs w:val="21"/>
        </w:rPr>
        <w:t xml:space="preserve">Quattro punti vanno sottoposti a un avvocato marocchino prima di qualunque impegno di capitale:</w:t>
      </w:r>
    </w:p>
    <w:p>
      <w:pPr>
        <w:pStyle w:val="ListParagraph"/>
        <w:numPr>
          <w:ilvl w:val="0"/>
          <w:numId w:val="1"/>
        </w:numPr>
        <w:spacing w:after="80" w:line="300"/>
      </w:pPr>
      <w:r>
        <w:rPr>
          <w:rFonts w:ascii="Calibri" w:cs="Calibri" w:eastAsia="Calibri" w:hAnsi="Calibri"/>
          <w:color w:val="4a4a4a"/>
          <w:sz w:val="21"/>
          <w:szCs w:val="21"/>
        </w:rPr>
        <w:t xml:space="preserve">Ammissione riservata agli uomini — sostenibile per un club privato a cooptazione, problematica per una struttura ricettiva classificata. L'assetto probabilmente corretto è la residenza privata messa a disposizione dei membri di un'associazione, non la maison d'hôtes. Da verificare, non da presumere.</w:t>
      </w:r>
    </w:p>
    <w:p>
      <w:pPr>
        <w:pStyle w:val="ListParagraph"/>
        <w:numPr>
          <w:ilvl w:val="0"/>
          <w:numId w:val="1"/>
        </w:numPr>
        <w:spacing w:after="80" w:line="300"/>
      </w:pPr>
      <w:r>
        <w:rPr>
          <w:rFonts w:ascii="Calibri" w:cs="Calibri" w:eastAsia="Calibri" w:hAnsi="Calibri"/>
          <w:color w:val="4a4a4a"/>
          <w:sz w:val="21"/>
          <w:szCs w:val="21"/>
        </w:rPr>
        <w:t xml:space="preserve">Proprietà immobiliare in medina: titolarità, mitoyenneté del muro comune, servitù di passaggio e di veduta, apertura di una porta in un muro divisorio, autorizzazioni di restauro in zona UNESCO, vincoli di cantiere.</w:t>
      </w:r>
    </w:p>
    <w:p>
      <w:pPr>
        <w:pStyle w:val="ListParagraph"/>
        <w:numPr>
          <w:ilvl w:val="0"/>
          <w:numId w:val="1"/>
        </w:numPr>
        <w:spacing w:after="80" w:line="300"/>
      </w:pPr>
      <w:r>
        <w:rPr>
          <w:rFonts w:ascii="Calibri" w:cs="Calibri" w:eastAsia="Calibri" w:hAnsi="Calibri"/>
          <w:color w:val="4a4a4a"/>
          <w:sz w:val="21"/>
          <w:szCs w:val="21"/>
        </w:rPr>
        <w:t xml:space="preserve">Compatibilità della convenzione d'accesso con lo statuto non lucrativo del riad; assenza di confusione patrimoniale fra due immobili contigui appartenenti a entità legate — due titoli fondiari distinti, nessuna parte comune, nessuna garanzia incrociata.</w:t>
      </w:r>
    </w:p>
    <w:p>
      <w:pPr>
        <w:pStyle w:val="ListParagraph"/>
        <w:numPr>
          <w:ilvl w:val="0"/>
          <w:numId w:val="1"/>
        </w:numPr>
        <w:spacing w:after="80" w:line="300"/>
      </w:pPr>
      <w:r>
        <w:rPr>
          <w:rFonts w:ascii="Calibri" w:cs="Calibri" w:eastAsia="Calibri" w:hAnsi="Calibri"/>
          <w:color w:val="4a4a4a"/>
          <w:sz w:val="21"/>
          <w:szCs w:val="21"/>
        </w:rPr>
        <w:t xml:space="preserve">Requisiti di sicurezza e obblighi verso le autorità per l'accoglienza di ospiti ufficiali.</w:t>
      </w:r>
    </w:p>
    <w:p>
      <w:pPr>
        <w:pStyle w:val="ListParagraph"/>
        <w:numPr>
          <w:ilvl w:val="0"/>
          <w:numId w:val="1"/>
        </w:numPr>
        <w:spacing w:after="80" w:line="300"/>
      </w:pPr>
      <w:r>
        <w:rPr>
          <w:rFonts w:ascii="Calibri" w:cs="Calibri" w:eastAsia="Calibri" w:hAnsi="Calibri"/>
          <w:color w:val="4a4a4a"/>
          <w:sz w:val="21"/>
          <w:szCs w:val="21"/>
        </w:rPr>
        <w:t xml:space="preserve">Trattamento fiscale del diritto d'ammissione — ricavo d'esercizio o riserva patrimoniale.</w:t>
      </w:r>
    </w:p>
    <w:p>
      <w:pPr>
        <w:spacing w:after="140" w:line="300"/>
      </w:pPr>
      <w:r>
        <w:rPr>
          <w:rFonts w:ascii="Calibri" w:cs="Calibri" w:eastAsia="Calibri" w:hAnsi="Calibri"/>
          <w:i/>
          <w:iCs/>
          <w:color w:val="4a4a4a"/>
          <w:sz w:val="19"/>
          <w:szCs w:val="19"/>
        </w:rPr>
        <w:t xml:space="preserve">L'assenza di alcol semplifica sensibilmente il quadro autorizzativo ed elimina un centro di costo e di rischio.</w:t>
      </w:r>
    </w:p>
    <w:p>
      <w:pPr>
        <w:pStyle w:val="Heading1"/>
        <w:spacing w:after="180" w:before="360"/>
      </w:pPr>
      <w:r>
        <w:rPr>
          <w:rFonts w:ascii="Calibri" w:cs="Calibri" w:eastAsia="Calibri" w:hAnsi="Calibri"/>
          <w:b/>
          <w:bCs/>
          <w:color w:val="c8872f"/>
          <w:sz w:val="30"/>
          <w:szCs w:val="30"/>
        </w:rPr>
        <w:t xml:space="preserve">9. Rischi</w:t>
      </w:r>
    </w:p>
    <w:tbl>
      <w:tblPr>
        <w:tblW w:type="dxa" w:w="9360"/>
        <w:tblBorders>
          <w:top w:val="single" w:color="E5E5E5" w:sz="2"/>
          <w:left w:val="none"/>
          <w:bottom w:val="single" w:color="E5E5E5" w:sz="2"/>
          <w:right w:val="none"/>
          <w:insideH w:val="single" w:color="EEEEEE" w:sz="2"/>
          <w:insideV w:val="none"/>
        </w:tblBorders>
      </w:tblPr>
      <w:tblGrid>
        <w:gridCol w:w="3000"/>
        <w:gridCol w:w="1500"/>
        <w:gridCol w:w="4860"/>
      </w:tblGrid>
      <w:tr>
        <w:trPr>
          <w:tblHeader/>
        </w:trPr>
        <w:tc>
          <w:tcPr>
            <w:tcW w:type="dxa" w:w="30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Rischio</w:t>
            </w:r>
          </w:p>
        </w:tc>
        <w:tc>
          <w:tcPr>
            <w:tcW w:type="dxa" w:w="15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Gravità</w:t>
            </w:r>
          </w:p>
        </w:tc>
        <w:tc>
          <w:tcPr>
            <w:tcW w:type="dxa" w:w="48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Mitigazione</w:t>
            </w:r>
          </w:p>
        </w:tc>
      </w:tr>
      <w:tr>
        <w:tc>
          <w:tcPr>
            <w:tcW w:type="dxa" w:w="3000"/>
            <w:shd w:fill="F8F5F0" w:color="auto" w:val="clear"/>
            <w:tcMar>
              <w:top w:type="dxa" w:w="80"/>
              <w:left w:type="dxa" w:w="110"/>
              <w:bottom w:type="dxa" w:w="80"/>
              <w:right w:type="dxa" w:w="110"/>
            </w:tcMar>
          </w:tcPr>
          <w:p>
            <w:pPr>
              <w:spacing w:after="0" w:line="260"/>
              <w:jc w:val="left"/>
            </w:pPr>
            <w:r>
              <w:rPr>
                <w:rFonts w:ascii="Calibri" w:cs="Calibri" w:eastAsia="Calibri" w:hAnsi="Calibri"/>
                <w:b/>
                <w:bCs/>
                <w:color w:val="4a4a4a"/>
                <w:sz w:val="19"/>
                <w:szCs w:val="19"/>
              </w:rPr>
              <w:t xml:space="preserve">Base sociale insufficiente</w:t>
            </w:r>
          </w:p>
        </w:tc>
        <w:tc>
          <w:tcPr>
            <w:tcW w:type="dxa" w:w="150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Critica</w:t>
            </w:r>
          </w:p>
        </w:tc>
        <w:tc>
          <w:tcPr>
            <w:tcW w:type="dxa" w:w="4860"/>
            <w:shd w:fill="F8F5F0" w:color="auto" w:val="clear"/>
            <w:tcMar>
              <w:top w:type="dxa" w:w="80"/>
              <w:left w:type="dxa" w:w="110"/>
              <w:bottom w:type="dxa" w:w="80"/>
              <w:right w:type="dxa" w:w="110"/>
            </w:tcMar>
          </w:tcPr>
          <w:p>
            <w:pPr>
              <w:spacing w:after="0" w:line="260"/>
              <w:jc w:val="right"/>
            </w:pPr>
            <w:r>
              <w:rPr>
                <w:rFonts w:ascii="Calibri" w:cs="Calibri" w:eastAsia="Calibri" w:hAnsi="Calibri"/>
                <w:b/>
                <w:bCs/>
                <w:color w:val="4a4a4a"/>
                <w:sz w:val="19"/>
                <w:szCs w:val="19"/>
              </w:rPr>
              <w:t xml:space="preserve">Raccogliere i 40 fondatori prima di esercitare l'opzione. Se in 12 mesi non si arriva a 40, il progetto non si fa.</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Immobile confinante introvabile</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Critica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Non serve una dimora in medina: serve quella che tocca il riad, con secondo accesso e senza vedute reciproche. Bloccarla con una promesse de vente prima che il riad sia noto.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Sforamento del cantiere</w:t>
            </w:r>
          </w:p>
        </w:tc>
        <w:tc>
          <w:tcPr>
            <w:tcW w:type="dxa" w:w="15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Alta</w:t>
            </w:r>
          </w:p>
        </w:tc>
        <w:tc>
          <w:tcPr>
            <w:tcW w:type="dxa" w:w="4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Riserva 10%; direzione lavori indipendente; diagnosi strutturale prima del compromesso.</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Ritardo di apertura del riad</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Alta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La Munya non apre prima che la comunità sia insediata e stabile: senza casa accanto non c'è prodotto.</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Vincolo giuridico sull'ammissione</w:t>
            </w:r>
          </w:p>
        </w:tc>
        <w:tc>
          <w:tcPr>
            <w:tcW w:type="dxa" w:w="15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Alta</w:t>
            </w:r>
          </w:p>
        </w:tc>
        <w:tc>
          <w:tcPr>
            <w:tcW w:type="dxa" w:w="4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Parere legale marocchino preliminare; assetto associativo alternativo già istruito.</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Deriva del riad verso la vetrina</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Alta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Regola di soglia statutaria; diritto di sospensione unilaterale in capo al riad.</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Indiscrezione, stampa, immagine</w:t>
            </w:r>
          </w:p>
        </w:tc>
        <w:tc>
          <w:tcPr>
            <w:tcW w:type="dxa" w:w="15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Media</w:t>
            </w:r>
          </w:p>
        </w:tc>
        <w:tc>
          <w:tcPr>
            <w:tcW w:type="dxa" w:w="4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Clausola di riservatezza nello statuto; espulsione senza rimborso; nessun nome pubblicato.</w:t>
            </w:r>
          </w:p>
        </w:tc>
      </w:tr>
      <w:tr>
        <w:tc>
          <w:tcPr>
            <w:tcW w:type="dxa" w:w="3000"/>
            <w:shd w:fill="FAFAFA" w:color="auto" w:val="clear"/>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Instabilità regionale, calo dei viaggi</w:t>
            </w:r>
          </w:p>
        </w:tc>
        <w:tc>
          <w:tcPr>
            <w:tcW w:type="dxa" w:w="150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Media</w:t>
            </w:r>
          </w:p>
        </w:tc>
        <w:tc>
          <w:tcPr>
            <w:tcW w:type="dxa" w:w="4860"/>
            <w:shd w:fill="FAFA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Le quote annuali restano incassate; il punto di pareggio è a occupazione bassa.</w:t>
            </w:r>
          </w:p>
        </w:tc>
      </w:tr>
      <w:tr>
        <w:tc>
          <w:tcPr>
            <w:tcW w:type="dxa" w:w="3000"/>
            <w:tcMar>
              <w:top w:type="dxa" w:w="80"/>
              <w:left w:type="dxa" w:w="110"/>
              <w:bottom w:type="dxa" w:w="80"/>
              <w:right w:type="dxa" w:w="110"/>
            </w:tcMar>
          </w:tcPr>
          <w:p>
            <w:pPr>
              <w:spacing w:after="0" w:line="260"/>
              <w:jc w:val="left"/>
            </w:pPr>
            <w:r>
              <w:rPr>
                <w:rFonts w:ascii="Calibri" w:cs="Calibri" w:eastAsia="Calibri" w:hAnsi="Calibri"/>
                <w:b w:val="false"/>
                <w:bCs w:val="false"/>
                <w:color w:val="4a4a4a"/>
                <w:sz w:val="19"/>
                <w:szCs w:val="19"/>
              </w:rPr>
              <w:t xml:space="preserve">Dipendenza da poche persone chiave</w:t>
            </w:r>
          </w:p>
        </w:tc>
        <w:tc>
          <w:tcPr>
            <w:tcW w:type="dxa" w:w="150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Media</w:t>
            </w:r>
          </w:p>
        </w:tc>
        <w:tc>
          <w:tcPr>
            <w:tcW w:type="dxa" w:w="4860"/>
            <w:tcMar>
              <w:top w:type="dxa" w:w="80"/>
              <w:left w:type="dxa" w:w="110"/>
              <w:bottom w:type="dxa" w:w="80"/>
              <w:right w:type="dxa" w:w="110"/>
            </w:tcMar>
          </w:tcPr>
          <w:p>
            <w:pPr>
              <w:spacing w:after="0" w:line="260"/>
              <w:jc w:val="right"/>
            </w:pPr>
            <w:r>
              <w:rPr>
                <w:rFonts w:ascii="Calibri" w:cs="Calibri" w:eastAsia="Calibri" w:hAnsi="Calibri"/>
                <w:b w:val="false"/>
                <w:bCs w:val="false"/>
                <w:color w:val="4a4a4a"/>
                <w:sz w:val="19"/>
                <w:szCs w:val="19"/>
              </w:rPr>
              <w:t xml:space="preserve">Formazione di quadri locali dal primo anno; nessun ruolo non sostituibile.</w:t>
            </w:r>
          </w:p>
        </w:tc>
      </w:tr>
    </w:tbl>
    <w:p>
      <w:r>
        <w:br w:type="page"/>
      </w:r>
    </w:p>
    <w:p>
      <w:pPr>
        <w:pStyle w:val="Heading1"/>
        <w:spacing w:after="180" w:before="360"/>
      </w:pPr>
      <w:r>
        <w:rPr>
          <w:rFonts w:ascii="Calibri" w:cs="Calibri" w:eastAsia="Calibri" w:hAnsi="Calibri"/>
          <w:b/>
          <w:bCs/>
          <w:color w:val="c8872f"/>
          <w:sz w:val="30"/>
          <w:szCs w:val="30"/>
        </w:rPr>
        <w:t xml:space="preserve">10. Sequenza proposta</w:t>
      </w:r>
    </w:p>
    <w:p>
      <w:pPr>
        <w:spacing w:after="120" w:line="300"/>
      </w:pPr>
      <w:r>
        <w:rPr>
          <w:rFonts w:ascii="Calibri" w:cs="Calibri" w:eastAsia="Calibri" w:hAnsi="Calibri"/>
          <w:color w:val="4a4a4a"/>
          <w:sz w:val="21"/>
          <w:szCs w:val="21"/>
        </w:rPr>
        <w:t xml:space="preserve">Nessuna delle fasi impegna il capitale principale prima che la precedente sia riuscita.</w:t>
      </w:r>
    </w:p>
    <w:tbl>
      <w:tblPr>
        <w:tblW w:type="dxa" w:w="9360"/>
        <w:tblBorders>
          <w:top w:val="single" w:color="E5E5E5" w:sz="2"/>
          <w:left w:val="none"/>
          <w:bottom w:val="single" w:color="E5E5E5" w:sz="2"/>
          <w:right w:val="none"/>
          <w:insideH w:val="single" w:color="EEEEEE" w:sz="2"/>
          <w:insideV w:val="none"/>
        </w:tblBorders>
      </w:tblPr>
      <w:tblGrid>
        <w:gridCol w:w="1300"/>
        <w:gridCol w:w="3600"/>
        <w:gridCol w:w="2300"/>
        <w:gridCol w:w="2160"/>
      </w:tblGrid>
      <w:tr>
        <w:trPr>
          <w:tblHeader/>
        </w:trPr>
        <w:tc>
          <w:tcPr>
            <w:tcW w:type="dxa" w:w="1300"/>
            <w:shd w:fill="c8872f"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19"/>
                <w:szCs w:val="19"/>
              </w:rPr>
              <w:t xml:space="preserve">Fase</w:t>
            </w:r>
          </w:p>
        </w:tc>
        <w:tc>
          <w:tcPr>
            <w:tcW w:type="dxa" w:w="36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Contenuto</w:t>
            </w:r>
          </w:p>
        </w:tc>
        <w:tc>
          <w:tcPr>
            <w:tcW w:type="dxa" w:w="230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Durata</w:t>
            </w:r>
          </w:p>
        </w:tc>
        <w:tc>
          <w:tcPr>
            <w:tcW w:type="dxa" w:w="2160"/>
            <w:shd w:fill="c8872f" w:color="auto" w:val="clear"/>
            <w:tcMar>
              <w:top w:type="dxa" w:w="80"/>
              <w:left w:type="dxa" w:w="110"/>
              <w:bottom w:type="dxa" w:w="80"/>
              <w:right w:type="dxa" w:w="110"/>
            </w:tcMar>
          </w:tcPr>
          <w:p>
            <w:pPr>
              <w:spacing w:after="0" w:line="260"/>
              <w:jc w:val="right"/>
            </w:pPr>
            <w:r>
              <w:rPr>
                <w:rFonts w:ascii="Calibri" w:cs="Calibri" w:eastAsia="Calibri" w:hAnsi="Calibri"/>
                <w:b/>
                <w:bCs/>
                <w:color w:val="FFFFFF"/>
                <w:sz w:val="19"/>
                <w:szCs w:val="19"/>
              </w:rPr>
              <w:t xml:space="preserve">Impegno</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0</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Rilievo delle proprietà confinanti; promesse de vente sulla migliore</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acconto a perdere</w:t>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1</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Parere legale marocchino su ammissione, mitoyenneté e assetto societario</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 mesi</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15.000 €</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2</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Dossier, immagini, modello di suite; ricerca dei 40 fondatori</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120.000 €</w:t>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3</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Esercizio dell'opzione, rogito, apertura del cantiere</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5,29 M€</w:t>
            </w:r>
          </w:p>
        </w:tc>
      </w:tr>
      <w:tr>
        <w:tc>
          <w:tcPr>
            <w:tcW w:type="dxa" w:w="1300"/>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4</w:t>
            </w:r>
          </w:p>
        </w:tc>
        <w:tc>
          <w:tcPr>
            <w:tcW w:type="dxa" w:w="36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Restauro</w:t>
            </w:r>
          </w:p>
        </w:tc>
        <w:tc>
          <w:tcPr>
            <w:tcW w:type="dxa" w:w="230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24–30 mesi</w:t>
            </w:r>
          </w:p>
        </w:tc>
        <w:tc>
          <w:tcPr>
            <w:tcW w:type="dxa" w:w="2160"/>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
            </w:r>
          </w:p>
        </w:tc>
      </w:tr>
      <w:tr>
        <w:tc>
          <w:tcPr>
            <w:tcW w:type="dxa" w:w="1300"/>
            <w:shd w:fill="FAFAFA" w:color="auto" w:val="clear"/>
            <w:tcMar>
              <w:top w:type="dxa" w:w="80"/>
              <w:left w:type="dxa" w:w="110"/>
              <w:bottom w:type="dxa" w:w="80"/>
              <w:right w:type="dxa" w:w="110"/>
            </w:tcMar>
          </w:tcPr>
          <w:p>
            <w:pPr>
              <w:spacing w:after="0" w:line="260"/>
              <w:jc w:val="left"/>
            </w:pPr>
            <w:r>
              <w:rPr>
                <w:rFonts w:ascii="Calibri" w:cs="Calibri" w:eastAsia="Calibri" w:hAnsi="Calibri"/>
                <w:color w:val="4a4a4a"/>
                <w:sz w:val="19"/>
                <w:szCs w:val="19"/>
              </w:rPr>
              <w:t xml:space="preserve">5</w:t>
            </w:r>
          </w:p>
        </w:tc>
        <w:tc>
          <w:tcPr>
            <w:tcW w:type="dxa" w:w="36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Apertura a base sociale già formata</w:t>
            </w:r>
          </w:p>
        </w:tc>
        <w:tc>
          <w:tcPr>
            <w:tcW w:type="dxa" w:w="230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w:t>
            </w:r>
          </w:p>
        </w:tc>
        <w:tc>
          <w:tcPr>
            <w:tcW w:type="dxa" w:w="2160"/>
            <w:shd w:fill="FAFAFA" w:color="auto" w:val="clear"/>
            <w:tcMar>
              <w:top w:type="dxa" w:w="80"/>
              <w:left w:type="dxa" w:w="110"/>
              <w:bottom w:type="dxa" w:w="80"/>
              <w:right w:type="dxa" w:w="110"/>
            </w:tcMar>
          </w:tcPr>
          <w:p>
            <w:pPr>
              <w:spacing w:after="0" w:line="260"/>
              <w:jc w:val="right"/>
            </w:pPr>
            <w:r>
              <w:rPr>
                <w:rFonts w:ascii="Calibri" w:cs="Calibri" w:eastAsia="Calibri" w:hAnsi="Calibri"/>
                <w:color w:val="4a4a4a"/>
                <w:sz w:val="19"/>
                <w:szCs w:val="19"/>
              </w:rPr>
              <w:t xml:space="preserve"/>
            </w:r>
          </w:p>
        </w:tc>
      </w:tr>
    </w:tbl>
    <w:p>
      <w:pPr>
        <w:spacing w:after="240"/>
      </w:pPr>
    </w:p>
    <w:p>
      <w:pPr>
        <w:spacing w:after="140" w:line="300"/>
      </w:pPr>
      <w:r>
        <w:rPr>
          <w:rFonts w:ascii="Calibri" w:cs="Calibri" w:eastAsia="Calibri" w:hAnsi="Calibri"/>
          <w:color w:val="4a4a4a"/>
          <w:sz w:val="21"/>
          <w:szCs w:val="21"/>
        </w:rPr>
        <w:t xml:space="preserve">L'ordine non è indifferente. La proprietà confinante va bloccata per prima e in silenzio, perché il momento in cui il riad è restaurato e comincia a essere conosciuto è anche quello in cui la casa accanto raddoppia di prezzo. Ma va bloccata con un'opzione, non comprata: è l'unico modo di tenere insieme l'urgenza immobiliare e la regola « si vende, poi si costruisce ».</w:t>
      </w:r>
    </w:p>
    <w:p>
      <w:pPr>
        <w:spacing w:after="140" w:line="300"/>
      </w:pPr>
      <w:r>
        <w:rPr>
          <w:rFonts w:ascii="Calibri" w:cs="Calibri" w:eastAsia="Calibri" w:hAnsi="Calibri"/>
          <w:color w:val="4a4a4a"/>
          <w:sz w:val="21"/>
          <w:szCs w:val="21"/>
        </w:rPr>
        <w:t xml:space="preserve">Le fasi 0, 1 e 2 costano nell'ordine di 150.000 € e un anno. È l'unico capitale realmente a rischio, e compra l'informazione che decide tutto il resto: se questi uomini esistono o no. È ciò che un investitore serio dovrebbe essere invitato a finanziare per primo — e all'inizio, soltanto quello.</w:t>
      </w:r>
    </w:p>
    <w:p>
      <w:pPr>
        <w:pStyle w:val="Heading1"/>
        <w:spacing w:after="180" w:before="360"/>
      </w:pPr>
      <w:r>
        <w:rPr>
          <w:rFonts w:ascii="Calibri" w:cs="Calibri" w:eastAsia="Calibri" w:hAnsi="Calibri"/>
          <w:b/>
          <w:bCs/>
          <w:color w:val="c8872f"/>
          <w:sz w:val="30"/>
          <w:szCs w:val="30"/>
        </w:rPr>
        <w:t xml:space="preserve">11. Riferimenti</w:t>
      </w:r>
    </w:p>
    <w:p>
      <w:pPr>
        <w:pStyle w:val="ListParagraph"/>
        <w:numPr>
          <w:ilvl w:val="0"/>
          <w:numId w:val="1"/>
        </w:numPr>
        <w:spacing w:after="80" w:line="300"/>
      </w:pPr>
      <w:r>
        <w:rPr>
          <w:rFonts w:ascii="Calibri" w:cs="Calibri" w:eastAsia="Calibri" w:hAnsi="Calibri"/>
          <w:color w:val="4a4a4a"/>
          <w:sz w:val="21"/>
          <w:szCs w:val="21"/>
        </w:rPr>
        <w:t xml:space="preserve">Aman Club — quote di ammissione e annuali (Elite Traveler, « Inside Luxury Travel's Private Members' Club Boom »).</w:t>
      </w:r>
    </w:p>
    <w:p>
      <w:pPr>
        <w:pStyle w:val="ListParagraph"/>
        <w:numPr>
          <w:ilvl w:val="0"/>
          <w:numId w:val="1"/>
        </w:numPr>
        <w:spacing w:after="80" w:line="300"/>
      </w:pPr>
      <w:r>
        <w:rPr>
          <w:rFonts w:ascii="Calibri" w:cs="Calibri" w:eastAsia="Calibri" w:hAnsi="Calibri"/>
          <w:color w:val="4a4a4a"/>
          <w:sz w:val="21"/>
          <w:szCs w:val="21"/>
        </w:rPr>
        <w:t xml:space="preserve">Bohemian Club, Knickerbocker Club — quote 2026 (Private Club Marketing, « Private Club Membership Costs 2026 »).</w:t>
      </w:r>
    </w:p>
    <w:p>
      <w:pPr>
        <w:pStyle w:val="ListParagraph"/>
        <w:numPr>
          <w:ilvl w:val="0"/>
          <w:numId w:val="1"/>
        </w:numPr>
        <w:spacing w:after="80" w:line="300"/>
      </w:pPr>
      <w:r>
        <w:rPr>
          <w:rFonts w:ascii="Calibri" w:cs="Calibri" w:eastAsia="Calibri" w:hAnsi="Calibri"/>
          <w:color w:val="4a4a4a"/>
          <w:sz w:val="21"/>
          <w:szCs w:val="21"/>
        </w:rPr>
        <w:t xml:space="preserve">Royal Mansour Marrakech — tariffe per riad, 2026.</w:t>
      </w:r>
    </w:p>
    <w:p>
      <w:pPr>
        <w:pStyle w:val="ListParagraph"/>
        <w:numPr>
          <w:ilvl w:val="0"/>
          <w:numId w:val="1"/>
        </w:numPr>
        <w:spacing w:after="80" w:line="300"/>
      </w:pPr>
      <w:r>
        <w:rPr>
          <w:rFonts w:ascii="Calibri" w:cs="Calibri" w:eastAsia="Calibri" w:hAnsi="Calibri"/>
          <w:color w:val="4a4a4a"/>
          <w:sz w:val="21"/>
          <w:szCs w:val="21"/>
        </w:rPr>
        <w:t xml:space="preserve">Costi di restauro riad a Fès, 2026 — 12.000–20.000 MAD/m² per il restauro patrimoniale (Bricolat, « Rénovation riad Fès »).</w:t>
      </w:r>
    </w:p>
    <w:p>
      <w:pPr>
        <w:pStyle w:val="ListParagraph"/>
        <w:numPr>
          <w:ilvl w:val="0"/>
          <w:numId w:val="1"/>
        </w:numPr>
        <w:spacing w:after="80" w:line="300"/>
      </w:pPr>
      <w:r>
        <w:rPr>
          <w:rFonts w:ascii="Calibri" w:cs="Calibri" w:eastAsia="Calibri" w:hAnsi="Calibri"/>
          <w:color w:val="4a4a4a"/>
          <w:sz w:val="21"/>
          <w:szCs w:val="21"/>
        </w:rPr>
        <w:t xml:space="preserve">Prezzi immobiliari in medina di Fès — annunci correnti (Trovit, Mitula, PAP).</w:t>
      </w:r>
    </w:p>
    <w:p>
      <w:pPr>
        <w:spacing w:after="240"/>
      </w:pPr>
    </w:p>
    <w:p>
      <w:pPr>
        <w:spacing w:after="140" w:line="300"/>
      </w:pPr>
      <w:r>
        <w:rPr>
          <w:rFonts w:ascii="Calibri" w:cs="Calibri" w:eastAsia="Calibri" w:hAnsi="Calibri"/>
          <w:i/>
          <w:iCs/>
          <w:color w:val="4a4a4a"/>
          <w:sz w:val="19"/>
          <w:szCs w:val="19"/>
        </w:rPr>
        <w:t xml:space="preserve">Le voci di costo di esercizio (personale, ristorazione, manutenzione) sono stime costruite su rapporti standard dell'ospitalità di lusso applicati al livello salariale marocchino. Non derivano da un budget verificato e vanno riviste con un direttore d'esercizio prima di qualunque decisione.</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2026-08-18T15:01:44.479Z</dcterms:created>
  <dcterms:modified xsi:type="dcterms:W3CDTF">2026-08-18T15:01:44.497Z</dcterms:modified>
</cp:coreProperties>
</file>

<file path=docProps/custom.xml><?xml version="1.0" encoding="utf-8"?>
<Properties xmlns="http://schemas.openxmlformats.org/officeDocument/2006/custom-properties" xmlns:vt="http://schemas.openxmlformats.org/officeDocument/2006/docPropsVTypes"/>
</file>