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jc w:val="center"/>
      </w:pPr>
      <w:r>
        <w:rPr>
          <w:rFonts w:ascii="Calibri" w:cs="Calibri" w:eastAsia="Calibri" w:hAnsi="Calibri"/>
          <w:color w:val="c8872f"/>
          <w:spacing w:val="80"/>
          <w:sz w:val="58"/>
          <w:szCs w:val="58"/>
        </w:rPr>
        <w:t xml:space="preserve">AL-MUNYA</w:t>
      </w:r>
    </w:p>
    <w:p>
      <w:pPr>
        <w:spacing w:after="420"/>
        <w:jc w:val="center"/>
      </w:pPr>
      <w:r>
        <w:rPr>
          <w:rFonts w:ascii="Arial" w:cs="Arial" w:eastAsia="Arial" w:hAnsi="Arial"/>
          <w:color w:val="c8872f"/>
          <w:sz w:val="30"/>
          <w:szCs w:val="30"/>
        </w:rPr>
        <w:t xml:space="preserve">المنية</w:t>
      </w:r>
    </w:p>
    <w:p>
      <w:pPr>
        <w:spacing w:after="140" w:line="300"/>
        <w:jc w:val="center"/>
      </w:pPr>
      <w:r>
        <w:rPr>
          <w:rFonts w:ascii="Calibri" w:cs="Calibri" w:eastAsia="Calibri" w:hAnsi="Calibri"/>
          <w:color w:val="1f1f1f"/>
          <w:sz w:val="26"/>
          <w:szCs w:val="26"/>
        </w:rPr>
        <w:t xml:space="preserve">Dossier economico</w:t>
      </w:r>
    </w:p>
    <w:p>
      <w:pPr>
        <w:spacing w:after="140" w:line="300"/>
        <w:jc w:val="center"/>
      </w:pPr>
      <w:r>
        <w:rPr>
          <w:rFonts w:ascii="Calibri" w:cs="Calibri" w:eastAsia="Calibri" w:hAnsi="Calibri"/>
          <w:color w:val="1f1f1f"/>
          <w:sz w:val="22"/>
          <w:szCs w:val="22"/>
        </w:rPr>
        <w:t xml:space="preserve">Per il mecenate e per il socio fondatore</w:t>
      </w:r>
    </w:p>
    <w:p>
      <w:pPr>
        <w:spacing w:after="80"/>
      </w:pPr>
    </w:p>
    <w:p>
      <w:pPr>
        <w:spacing w:after="140" w:line="300"/>
        <w:jc w:val="center"/>
      </w:pPr>
      <w:r>
        <w:rPr>
          <w:rFonts w:ascii="Calibri" w:cs="Calibri" w:eastAsia="Calibri" w:hAnsi="Calibri"/>
          <w:color w:val="c8872f"/>
          <w:sz w:val="20"/>
          <w:szCs w:val="20"/>
        </w:rPr>
        <w:t xml:space="preserve">La casa: Al-Munya  ·  Il majlis: An-Nudamāʾ</w:t>
      </w:r>
    </w:p>
    <w:p>
      <w:pPr>
        <w:spacing w:after="140" w:line="300"/>
        <w:jc w:val="center"/>
      </w:pPr>
      <w:r>
        <w:rPr>
          <w:rFonts w:ascii="Calibri" w:cs="Calibri" w:eastAsia="Calibri" w:hAnsi="Calibri"/>
          <w:color w:val="4a4a4a"/>
          <w:sz w:val="21"/>
          <w:szCs w:val="21"/>
        </w:rPr>
        <w:t xml:space="preserve">Una casa a numero chiuso, muro contro muro con il Riad al-Uns — Fès</w:t>
      </w:r>
    </w:p>
    <w:p>
      <w:pPr>
        <w:spacing w:after="600"/>
      </w:pPr>
    </w:p>
    <w:p>
      <w:pPr>
        <w:spacing w:after="140" w:line="300"/>
        <w:jc w:val="center"/>
      </w:pPr>
      <w:r>
        <w:rPr>
          <w:rFonts w:ascii="Calibri" w:cs="Calibri" w:eastAsia="Calibri" w:hAnsi="Calibri"/>
          <w:i/>
          <w:iCs/>
          <w:color w:val="4a4a4a"/>
          <w:sz w:val="18"/>
          <w:szCs w:val="18"/>
        </w:rPr>
        <w:t xml:space="preserve">Documento riservato · agosto 2026 · versione di lavoro</w:t>
      </w:r>
    </w:p>
    <w:p>
      <w:r>
        <w:br w:type="page"/>
      </w:r>
    </w:p>
    <w:p>
      <w:pPr>
        <w:pStyle w:val="Heading1"/>
        <w:spacing w:after="180" w:before="360"/>
      </w:pPr>
      <w:r>
        <w:rPr>
          <w:rFonts w:ascii="Calibri" w:cs="Calibri" w:eastAsia="Calibri" w:hAnsi="Calibri"/>
          <w:b/>
          <w:bCs/>
          <w:color w:val="c8872f"/>
          <w:sz w:val="30"/>
          <w:szCs w:val="30"/>
        </w:rPr>
        <w:t xml:space="preserve">1. Sintesi</w:t>
      </w:r>
    </w:p>
    <w:p>
      <w:pPr>
        <w:spacing w:after="140" w:line="300"/>
      </w:pPr>
      <w:r>
        <w:rPr>
          <w:rFonts w:ascii="Calibri" w:cs="Calibri" w:eastAsia="Calibri" w:hAnsi="Calibri"/>
          <w:b/>
          <w:bCs/>
          <w:color w:val="1f1f1f"/>
          <w:sz w:val="21"/>
          <w:szCs w:val="21"/>
        </w:rPr>
        <w:t xml:space="preserve">L'operazione. </w:t>
      </w:r>
      <w:r>
        <w:rPr>
          <w:rFonts w:ascii="Calibri" w:cs="Calibri" w:eastAsia="Calibri" w:hAnsi="Calibri"/>
          <w:color w:val="4a4a4a"/>
          <w:sz w:val="21"/>
          <w:szCs w:val="21"/>
        </w:rPr>
        <w:t xml:space="preserve">Restaurare una dimora di circa 900 m² nella medina di Fès, confinante con il Riad al-Uns, e aprirla come casa privata a numero chiuso: sei suite, mai più di otto ospiti alla volta, ammissione per sola cooptazione, solo uomini. In più, un appartamento d'onore che non viene mai affittato. Non un albergo — un majlis che dispone di una casa.</w:t>
      </w:r>
    </w:p>
    <w:p>
      <w:pPr>
        <w:spacing w:after="140" w:line="300"/>
      </w:pPr>
      <w:r>
        <w:rPr>
          <w:rFonts w:ascii="Calibri" w:cs="Calibri" w:eastAsia="Calibri" w:hAnsi="Calibri"/>
          <w:b/>
          <w:bCs/>
          <w:color w:val="1f1f1f"/>
          <w:sz w:val="21"/>
          <w:szCs w:val="21"/>
        </w:rPr>
        <w:t xml:space="preserve">L'attivo. </w:t>
      </w:r>
      <w:r>
        <w:rPr>
          <w:rFonts w:ascii="Calibri" w:cs="Calibri" w:eastAsia="Calibri" w:hAnsi="Calibri"/>
          <w:color w:val="4a4a4a"/>
          <w:sz w:val="21"/>
          <w:szCs w:val="21"/>
        </w:rPr>
        <w:t xml:space="preserve">Dall'altra parte del muro c'è una comunità di giovani uomini che imparano lo zellīj, la calligrafia, la forgia, il cavallo e l'arco, e che esisterebbe identica se la Munya non ci fosse. Ogni operatore del lusso al mondo vende « incontri autentici con gli artigiani », costruiti e percepiti come tali. Qui non lo sono. L'asimmetria non è replicabile con capitale: si può costruire un palazzo più bello in diciotto mesi, non la casa accanto — e il terreno confinante con quella casa esiste una volta sola.</w:t>
      </w:r>
    </w:p>
    <w:p>
      <w:pPr>
        <w:spacing w:after="140" w:line="300"/>
      </w:pPr>
      <w:r>
        <w:rPr>
          <w:rFonts w:ascii="Calibri" w:cs="Calibri" w:eastAsia="Calibri" w:hAnsi="Calibri"/>
          <w:b/>
          <w:bCs/>
          <w:color w:val="1f1f1f"/>
          <w:sz w:val="21"/>
          <w:szCs w:val="21"/>
        </w:rPr>
        <w:t xml:space="preserve">Il prezzo. </w:t>
      </w:r>
      <w:r>
        <w:rPr>
          <w:rFonts w:ascii="Calibri" w:cs="Calibri" w:eastAsia="Calibri" w:hAnsi="Calibri"/>
          <w:color w:val="4a4a4a"/>
          <w:sz w:val="21"/>
          <w:szCs w:val="21"/>
        </w:rPr>
        <w:t xml:space="preserve">60.000 € di ammissione per i fondatori (150.000 € a regime, con scaglioni crescenti), 22.000 € di quota annuale, 3.500 € a notte tutto compreso. È un posizionamento deliberato, e la difficoltà fa parte del prodotto: a questo livello di ricchezza l'unico bene ancora scarso è qualcosa che si possa non ottenere.</w:t>
      </w:r>
    </w:p>
    <w:p>
      <w:pPr>
        <w:spacing w:after="140" w:line="300"/>
      </w:pPr>
      <w:r>
        <w:rPr>
          <w:rFonts w:ascii="Calibri" w:cs="Calibri" w:eastAsia="Calibri" w:hAnsi="Calibri"/>
          <w:b/>
          <w:bCs/>
          <w:color w:val="1f1f1f"/>
          <w:sz w:val="21"/>
          <w:szCs w:val="21"/>
        </w:rPr>
        <w:t xml:space="preserve">Il fabbisogno. </w:t>
      </w:r>
      <w:r>
        <w:rPr>
          <w:rFonts w:ascii="Calibri" w:cs="Calibri" w:eastAsia="Calibri" w:hAnsi="Calibri"/>
          <w:color w:val="4a4a4a"/>
          <w:sz w:val="21"/>
          <w:szCs w:val="21"/>
        </w:rPr>
        <w:t xml:space="preserve">5,29 M€ complessivi, ripartiti in due masse che si finanziano in modo diverso: 3,84 M€ di muri (acquisto, restauro, ala d'onore) e 1,45 M€ di esercizio (impianti, arredo, pre-apertura, circolante).</w:t>
      </w:r>
    </w:p>
    <w:p>
      <w:pPr>
        <w:spacing w:after="140" w:line="300"/>
      </w:pPr>
      <w:r>
        <w:rPr>
          <w:rFonts w:ascii="Calibri" w:cs="Calibri" w:eastAsia="Calibri" w:hAnsi="Calibri"/>
          <w:b/>
          <w:bCs/>
          <w:color w:val="1f1f1f"/>
          <w:sz w:val="21"/>
          <w:szCs w:val="21"/>
        </w:rPr>
        <w:t xml:space="preserve">Chi finanzia che cosa. </w:t>
      </w:r>
      <w:r>
        <w:rPr>
          <w:rFonts w:ascii="Calibri" w:cs="Calibri" w:eastAsia="Calibri" w:hAnsi="Calibri"/>
          <w:color w:val="4a4a4a"/>
          <w:sz w:val="21"/>
          <w:szCs w:val="21"/>
        </w:rPr>
        <w:t xml:space="preserve">La tranche fondatrice — 40 × 60.000 € = 2,40 M€ — copre per intero il capitale d'esercizio e ne avanzano 948.000 € che vanno sui muri. Restano 2,89 M€ di fabbisogno mecenatizio sull'immobile. Non c'è equity residua da collocare presso un investitore finanziario: il progetto, a questo prezzo, non ne ha più bisogno.</w:t>
      </w:r>
    </w:p>
    <w:p>
      <w:pPr>
        <w:spacing w:after="140" w:line="300"/>
      </w:pPr>
      <w:r>
        <w:rPr>
          <w:rFonts w:ascii="Calibri" w:cs="Calibri" w:eastAsia="Calibri" w:hAnsi="Calibri"/>
          <w:b/>
          <w:bCs/>
          <w:color w:val="1f1f1f"/>
          <w:sz w:val="21"/>
          <w:szCs w:val="21"/>
        </w:rPr>
        <w:t xml:space="preserve">Il ritorno. </w:t>
      </w:r>
      <w:r>
        <w:rPr>
          <w:rFonts w:ascii="Calibri" w:cs="Calibri" w:eastAsia="Calibri" w:hAnsi="Calibri"/>
          <w:color w:val="4a4a4a"/>
          <w:sz w:val="21"/>
          <w:szCs w:val="21"/>
        </w:rPr>
        <w:t xml:space="preserve">Nello scenario di riferimento, margine operativo di 2,46 M€ su 4,46 M€ di ricavi (55%) e un flusso annuo di 1,05 M€ verso il riad fra canone, corrispettivo d'accesso e dotazione. Anche nello scenario prudente — settanta soci, ventiquattro per cento di occupazione — il margine resta di 1,23 M€.</w:t>
      </w:r>
    </w:p>
    <w:p>
      <w:pPr>
        <w:spacing w:after="140" w:line="300"/>
      </w:pPr>
      <w:r>
        <w:rPr>
          <w:rFonts w:ascii="Calibri" w:cs="Calibri" w:eastAsia="Calibri" w:hAnsi="Calibri"/>
          <w:b/>
          <w:bCs/>
          <w:color w:val="1f1f1f"/>
          <w:sz w:val="21"/>
          <w:szCs w:val="21"/>
        </w:rPr>
        <w:t xml:space="preserve">La condizione. </w:t>
      </w:r>
      <w:r>
        <w:rPr>
          <w:rFonts w:ascii="Calibri" w:cs="Calibri" w:eastAsia="Calibri" w:hAnsi="Calibri"/>
          <w:color w:val="4a4a4a"/>
          <w:sz w:val="21"/>
          <w:szCs w:val="21"/>
        </w:rPr>
        <w:t xml:space="preserve">Non si costruisce e poi si vende: si vende, e poi si costruisce. La proprietà confinante va bloccata subito con un'opzione, non comprata; la tranche fondatrice va raccolta prima di esercitarla. Se in dodici mesi non si arriva a quaranta uomini, si perde l'acconto sull'opzione e nient'altro.</w:t>
      </w:r>
    </w:p>
    <w:p>
      <w:pPr>
        <w:pBdr>
          <w:bottom w:val="single" w:color="DDDDDD" w:sz="6"/>
        </w:pBdr>
        <w:spacing w:after="200"/>
      </w:pPr>
    </w:p>
    <w:p>
      <w:pPr>
        <w:spacing w:after="140" w:line="300"/>
      </w:pPr>
      <w:r>
        <w:rPr>
          <w:rFonts w:ascii="Calibri" w:cs="Calibri" w:eastAsia="Calibri" w:hAnsi="Calibri"/>
          <w:i/>
          <w:iCs/>
          <w:color w:val="4a4a4a"/>
          <w:sz w:val="19"/>
          <w:szCs w:val="19"/>
        </w:rPr>
        <w:t xml:space="preserve">Tutte le cifre di questo documento sono ipotesi di lavoro costruite su riferimenti pubblici di mercato (§12). Nessuna deriva da un preventivo firmato, da una perizia o da un immobile individuato. Vanno verificate prima di qualunque impegno.</w:t>
      </w:r>
    </w:p>
    <w:p>
      <w:pPr>
        <w:pStyle w:val="Heading1"/>
        <w:spacing w:after="180" w:before="360"/>
      </w:pPr>
      <w:r>
        <w:rPr>
          <w:rFonts w:ascii="Calibri" w:cs="Calibri" w:eastAsia="Calibri" w:hAnsi="Calibri"/>
          <w:b/>
          <w:bCs/>
          <w:color w:val="c8872f"/>
          <w:sz w:val="30"/>
          <w:szCs w:val="30"/>
        </w:rPr>
        <w:t xml:space="preserve">2. Il modello: un majlis, non un albergo</w:t>
      </w:r>
    </w:p>
    <w:p>
      <w:pPr>
        <w:spacing w:after="140" w:line="300"/>
      </w:pPr>
      <w:r>
        <w:rPr>
          <w:rFonts w:ascii="Calibri" w:cs="Calibri" w:eastAsia="Calibri" w:hAnsi="Calibri"/>
          <w:color w:val="4a4a4a"/>
          <w:sz w:val="21"/>
          <w:szCs w:val="21"/>
        </w:rPr>
        <w:t xml:space="preserve">La forma commerciale è quella del majlis a numero chiuso. Ha tre conseguenze economiche che spiegano l'intero conto economico:</w:t>
      </w:r>
    </w:p>
    <w:p>
      <w:pPr>
        <w:pStyle w:val="ListParagraph"/>
        <w:numPr>
          <w:ilvl w:val="0"/>
          <w:numId w:val="1"/>
        </w:numPr>
        <w:spacing w:after="80" w:line="300"/>
      </w:pPr>
      <w:r>
        <w:rPr>
          <w:rFonts w:ascii="Calibri" w:cs="Calibri" w:eastAsia="Calibri" w:hAnsi="Calibri"/>
          <w:color w:val="4a4a4a"/>
          <w:sz w:val="21"/>
          <w:szCs w:val="21"/>
        </w:rPr>
        <w:t xml:space="preserve">Ricavo ricorrente. Le quote annuali sono incassate a prescindere dall'occupazione e hanno costo marginale quasi nullo. Nello scenario di riferimento valgono 1,50 M€ l'anno — il 44% dei ricavi — e da sole coprono i quattro quinti dei costi fissi.</w:t>
      </w:r>
    </w:p>
    <w:p>
      <w:pPr>
        <w:pStyle w:val="ListParagraph"/>
        <w:numPr>
          <w:ilvl w:val="0"/>
          <w:numId w:val="1"/>
        </w:numPr>
        <w:spacing w:after="80" w:line="300"/>
      </w:pPr>
      <w:r>
        <w:rPr>
          <w:rFonts w:ascii="Calibri" w:cs="Calibri" w:eastAsia="Calibri" w:hAnsi="Calibri"/>
          <w:color w:val="4a4a4a"/>
          <w:sz w:val="21"/>
          <w:szCs w:val="21"/>
        </w:rPr>
        <w:t xml:space="preserve">Occupazione bassa per costruzione. Il modello non ha bisogno di riempire: al 38% di occupazione è ampiamente redditizio, e al 28% resta in utile. Questo elimina il rischio strutturale dell'albergo di lusso, che è la stagionalità.</w:t>
      </w:r>
    </w:p>
    <w:p>
      <w:pPr>
        <w:pStyle w:val="ListParagraph"/>
        <w:numPr>
          <w:ilvl w:val="0"/>
          <w:numId w:val="1"/>
        </w:numPr>
        <w:spacing w:after="80" w:line="300"/>
      </w:pPr>
      <w:r>
        <w:rPr>
          <w:rFonts w:ascii="Calibri" w:cs="Calibri" w:eastAsia="Calibri" w:hAnsi="Calibri"/>
          <w:color w:val="4a4a4a"/>
          <w:sz w:val="21"/>
          <w:szCs w:val="21"/>
        </w:rPr>
        <w:t xml:space="preserve">Costo di acquisizione del cliente prossimo allo zero. Nessuna commissione di intermediazione, nessuna pubblicità, nessun portale. L'ammissione avviene per cooptazione fra soci.</w:t>
      </w:r>
    </w:p>
    <w:p>
      <w:pPr>
        <w:pStyle w:val="Heading2"/>
        <w:spacing w:after="120" w:before="260"/>
      </w:pPr>
      <w:r>
        <w:rPr>
          <w:rFonts w:ascii="Calibri" w:cs="Calibri" w:eastAsia="Calibri" w:hAnsi="Calibri"/>
          <w:b/>
          <w:bCs/>
          <w:color w:val="1f1f1f"/>
          <w:sz w:val="23"/>
          <w:szCs w:val="23"/>
        </w:rPr>
        <w:t xml:space="preserve">La difficoltà è il prodotto</w:t>
      </w:r>
    </w:p>
    <w:p>
      <w:pPr>
        <w:spacing w:after="140" w:line="300"/>
      </w:pPr>
      <w:r>
        <w:rPr>
          <w:rFonts w:ascii="Calibri" w:cs="Calibri" w:eastAsia="Calibri" w:hAnsi="Calibri"/>
          <w:color w:val="4a4a4a"/>
          <w:sz w:val="21"/>
          <w:szCs w:val="21"/>
        </w:rPr>
        <w:t xml:space="preserve">Un uomo che può comprare qualunque cosa ha un problema che nessuno gli risolve: niente gli resiste. Ogni porta si apre, ogni lista si accorcia, ogni regola ha un'eccezione per lui — e il risultato è che nulla di ciò che ottiene significa più niente, perché non è mai stato in dubbio.</w:t>
      </w:r>
    </w:p>
    <w:p>
      <w:pPr>
        <w:spacing w:after="140" w:line="300"/>
      </w:pPr>
      <w:r>
        <w:rPr>
          <w:rFonts w:ascii="Calibri" w:cs="Calibri" w:eastAsia="Calibri" w:hAnsi="Calibri"/>
          <w:color w:val="4a4a4a"/>
          <w:sz w:val="21"/>
          <w:szCs w:val="21"/>
        </w:rPr>
        <w:t xml:space="preserve">La Munya è costruita per essere la cosa che gli resiste. Il prezzo altissimo, il numero chiuso, l'assenza di un modulo, l'impossibilità di proporsi, la decisione che non viene motivata: non sono ostacoli da tollerare in cambio del lusso, sono ciò che compra. Ne discende una conseguenza commerciale precisa — un prezzo basso non allargherebbe il bacino, lo peggiorerebbe: attirerebbe uomini destinati a essere rifiutati, e ogni rifiuto in faccia a un uomo ricco è un nemico. Il prezzo alto fa la selezione prima che qualcuno debba dire di no.</w:t>
      </w:r>
    </w:p>
    <w:p>
      <w:pPr>
        <w:spacing w:after="120"/>
      </w:pPr>
    </w:p>
    <w:tbl>
      <w:tblPr>
        <w:tblW w:type="dxa" w:w="9360"/>
        <w:tblBorders>
          <w:top w:val="single" w:color="E5E5E5" w:sz="2"/>
          <w:left w:val="none"/>
          <w:bottom w:val="single" w:color="E5E5E5" w:sz="2"/>
          <w:right w:val="none"/>
          <w:insideH w:val="single" w:color="EEEEEE" w:sz="2"/>
          <w:insideV w:val="none"/>
        </w:tblBorders>
      </w:tblPr>
      <w:tblGrid>
        <w:gridCol w:w="3800"/>
        <w:gridCol w:w="2400"/>
        <w:gridCol w:w="3160"/>
      </w:tblGrid>
      <w:tr>
        <w:trPr>
          <w:tblHeader/>
        </w:trPr>
        <w:tc>
          <w:tcPr>
            <w:tcW w:type="dxa" w:w="3800"/>
            <w:shd w:fill="c8872f"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19"/>
                <w:szCs w:val="19"/>
              </w:rPr>
              <w:t xml:space="preserve">Voce</w:t>
            </w:r>
          </w:p>
        </w:tc>
        <w:tc>
          <w:tcPr>
            <w:tcW w:type="dxa" w:w="240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Importo</w:t>
            </w:r>
          </w:p>
        </w:tc>
        <w:tc>
          <w:tcPr>
            <w:tcW w:type="dxa" w:w="316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Nota</w:t>
            </w:r>
          </w:p>
        </w:tc>
      </w:tr>
      <w:tr>
        <w:tc>
          <w:tcPr>
            <w:tcW w:type="dxa" w:w="3800"/>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Ammissione — soci fondatori</w:t>
            </w:r>
          </w:p>
        </w:tc>
        <w:tc>
          <w:tcPr>
            <w:tcW w:type="dxa" w:w="24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60.000 €</w:t>
            </w:r>
          </w:p>
        </w:tc>
        <w:tc>
          <w:tcPr>
            <w:tcW w:type="dxa" w:w="316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Una tantum, 40 posti, prima dei lavori</w:t>
            </w:r>
          </w:p>
        </w:tc>
      </w:tr>
      <w:tr>
        <w:tc>
          <w:tcPr>
            <w:tcW w:type="dxa" w:w="3800"/>
            <w:shd w:fill="FAFAFA" w:color="auto" w:val="clear"/>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Ammissione — ordinario</w:t>
            </w:r>
          </w:p>
        </w:tc>
        <w:tc>
          <w:tcPr>
            <w:tcW w:type="dxa" w:w="24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150.000 €</w:t>
            </w:r>
          </w:p>
        </w:tc>
        <w:tc>
          <w:tcPr>
            <w:tcW w:type="dxa" w:w="316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+10.000 € ogni dieci soci ammessi</w:t>
            </w:r>
          </w:p>
        </w:tc>
      </w:tr>
      <w:tr>
        <w:tc>
          <w:tcPr>
            <w:tcW w:type="dxa" w:w="3800"/>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Quota annuale</w:t>
            </w:r>
          </w:p>
        </w:tc>
        <w:tc>
          <w:tcPr>
            <w:tcW w:type="dxa" w:w="24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22.000 €</w:t>
            </w:r>
          </w:p>
        </w:tc>
        <w:tc>
          <w:tcPr>
            <w:tcW w:type="dxa" w:w="316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Comprende 3 notti</w:t>
            </w:r>
          </w:p>
        </w:tc>
      </w:tr>
      <w:tr>
        <w:tc>
          <w:tcPr>
            <w:tcW w:type="dxa" w:w="3800"/>
            <w:shd w:fill="FAFAFA" w:color="auto" w:val="clear"/>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Notte in suite</w:t>
            </w:r>
          </w:p>
        </w:tc>
        <w:tc>
          <w:tcPr>
            <w:tcW w:type="dxa" w:w="24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3.500 €</w:t>
            </w:r>
          </w:p>
        </w:tc>
        <w:tc>
          <w:tcPr>
            <w:tcW w:type="dxa" w:w="316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Pensione completa, hammam, personale</w:t>
            </w:r>
          </w:p>
        </w:tc>
      </w:tr>
      <w:tr>
        <w:tc>
          <w:tcPr>
            <w:tcW w:type="dxa" w:w="3800"/>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Uso esclusivo della casa</w:t>
            </w:r>
          </w:p>
        </w:tc>
        <w:tc>
          <w:tcPr>
            <w:tcW w:type="dxa" w:w="24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18.000 €</w:t>
            </w:r>
          </w:p>
        </w:tc>
        <w:tc>
          <w:tcPr>
            <w:tcW w:type="dxa" w:w="316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A notte, sei suite, minimo 3 notti</w:t>
            </w:r>
          </w:p>
        </w:tc>
      </w:tr>
      <w:tr>
        <w:tc>
          <w:tcPr>
            <w:tcW w:type="dxa" w:w="3800"/>
            <w:shd w:fill="FAFAFA" w:color="auto" w:val="clear"/>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Ospite non socio</w:t>
            </w:r>
          </w:p>
        </w:tc>
        <w:tc>
          <w:tcPr>
            <w:tcW w:type="dxa" w:w="24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+1.800 €</w:t>
            </w:r>
          </w:p>
        </w:tc>
        <w:tc>
          <w:tcPr>
            <w:tcW w:type="dxa" w:w="316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A notte, massimo 3 per soggiorno</w:t>
            </w:r>
          </w:p>
        </w:tc>
      </w:tr>
    </w:tbl>
    <w:p>
      <w:pPr>
        <w:spacing w:after="200"/>
      </w:pPr>
    </w:p>
    <w:p>
      <w:pPr>
        <w:spacing w:after="140" w:line="300"/>
      </w:pPr>
      <w:r>
        <w:rPr>
          <w:rFonts w:ascii="Calibri" w:cs="Calibri" w:eastAsia="Calibri" w:hAnsi="Calibri"/>
          <w:i/>
          <w:iCs/>
          <w:color w:val="4a4a4a"/>
          <w:sz w:val="19"/>
          <w:szCs w:val="19"/>
        </w:rPr>
        <w:t xml:space="preserve">Nessun listino è pubblicato. Le cifre sono dette al candidato durante il colloquio di ammissione, e il momento in cui gli vengono dette fa parte della selezione.</w:t>
      </w:r>
    </w:p>
    <w:p>
      <w:pPr>
        <w:pStyle w:val="Heading2"/>
        <w:spacing w:after="120" w:before="260"/>
      </w:pPr>
      <w:r>
        <w:rPr>
          <w:rFonts w:ascii="Calibri" w:cs="Calibri" w:eastAsia="Calibri" w:hAnsi="Calibri"/>
          <w:b/>
          <w:bCs/>
          <w:color w:val="1f1f1f"/>
          <w:sz w:val="23"/>
          <w:szCs w:val="23"/>
        </w:rPr>
        <w:t xml:space="preserve">Fin dove alzare</w:t>
      </w:r>
    </w:p>
    <w:p>
      <w:pPr>
        <w:spacing w:after="140" w:line="300"/>
      </w:pPr>
      <w:r>
        <w:rPr>
          <w:rFonts w:ascii="Calibri" w:cs="Calibri" w:eastAsia="Calibri" w:hAnsi="Calibri"/>
          <w:color w:val="4a4a4a"/>
          <w:sz w:val="21"/>
          <w:szCs w:val="21"/>
        </w:rPr>
        <w:t xml:space="preserve">La domanda va posta separatamente per le due cose, perché hanno vincoli opposti.</w:t>
      </w:r>
    </w:p>
    <w:p>
      <w:pPr>
        <w:spacing w:after="140" w:line="300"/>
      </w:pPr>
      <w:r>
        <w:rPr>
          <w:rFonts w:ascii="Calibri" w:cs="Calibri" w:eastAsia="Calibri" w:hAnsi="Calibri"/>
          <w:b/>
          <w:bCs/>
          <w:color w:val="1f1f1f"/>
          <w:sz w:val="21"/>
          <w:szCs w:val="21"/>
        </w:rPr>
        <w:t xml:space="preserve">Le quote e le tariffe possono salire, e conviene che salgano. </w:t>
      </w:r>
      <w:r>
        <w:rPr>
          <w:rFonts w:ascii="Calibri" w:cs="Calibri" w:eastAsia="Calibri" w:hAnsi="Calibri"/>
          <w:color w:val="4a4a4a"/>
          <w:sz w:val="21"/>
          <w:szCs w:val="21"/>
        </w:rPr>
        <w:t xml:space="preserve">Sono pagate da uomini che hanno già visto la casa e vi appartengono: l'elasticità è bassissima. Portarle da 15.000 e 2.500 € a 22.000 e 3.500 € porta il margine di riferimento da 1,53 a 2,46 M€ e il flusso annuo al riad da 780.000 € a 1,05 M€, e regge anche se l'occupazione scende a un quarto dell'anno.</w:t>
      </w:r>
    </w:p>
    <w:p>
      <w:pPr>
        <w:spacing w:after="140" w:line="300"/>
      </w:pPr>
      <w:r>
        <w:rPr>
          <w:rFonts w:ascii="Calibri" w:cs="Calibri" w:eastAsia="Calibri" w:hAnsi="Calibri"/>
          <w:b/>
          <w:bCs/>
          <w:color w:val="1f1f1f"/>
          <w:sz w:val="21"/>
          <w:szCs w:val="21"/>
        </w:rPr>
        <w:t xml:space="preserve">Il diritto d'ammissione dei fondatori non va alzato. </w:t>
      </w:r>
      <w:r>
        <w:rPr>
          <w:rFonts w:ascii="Calibri" w:cs="Calibri" w:eastAsia="Calibri" w:hAnsi="Calibri"/>
          <w:color w:val="4a4a4a"/>
          <w:sz w:val="21"/>
          <w:szCs w:val="21"/>
        </w:rPr>
        <w:t xml:space="preserve">La risorsa scarsa non è il denaro: sono gli uomini. Quaranta fondatori a 60.000 € e venticinque a 100.000 € raccolgono la stessa cifra, ma trovarne venticinque disposti a versare centomila euro per una casa che non esiste, fra i venticinque e i quarantacinque anni, è un problema molto più difficile — e se non si risolve non si fa niente. Il diritto di fondatore remunera un rischio: deve restare accessibile abbastanza da allargare il bacino, e sono le voci ricorrenti a recuperare tutto il resto, per sempre.</w:t>
      </w:r>
    </w:p>
    <w:p>
      <w:pPr>
        <w:spacing w:after="140" w:line="300"/>
      </w:pPr>
      <w:r>
        <w:rPr>
          <w:rFonts w:ascii="Calibri" w:cs="Calibri" w:eastAsia="Calibri" w:hAnsi="Calibri"/>
          <w:color w:val="4a4a4a"/>
          <w:sz w:val="21"/>
          <w:szCs w:val="21"/>
        </w:rPr>
        <w:t xml:space="preserve">Il confronto utile è uno solo. L'Aman Club chiede 200.000 $ di ammissione e 20.000 $ l'anno per una rete internazionale di dimore; il Bohemian Club, circa 25.000 $ e 3.000–5.000 $ per un majlis urbano. Qui il fondatore paga meno di un terzo dell'ingresso Aman per una casa sola, e il socio ordinario, a regime, si avvicina.</w:t>
      </w:r>
    </w:p>
    <w:p>
      <w:r>
        <w:br w:type="page"/>
      </w:r>
    </w:p>
    <w:p>
      <w:pPr>
        <w:pStyle w:val="Heading1"/>
        <w:spacing w:after="180" w:before="360"/>
      </w:pPr>
      <w:r>
        <w:rPr>
          <w:rFonts w:ascii="Calibri" w:cs="Calibri" w:eastAsia="Calibri" w:hAnsi="Calibri"/>
          <w:b/>
          <w:bCs/>
          <w:color w:val="c8872f"/>
          <w:sz w:val="30"/>
          <w:szCs w:val="30"/>
        </w:rPr>
        <w:t xml:space="preserve">3. Investimento: due masse distinte</w:t>
      </w:r>
    </w:p>
    <w:tbl>
      <w:tblPr>
        <w:tblW w:type="dxa" w:w="9360"/>
        <w:tblBorders>
          <w:top w:val="single" w:color="E5E5E5" w:sz="2"/>
          <w:left w:val="none"/>
          <w:bottom w:val="single" w:color="E5E5E5" w:sz="2"/>
          <w:right w:val="none"/>
          <w:insideH w:val="single" w:color="EEEEEE" w:sz="2"/>
          <w:insideV w:val="none"/>
        </w:tblBorders>
      </w:tblPr>
      <w:tblGrid>
        <w:gridCol w:w="5200"/>
        <w:gridCol w:w="1900"/>
        <w:gridCol w:w="1300"/>
        <w:gridCol w:w="960"/>
      </w:tblGrid>
      <w:tr>
        <w:trPr>
          <w:tblHeader/>
        </w:trPr>
        <w:tc>
          <w:tcPr>
            <w:tcW w:type="dxa" w:w="5200"/>
            <w:shd w:fill="c8872f"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19"/>
                <w:szCs w:val="19"/>
              </w:rPr>
              <w:t xml:space="preserve">Voce</w:t>
            </w:r>
          </w:p>
        </w:tc>
        <w:tc>
          <w:tcPr>
            <w:tcW w:type="dxa" w:w="190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Importo</w:t>
            </w:r>
          </w:p>
        </w:tc>
        <w:tc>
          <w:tcPr>
            <w:tcW w:type="dxa" w:w="130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Natura</w:t>
            </w:r>
          </w:p>
        </w:tc>
        <w:tc>
          <w:tcPr>
            <w:tcW w:type="dxa" w:w="96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w:t>
            </w:r>
          </w:p>
        </w:tc>
      </w:tr>
      <w:tr>
        <w:tc>
          <w:tcPr>
            <w:tcW w:type="dxa" w:w="520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Acquisizione della dimora confinante (~900 m²)</w:t>
            </w:r>
          </w:p>
        </w:tc>
        <w:tc>
          <w:tcPr>
            <w:tcW w:type="dxa" w:w="19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950.000 €</w:t>
            </w:r>
          </w:p>
        </w:tc>
        <w:tc>
          <w:tcPr>
            <w:tcW w:type="dxa" w:w="13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muri</w:t>
            </w:r>
          </w:p>
        </w:tc>
        <w:tc>
          <w:tcPr>
            <w:tcW w:type="dxa" w:w="96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18%</w:t>
            </w:r>
          </w:p>
        </w:tc>
      </w:tr>
      <w:tr>
        <w:tc>
          <w:tcPr>
            <w:tcW w:type="dxa" w:w="520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Restauro patrimoniale (2.100 €/m²)</w:t>
            </w:r>
          </w:p>
        </w:tc>
        <w:tc>
          <w:tcPr>
            <w:tcW w:type="dxa" w:w="19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1.890.000 €</w:t>
            </w:r>
          </w:p>
        </w:tc>
        <w:tc>
          <w:tcPr>
            <w:tcW w:type="dxa" w:w="13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muri</w:t>
            </w:r>
          </w:p>
        </w:tc>
        <w:tc>
          <w:tcPr>
            <w:tcW w:type="dxa" w:w="96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36%</w:t>
            </w:r>
          </w:p>
        </w:tc>
      </w:tr>
      <w:tr>
        <w:tc>
          <w:tcPr>
            <w:tcW w:type="dxa" w:w="520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Appartamento d'onore: ingresso e circolazione</w:t>
            </w:r>
          </w:p>
        </w:tc>
        <w:tc>
          <w:tcPr>
            <w:tcW w:type="dxa" w:w="19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320.000 €</w:t>
            </w:r>
          </w:p>
        </w:tc>
        <w:tc>
          <w:tcPr>
            <w:tcW w:type="dxa" w:w="13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muri</w:t>
            </w:r>
          </w:p>
        </w:tc>
        <w:tc>
          <w:tcPr>
            <w:tcW w:type="dxa" w:w="96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6%</w:t>
            </w:r>
          </w:p>
        </w:tc>
      </w:tr>
      <w:tr>
        <w:tc>
          <w:tcPr>
            <w:tcW w:type="dxa" w:w="520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Trattamento acustico del muro comune</w:t>
            </w:r>
          </w:p>
        </w:tc>
        <w:tc>
          <w:tcPr>
            <w:tcW w:type="dxa" w:w="19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90.000 €</w:t>
            </w:r>
          </w:p>
        </w:tc>
        <w:tc>
          <w:tcPr>
            <w:tcW w:type="dxa" w:w="13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muri</w:t>
            </w:r>
          </w:p>
        </w:tc>
        <w:tc>
          <w:tcPr>
            <w:tcW w:type="dxa" w:w="96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2%</w:t>
            </w:r>
          </w:p>
        </w:tc>
      </w:tr>
      <w:tr>
        <w:tc>
          <w:tcPr>
            <w:tcW w:type="dxa" w:w="520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Scuderia, giardino, terreno annesso</w:t>
            </w:r>
          </w:p>
        </w:tc>
        <w:tc>
          <w:tcPr>
            <w:tcW w:type="dxa" w:w="19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240.000 €</w:t>
            </w:r>
          </w:p>
        </w:tc>
        <w:tc>
          <w:tcPr>
            <w:tcW w:type="dxa" w:w="13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muri</w:t>
            </w:r>
          </w:p>
        </w:tc>
        <w:tc>
          <w:tcPr>
            <w:tcW w:type="dxa" w:w="96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5%</w:t>
            </w:r>
          </w:p>
        </w:tc>
      </w:tr>
      <w:tr>
        <w:tc>
          <w:tcPr>
            <w:tcW w:type="dxa" w:w="520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Impianti tecnici (clima, acqua, cucina, sicurezza)</w:t>
            </w:r>
          </w:p>
        </w:tc>
        <w:tc>
          <w:tcPr>
            <w:tcW w:type="dxa" w:w="19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380.000 €</w:t>
            </w:r>
          </w:p>
        </w:tc>
        <w:tc>
          <w:tcPr>
            <w:tcW w:type="dxa" w:w="13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esercizio</w:t>
            </w:r>
          </w:p>
        </w:tc>
        <w:tc>
          <w:tcPr>
            <w:tcW w:type="dxa" w:w="96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7%</w:t>
            </w:r>
          </w:p>
        </w:tc>
      </w:tr>
      <w:tr>
        <w:tc>
          <w:tcPr>
            <w:tcW w:type="dxa" w:w="520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Arredo, tessili, biblioteca, opere</w:t>
            </w:r>
          </w:p>
        </w:tc>
        <w:tc>
          <w:tcPr>
            <w:tcW w:type="dxa" w:w="19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420.000 €</w:t>
            </w:r>
          </w:p>
        </w:tc>
        <w:tc>
          <w:tcPr>
            <w:tcW w:type="dxa" w:w="13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esercizio</w:t>
            </w:r>
          </w:p>
        </w:tc>
        <w:tc>
          <w:tcPr>
            <w:tcW w:type="dxa" w:w="96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8%</w:t>
            </w:r>
          </w:p>
        </w:tc>
      </w:tr>
      <w:tr>
        <w:tc>
          <w:tcPr>
            <w:tcW w:type="dxa" w:w="520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Studi, licenze, legale, societario</w:t>
            </w:r>
          </w:p>
        </w:tc>
        <w:tc>
          <w:tcPr>
            <w:tcW w:type="dxa" w:w="19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180.000 €</w:t>
            </w:r>
          </w:p>
        </w:tc>
        <w:tc>
          <w:tcPr>
            <w:tcW w:type="dxa" w:w="13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esercizio</w:t>
            </w:r>
          </w:p>
        </w:tc>
        <w:tc>
          <w:tcPr>
            <w:tcW w:type="dxa" w:w="96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3%</w:t>
            </w:r>
          </w:p>
        </w:tc>
      </w:tr>
      <w:tr>
        <w:tc>
          <w:tcPr>
            <w:tcW w:type="dxa" w:w="520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Pre-apertura, formazione, circolante</w:t>
            </w:r>
          </w:p>
        </w:tc>
        <w:tc>
          <w:tcPr>
            <w:tcW w:type="dxa" w:w="19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340.000 €</w:t>
            </w:r>
          </w:p>
        </w:tc>
        <w:tc>
          <w:tcPr>
            <w:tcW w:type="dxa" w:w="13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esercizio</w:t>
            </w:r>
          </w:p>
        </w:tc>
        <w:tc>
          <w:tcPr>
            <w:tcW w:type="dxa" w:w="96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6%</w:t>
            </w:r>
          </w:p>
        </w:tc>
      </w:tr>
      <w:tr>
        <w:tc>
          <w:tcPr>
            <w:tcW w:type="dxa" w:w="520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Imprevisti (10%)</w:t>
            </w:r>
          </w:p>
        </w:tc>
        <w:tc>
          <w:tcPr>
            <w:tcW w:type="dxa" w:w="19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481.000 €</w:t>
            </w:r>
          </w:p>
        </w:tc>
        <w:tc>
          <w:tcPr>
            <w:tcW w:type="dxa" w:w="13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ripartiti</w:t>
            </w:r>
          </w:p>
        </w:tc>
        <w:tc>
          <w:tcPr>
            <w:tcW w:type="dxa" w:w="96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9%</w:t>
            </w:r>
          </w:p>
        </w:tc>
      </w:tr>
      <w:tr>
        <w:tc>
          <w:tcPr>
            <w:tcW w:type="dxa" w:w="5200"/>
            <w:shd w:fill="F8F5F0" w:color="auto" w:val="clear"/>
            <w:tcMar>
              <w:top w:type="dxa" w:w="80"/>
              <w:left w:type="dxa" w:w="110"/>
              <w:bottom w:type="dxa" w:w="80"/>
              <w:right w:type="dxa" w:w="110"/>
            </w:tcMar>
          </w:tcPr>
          <w:p>
            <w:pPr>
              <w:spacing w:after="0" w:line="260"/>
              <w:jc w:val="left"/>
            </w:pPr>
            <w:r>
              <w:rPr>
                <w:rFonts w:ascii="Calibri" w:cs="Calibri" w:eastAsia="Calibri" w:hAnsi="Calibri"/>
                <w:b/>
                <w:bCs/>
                <w:color w:val="4a4a4a"/>
                <w:sz w:val="19"/>
                <w:szCs w:val="19"/>
              </w:rPr>
              <w:t xml:space="preserve">TOTALE</w:t>
            </w:r>
          </w:p>
        </w:tc>
        <w:tc>
          <w:tcPr>
            <w:tcW w:type="dxa" w:w="19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5.291.000 €</w:t>
            </w:r>
          </w:p>
        </w:tc>
        <w:tc>
          <w:tcPr>
            <w:tcW w:type="dxa" w:w="13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
            </w:r>
          </w:p>
        </w:tc>
        <w:tc>
          <w:tcPr>
            <w:tcW w:type="dxa" w:w="96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100%</w:t>
            </w:r>
          </w:p>
        </w:tc>
      </w:tr>
    </w:tbl>
    <w:p>
      <w:pPr>
        <w:spacing w:after="200"/>
      </w:pPr>
    </w:p>
    <w:tbl>
      <w:tblPr>
        <w:tblW w:type="dxa" w:w="9360"/>
        <w:tblBorders>
          <w:top w:val="single" w:color="E5E5E5" w:sz="2"/>
          <w:left w:val="none"/>
          <w:bottom w:val="single" w:color="E5E5E5" w:sz="2"/>
          <w:right w:val="none"/>
          <w:insideH w:val="single" w:color="EEEEEE" w:sz="2"/>
          <w:insideV w:val="none"/>
        </w:tblBorders>
      </w:tblPr>
      <w:tblGrid>
        <w:gridCol w:w="5200"/>
        <w:gridCol w:w="2200"/>
        <w:gridCol w:w="1960"/>
      </w:tblGrid>
      <w:tr>
        <w:trPr>
          <w:tblHeader/>
        </w:trPr>
        <w:tc>
          <w:tcPr>
            <w:tcW w:type="dxa" w:w="5200"/>
            <w:shd w:fill="c8872f"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19"/>
                <w:szCs w:val="19"/>
              </w:rPr>
              <w:t xml:space="preserve"/>
            </w:r>
          </w:p>
        </w:tc>
        <w:tc>
          <w:tcPr>
            <w:tcW w:type="dxa" w:w="220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Importo</w:t>
            </w:r>
          </w:p>
        </w:tc>
        <w:tc>
          <w:tcPr>
            <w:tcW w:type="dxa" w:w="196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Quota</w:t>
            </w:r>
          </w:p>
        </w:tc>
      </w:tr>
      <w:tr>
        <w:tc>
          <w:tcPr>
            <w:tcW w:type="dxa" w:w="5200"/>
            <w:shd w:fill="F8F5F0" w:color="auto" w:val="clear"/>
            <w:tcMar>
              <w:top w:type="dxa" w:w="80"/>
              <w:left w:type="dxa" w:w="110"/>
              <w:bottom w:type="dxa" w:w="80"/>
              <w:right w:type="dxa" w:w="110"/>
            </w:tcMar>
          </w:tcPr>
          <w:p>
            <w:pPr>
              <w:spacing w:after="0" w:line="260"/>
              <w:jc w:val="left"/>
            </w:pPr>
            <w:r>
              <w:rPr>
                <w:rFonts w:ascii="Calibri" w:cs="Calibri" w:eastAsia="Calibri" w:hAnsi="Calibri"/>
                <w:b/>
                <w:bCs/>
                <w:color w:val="4a4a4a"/>
                <w:sz w:val="19"/>
                <w:szCs w:val="19"/>
              </w:rPr>
              <w:t xml:space="preserve">Muri — immobile e opere permanenti</w:t>
            </w:r>
          </w:p>
        </w:tc>
        <w:tc>
          <w:tcPr>
            <w:tcW w:type="dxa" w:w="22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3.839.000 €</w:t>
            </w:r>
          </w:p>
        </w:tc>
        <w:tc>
          <w:tcPr>
            <w:tcW w:type="dxa" w:w="196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73%</w:t>
            </w:r>
          </w:p>
        </w:tc>
      </w:tr>
      <w:tr>
        <w:tc>
          <w:tcPr>
            <w:tcW w:type="dxa" w:w="5200"/>
            <w:shd w:fill="F8F5F0" w:color="auto" w:val="clear"/>
            <w:tcMar>
              <w:top w:type="dxa" w:w="80"/>
              <w:left w:type="dxa" w:w="110"/>
              <w:bottom w:type="dxa" w:w="80"/>
              <w:right w:type="dxa" w:w="110"/>
            </w:tcMar>
          </w:tcPr>
          <w:p>
            <w:pPr>
              <w:spacing w:after="0" w:line="260"/>
              <w:jc w:val="left"/>
            </w:pPr>
            <w:r>
              <w:rPr>
                <w:rFonts w:ascii="Calibri" w:cs="Calibri" w:eastAsia="Calibri" w:hAnsi="Calibri"/>
                <w:b/>
                <w:bCs/>
                <w:color w:val="4a4a4a"/>
                <w:sz w:val="19"/>
                <w:szCs w:val="19"/>
              </w:rPr>
              <w:t xml:space="preserve">Esercizio — impianti, arredo, avviamento</w:t>
            </w:r>
          </w:p>
        </w:tc>
        <w:tc>
          <w:tcPr>
            <w:tcW w:type="dxa" w:w="22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1.452.000 €</w:t>
            </w:r>
          </w:p>
        </w:tc>
        <w:tc>
          <w:tcPr>
            <w:tcW w:type="dxa" w:w="196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27%</w:t>
            </w:r>
          </w:p>
        </w:tc>
      </w:tr>
    </w:tbl>
    <w:p>
      <w:pPr>
        <w:spacing w:after="220"/>
      </w:pPr>
    </w:p>
    <w:p>
      <w:pPr>
        <w:spacing w:after="140" w:line="300"/>
      </w:pPr>
      <w:r>
        <w:rPr>
          <w:rFonts w:ascii="Calibri" w:cs="Calibri" w:eastAsia="Calibri" w:hAnsi="Calibri"/>
          <w:color w:val="4a4a4a"/>
          <w:sz w:val="21"/>
          <w:szCs w:val="21"/>
        </w:rPr>
        <w:t xml:space="preserve">La distinzione non è contabile: è la chiave dell'intero piano finanziario (§4). Il costo di restauro assunto — 2.100 €/m², circa 22.500 MAD/m² — si colloca appena sopra la fascia alta indicata dagli operatori di Fès per il restauro patrimoniale (12.000–20.000 MAD/m²), come è corretto per finiture artigianali integrali. È la voce più esposta a scostamento: in medina i dissesti strutturali e l'umidità si scoprono a cantiere aperto, e la riserva del 10% è un minimo.</w:t>
      </w:r>
    </w:p>
    <w:p>
      <w:pPr>
        <w:pStyle w:val="Heading2"/>
        <w:spacing w:after="120" w:before="260"/>
      </w:pPr>
      <w:r>
        <w:rPr>
          <w:rFonts w:ascii="Calibri" w:cs="Calibri" w:eastAsia="Calibri" w:hAnsi="Calibri"/>
          <w:b/>
          <w:bCs/>
          <w:color w:val="1f1f1f"/>
          <w:sz w:val="23"/>
          <w:szCs w:val="23"/>
        </w:rPr>
        <w:t xml:space="preserve">Una commessa che torna alla casa accanto</w:t>
      </w:r>
    </w:p>
    <w:p>
      <w:pPr>
        <w:spacing w:after="140" w:line="300"/>
      </w:pPr>
      <w:r>
        <w:rPr>
          <w:rFonts w:ascii="Calibri" w:cs="Calibri" w:eastAsia="Calibri" w:hAnsi="Calibri"/>
          <w:color w:val="4a4a4a"/>
          <w:sz w:val="21"/>
          <w:szCs w:val="21"/>
        </w:rPr>
        <w:t xml:space="preserve">Circa 350.000 € del restauro — zellīj, gesso, legno, ferro battuto, cuoio — sono commissionati alle botteghe di Dar al-Hiraf a prezzo di mercato. Le botteghe hanno un committente reale prima ancora di avere un mercato, e l'ospite dorme dentro il lavoro della comunità che ha dall'altra parte del muro. Non è un dettaglio narrativo: è la prova di qualità su cui l'intero posizionamento si regge.</w:t>
      </w:r>
    </w:p>
    <w:p>
      <w:pPr>
        <w:pStyle w:val="Heading1"/>
        <w:spacing w:after="180" w:before="360"/>
      </w:pPr>
      <w:r>
        <w:rPr>
          <w:rFonts w:ascii="Calibri" w:cs="Calibri" w:eastAsia="Calibri" w:hAnsi="Calibri"/>
          <w:b/>
          <w:bCs/>
          <w:color w:val="c8872f"/>
          <w:sz w:val="30"/>
          <w:szCs w:val="30"/>
        </w:rPr>
        <w:t xml:space="preserve">4. Chi finanzia che cosa</w:t>
      </w:r>
    </w:p>
    <w:p>
      <w:pPr>
        <w:spacing w:after="140" w:line="300"/>
      </w:pPr>
      <w:r>
        <w:rPr>
          <w:rFonts w:ascii="Calibri" w:cs="Calibri" w:eastAsia="Calibri" w:hAnsi="Calibri"/>
          <w:color w:val="4a4a4a"/>
          <w:sz w:val="21"/>
          <w:szCs w:val="21"/>
        </w:rPr>
        <w:t xml:space="preserve">Resta una domanda, ed è la più importante del documento: di chi sono i muri.</w:t>
      </w:r>
    </w:p>
    <w:p>
      <w:pPr>
        <w:pStyle w:val="Heading2"/>
        <w:spacing w:after="120" w:before="260"/>
      </w:pPr>
      <w:r>
        <w:rPr>
          <w:rFonts w:ascii="Calibri" w:cs="Calibri" w:eastAsia="Calibri" w:hAnsi="Calibri"/>
          <w:b/>
          <w:bCs/>
          <w:color w:val="1f1f1f"/>
          <w:sz w:val="23"/>
          <w:szCs w:val="23"/>
        </w:rPr>
        <w:t xml:space="preserve">Ipotesi A — una società possiede l'immobile</w:t>
      </w:r>
    </w:p>
    <w:p>
      <w:pPr>
        <w:spacing w:after="140" w:line="300"/>
      </w:pPr>
      <w:r>
        <w:rPr>
          <w:rFonts w:ascii="Calibri" w:cs="Calibri" w:eastAsia="Calibri" w:hAnsi="Calibri"/>
          <w:color w:val="4a4a4a"/>
          <w:sz w:val="21"/>
          <w:szCs w:val="21"/>
        </w:rPr>
        <w:t xml:space="preserve">Una società commerciale acquista, restaura e possiede la dimora; il legame col riad è di governance (clausole statutarie, seggi, diritti di veto). È finanziabile — una banca iscrive ipoteca e presta — ed è la sola forma che consenta di raccogliere in fretta molto capitale di terzi. Ma i legami di governance sono contrattuali, e i contratti si diluiscono: bastano due aumenti di capitale e un cambio di maggioranza perché un veto diventi una formalità. E un investitore, prima o poi, cerca liquidità — che per un immobile significa venderlo.</w:t>
      </w:r>
    </w:p>
    <w:p>
      <w:pPr>
        <w:pStyle w:val="Heading2"/>
        <w:spacing w:after="120" w:before="260"/>
      </w:pPr>
      <w:r>
        <w:rPr>
          <w:rFonts w:ascii="Calibri" w:cs="Calibri" w:eastAsia="Calibri" w:hAnsi="Calibri"/>
          <w:b/>
          <w:bCs/>
          <w:color w:val="1f1f1f"/>
          <w:sz w:val="23"/>
          <w:szCs w:val="23"/>
        </w:rPr>
        <w:t xml:space="preserve">Ipotesi B — i muri sono del riad, l'esercizio è affidato</w:t>
      </w:r>
    </w:p>
    <w:p>
      <w:pPr>
        <w:spacing w:after="140" w:line="300"/>
      </w:pPr>
      <w:r>
        <w:rPr>
          <w:rFonts w:ascii="Calibri" w:cs="Calibri" w:eastAsia="Calibri" w:hAnsi="Calibri"/>
          <w:color w:val="4a4a4a"/>
          <w:sz w:val="21"/>
          <w:szCs w:val="21"/>
        </w:rPr>
        <w:t xml:space="preserve">Il riad possiede la dimora. Una società di fiducia la prende in locazione lunga (25–30 anni), paga un canone e vi conduce il majlis: è lì che stanno i soci, il personale e il rischio. È la struttura classica del waqf, non un'invenzione — storicamente sono state proprio le proprietà da reddito costituite in ḥubus a finanziare madrase e fondazioni.</w:t>
      </w:r>
    </w:p>
    <w:p>
      <w:pPr>
        <w:spacing w:after="140"/>
      </w:pPr>
    </w:p>
    <w:tbl>
      <w:tblPr>
        <w:tblW w:type="dxa" w:w="9360"/>
        <w:tblBorders>
          <w:top w:val="single" w:color="E5E5E5" w:sz="2"/>
          <w:left w:val="none"/>
          <w:bottom w:val="single" w:color="E5E5E5" w:sz="2"/>
          <w:right w:val="none"/>
          <w:insideH w:val="single" w:color="EEEEEE" w:sz="2"/>
          <w:insideV w:val="none"/>
        </w:tblBorders>
      </w:tblPr>
      <w:tblGrid>
        <w:gridCol w:w="4200"/>
        <w:gridCol w:w="2400"/>
        <w:gridCol w:w="2760"/>
      </w:tblGrid>
      <w:tr>
        <w:trPr>
          <w:tblHeader/>
        </w:trPr>
        <w:tc>
          <w:tcPr>
            <w:tcW w:type="dxa" w:w="4200"/>
            <w:shd w:fill="c8872f"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19"/>
                <w:szCs w:val="19"/>
              </w:rPr>
              <w:t xml:space="preserve"/>
            </w:r>
          </w:p>
        </w:tc>
        <w:tc>
          <w:tcPr>
            <w:tcW w:type="dxa" w:w="240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Ipotesi A</w:t>
            </w:r>
          </w:p>
        </w:tc>
        <w:tc>
          <w:tcPr>
            <w:tcW w:type="dxa" w:w="276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Ipotesi B</w:t>
            </w:r>
          </w:p>
        </w:tc>
      </w:tr>
      <w:tr>
        <w:tc>
          <w:tcPr>
            <w:tcW w:type="dxa" w:w="420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Capitale che deve raccogliere l'esercizio</w:t>
            </w:r>
          </w:p>
        </w:tc>
        <w:tc>
          <w:tcPr>
            <w:tcW w:type="dxa" w:w="24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5.291.000 €</w:t>
            </w:r>
          </w:p>
        </w:tc>
        <w:tc>
          <w:tcPr>
            <w:tcW w:type="dxa" w:w="276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1.452.000 €</w:t>
            </w:r>
          </w:p>
        </w:tc>
      </w:tr>
      <w:tr>
        <w:tc>
          <w:tcPr>
            <w:tcW w:type="dxa" w:w="420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Coperto dalla tranche fondatrice</w:t>
            </w:r>
          </w:p>
        </w:tc>
        <w:tc>
          <w:tcPr>
            <w:tcW w:type="dxa" w:w="24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2.400.000 €</w:t>
            </w:r>
          </w:p>
        </w:tc>
        <w:tc>
          <w:tcPr>
            <w:tcW w:type="dxa" w:w="276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2.400.000 €</w:t>
            </w:r>
          </w:p>
        </w:tc>
      </w:tr>
      <w:tr>
        <w:tc>
          <w:tcPr>
            <w:tcW w:type="dxa" w:w="4200"/>
            <w:shd w:fill="F8F5F0" w:color="auto" w:val="clear"/>
            <w:tcMar>
              <w:top w:type="dxa" w:w="80"/>
              <w:left w:type="dxa" w:w="110"/>
              <w:bottom w:type="dxa" w:w="80"/>
              <w:right w:type="dxa" w:w="110"/>
            </w:tcMar>
          </w:tcPr>
          <w:p>
            <w:pPr>
              <w:spacing w:after="0" w:line="260"/>
              <w:jc w:val="left"/>
            </w:pPr>
            <w:r>
              <w:rPr>
                <w:rFonts w:ascii="Calibri" w:cs="Calibri" w:eastAsia="Calibri" w:hAnsi="Calibri"/>
                <w:b/>
                <w:bCs/>
                <w:color w:val="4a4a4a"/>
                <w:sz w:val="19"/>
                <w:szCs w:val="19"/>
              </w:rPr>
              <w:t xml:space="preserve">Equity residua dell'investitore</w:t>
            </w:r>
          </w:p>
        </w:tc>
        <w:tc>
          <w:tcPr>
            <w:tcW w:type="dxa" w:w="24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2.891.000 €</w:t>
            </w:r>
          </w:p>
        </w:tc>
        <w:tc>
          <w:tcPr>
            <w:tcW w:type="dxa" w:w="276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nessuna</w:t>
            </w:r>
          </w:p>
        </w:tc>
      </w:tr>
      <w:tr>
        <w:tc>
          <w:tcPr>
            <w:tcW w:type="dxa" w:w="420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Avanzo applicabile ai muri</w:t>
            </w:r>
          </w:p>
        </w:tc>
        <w:tc>
          <w:tcPr>
            <w:tcW w:type="dxa" w:w="24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w:t>
            </w:r>
          </w:p>
        </w:tc>
        <w:tc>
          <w:tcPr>
            <w:tcW w:type="dxa" w:w="276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948.000 €</w:t>
            </w:r>
          </w:p>
        </w:tc>
      </w:tr>
      <w:tr>
        <w:tc>
          <w:tcPr>
            <w:tcW w:type="dxa" w:w="420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Fabbisogno mecenatizio sui muri</w:t>
            </w:r>
          </w:p>
        </w:tc>
        <w:tc>
          <w:tcPr>
            <w:tcW w:type="dxa" w:w="24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w:t>
            </w:r>
          </w:p>
        </w:tc>
        <w:tc>
          <w:tcPr>
            <w:tcW w:type="dxa" w:w="276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2.891.000 €</w:t>
            </w:r>
          </w:p>
        </w:tc>
      </w:tr>
      <w:tr>
        <w:tc>
          <w:tcPr>
            <w:tcW w:type="dxa" w:w="420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Margine operativo (scenario base)</w:t>
            </w:r>
          </w:p>
        </w:tc>
        <w:tc>
          <w:tcPr>
            <w:tcW w:type="dxa" w:w="24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2.869.000 €</w:t>
            </w:r>
          </w:p>
        </w:tc>
        <w:tc>
          <w:tcPr>
            <w:tcW w:type="dxa" w:w="276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2.462.000 €</w:t>
            </w:r>
          </w:p>
        </w:tc>
      </w:tr>
      <w:tr>
        <w:tc>
          <w:tcPr>
            <w:tcW w:type="dxa" w:w="420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Flusso annuo al riad</w:t>
            </w:r>
          </w:p>
        </w:tc>
        <w:tc>
          <w:tcPr>
            <w:tcW w:type="dxa" w:w="24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724.000 €</w:t>
            </w:r>
          </w:p>
        </w:tc>
        <w:tc>
          <w:tcPr>
            <w:tcW w:type="dxa" w:w="276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1.049.000 €</w:t>
            </w:r>
          </w:p>
        </w:tc>
      </w:tr>
    </w:tbl>
    <w:p>
      <w:pPr>
        <w:spacing w:after="220"/>
      </w:pPr>
    </w:p>
    <w:p>
      <w:pPr>
        <w:spacing w:after="140" w:line="300"/>
      </w:pPr>
      <w:r>
        <w:rPr>
          <w:rFonts w:ascii="Calibri" w:cs="Calibri" w:eastAsia="Calibri" w:hAnsi="Calibri"/>
          <w:color w:val="4a4a4a"/>
          <w:sz w:val="21"/>
          <w:szCs w:val="21"/>
        </w:rPr>
        <w:t xml:space="preserve">I muri — il 73% del totale — sono finanziati dai mecenati anziché da un investitore. Ed è precisamente ciò che un mecenate vuole comprare: una cosa permanente, restaurata secondo l'arte, destinata a entrare in un bene inalienabile e a non poter mai essere rivenduta. Mentre un investitore vuole un'azienda che rende. In questa forma ciascuno finanzia esattamente la cosa per cui è venuto, e nessuno finanzia quella dell'altro.</w:t>
      </w:r>
    </w:p>
    <w:p>
      <w:pPr>
        <w:spacing w:after="140" w:line="300"/>
      </w:pPr>
      <w:r>
        <w:rPr>
          <w:rFonts w:ascii="Calibri" w:cs="Calibri" w:eastAsia="Calibri" w:hAnsi="Calibri"/>
          <w:b/>
          <w:bCs/>
          <w:color w:val="1f1f1f"/>
          <w:sz w:val="21"/>
          <w:szCs w:val="21"/>
        </w:rPr>
        <w:t xml:space="preserve">La conseguenza va vista fino in fondo. </w:t>
      </w:r>
      <w:r>
        <w:rPr>
          <w:rFonts w:ascii="Calibri" w:cs="Calibri" w:eastAsia="Calibri" w:hAnsi="Calibri"/>
          <w:color w:val="4a4a4a"/>
          <w:sz w:val="21"/>
          <w:szCs w:val="21"/>
        </w:rPr>
        <w:t xml:space="preserve">Al prezzo del §2, la sola tranche fondatrice copre l'intero capitale d'esercizio e ne avanza quasi un milione. Non c'è più equity da collocare presso nessuno — e un progetto senza investitore è un progetto senza nessuno che un giorno debba uscire, quindi senza la sola pressione capace di far vendere una casa che non si vuole vendere.</w:t>
      </w:r>
    </w:p>
    <w:p>
      <w:pPr>
        <w:pStyle w:val="Heading2"/>
        <w:spacing w:after="120" w:before="260"/>
      </w:pPr>
      <w:r>
        <w:rPr>
          <w:rFonts w:ascii="Calibri" w:cs="Calibri" w:eastAsia="Calibri" w:hAnsi="Calibri"/>
          <w:b/>
          <w:bCs/>
          <w:color w:val="1f1f1f"/>
          <w:sz w:val="23"/>
          <w:szCs w:val="23"/>
        </w:rPr>
        <w:t xml:space="preserve">Il prezzo dell'Ipotesi B: la leva operativa</w:t>
      </w:r>
    </w:p>
    <w:p>
      <w:pPr>
        <w:spacing w:after="140" w:line="300"/>
      </w:pPr>
      <w:r>
        <w:rPr>
          <w:rFonts w:ascii="Calibri" w:cs="Calibri" w:eastAsia="Calibri" w:hAnsi="Calibri"/>
          <w:color w:val="4a4a4a"/>
          <w:sz w:val="21"/>
          <w:szCs w:val="21"/>
        </w:rPr>
        <w:t xml:space="preserve">Il canone è dovuto che la casa sia piena o vuota: è il primo costo, non l'ultimo. Il correttivo va scritto nel contratto di locazione — canone misto: una parte fissa bassa (120.000 €) più l'8% dei ricavi, oltre al corrispettivo d'accesso (80.000 €). Il riad divide con la Munya il rischio della propria casa, il che è giusto, perché è la sua. Tutte le cifre che seguono assumono questa forma.</w:t>
      </w:r>
    </w:p>
    <w:p>
      <w:pPr>
        <w:pStyle w:val="Heading2"/>
        <w:spacing w:after="120" w:before="260"/>
      </w:pPr>
      <w:r>
        <w:rPr>
          <w:rFonts w:ascii="Calibri" w:cs="Calibri" w:eastAsia="Calibri" w:hAnsi="Calibri"/>
          <w:b/>
          <w:bCs/>
          <w:color w:val="1f1f1f"/>
          <w:sz w:val="23"/>
          <w:szCs w:val="23"/>
        </w:rPr>
        <w:t xml:space="preserve">Raccomandazione</w:t>
      </w:r>
    </w:p>
    <w:p>
      <w:pPr>
        <w:spacing w:after="140" w:line="300"/>
      </w:pPr>
      <w:r>
        <w:rPr>
          <w:rFonts w:ascii="Calibri" w:cs="Calibri" w:eastAsia="Calibri" w:hAnsi="Calibri"/>
          <w:color w:val="4a4a4a"/>
          <w:sz w:val="21"/>
          <w:szCs w:val="21"/>
        </w:rPr>
        <w:t xml:space="preserve">Ipotesi B con canone misto, a meno che la priorità non sia raccogliere rapidamente molto capitale di terzi — nel qual caso solo A funziona. Un correttivo utile in B: l'immobile non entra subito nel perimetro inalienabile, ma vi entra per atto una volta estinto l'eventuale debito di restauro. Altrimenti non è ipotecabile, e non è finanziabile.</w:t>
      </w:r>
    </w:p>
    <w:p>
      <w:r>
        <w:br w:type="page"/>
      </w:r>
    </w:p>
    <w:p>
      <w:pPr>
        <w:pStyle w:val="Heading1"/>
        <w:spacing w:after="180" w:before="360"/>
      </w:pPr>
      <w:r>
        <w:rPr>
          <w:rFonts w:ascii="Calibri" w:cs="Calibri" w:eastAsia="Calibri" w:hAnsi="Calibri"/>
          <w:b/>
          <w:bCs/>
          <w:color w:val="c8872f"/>
          <w:sz w:val="30"/>
          <w:szCs w:val="30"/>
        </w:rPr>
        <w:t xml:space="preserve">5. Conto economico a regime — tre scenari</w:t>
      </w:r>
    </w:p>
    <w:p>
      <w:pPr>
        <w:spacing w:after="140" w:line="300"/>
      </w:pPr>
      <w:r>
        <w:rPr>
          <w:rFonts w:ascii="Calibri" w:cs="Calibri" w:eastAsia="Calibri" w:hAnsi="Calibri"/>
          <w:color w:val="4a4a4a"/>
          <w:sz w:val="21"/>
          <w:szCs w:val="21"/>
        </w:rPr>
        <w:t xml:space="preserve">Sei suite, 285 notti commercializzabili l'anno — trecento meno una media di quindici notti di chiusura per ospite d'onore (§8) — pari a 1.710 notti-suite disponibili. Ipotesi B, canone misto.</w:t>
      </w:r>
    </w:p>
    <w:tbl>
      <w:tblPr>
        <w:tblW w:type="dxa" w:w="9360"/>
        <w:tblBorders>
          <w:top w:val="single" w:color="E5E5E5" w:sz="2"/>
          <w:left w:val="none"/>
          <w:bottom w:val="single" w:color="E5E5E5" w:sz="2"/>
          <w:right w:val="none"/>
          <w:insideH w:val="single" w:color="EEEEEE" w:sz="2"/>
          <w:insideV w:val="none"/>
        </w:tblBorders>
      </w:tblPr>
      <w:tblGrid>
        <w:gridCol w:w="3960"/>
        <w:gridCol w:w="1800"/>
        <w:gridCol w:w="1800"/>
        <w:gridCol w:w="1800"/>
      </w:tblGrid>
      <w:tr>
        <w:trPr>
          <w:tblHeader/>
        </w:trPr>
        <w:tc>
          <w:tcPr>
            <w:tcW w:type="dxa" w:w="3960"/>
            <w:shd w:fill="c8872f"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19"/>
                <w:szCs w:val="19"/>
              </w:rPr>
              <w:t xml:space="preserve"/>
            </w:r>
          </w:p>
        </w:tc>
        <w:tc>
          <w:tcPr>
            <w:tcW w:type="dxa" w:w="180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Prudente</w:t>
            </w:r>
          </w:p>
        </w:tc>
        <w:tc>
          <w:tcPr>
            <w:tcW w:type="dxa" w:w="180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Base</w:t>
            </w:r>
          </w:p>
        </w:tc>
        <w:tc>
          <w:tcPr>
            <w:tcW w:type="dxa" w:w="180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Alto</w:t>
            </w:r>
          </w:p>
        </w:tc>
      </w:tr>
      <w:tr>
        <w:tc>
          <w:tcPr>
            <w:tcW w:type="dxa" w:w="396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Soci</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70</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100</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120</w:t>
            </w:r>
          </w:p>
        </w:tc>
      </w:tr>
      <w:tr>
        <w:tc>
          <w:tcPr>
            <w:tcW w:type="dxa" w:w="396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Quota annuale</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22.000 €</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22.000 €</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22.000 €</w:t>
            </w:r>
          </w:p>
        </w:tc>
      </w:tr>
      <w:tr>
        <w:tc>
          <w:tcPr>
            <w:tcW w:type="dxa" w:w="396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Occupazione</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24%</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32%</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38%</w:t>
            </w:r>
          </w:p>
        </w:tc>
      </w:tr>
      <w:tr>
        <w:tc>
          <w:tcPr>
            <w:tcW w:type="dxa" w:w="396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Tariffa media a notte</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3.100 €</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3.500 €</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3.900 €</w:t>
            </w:r>
          </w:p>
        </w:tc>
      </w:tr>
      <w:tr>
        <w:tc>
          <w:tcPr>
            <w:tcW w:type="dxa" w:w="396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Notti-suite vendute</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410</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547</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650</w:t>
            </w:r>
          </w:p>
        </w:tc>
      </w:tr>
      <w:tr>
        <w:tc>
          <w:tcPr>
            <w:tcW w:type="dxa" w:w="396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
            </w:r>
          </w:p>
        </w:tc>
      </w:tr>
      <w:tr>
        <w:tc>
          <w:tcPr>
            <w:tcW w:type="dxa" w:w="396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Ricavi da soggiorno</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1.272.000 €</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1.915.000 €</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2.534.000 €</w:t>
            </w:r>
          </w:p>
        </w:tc>
      </w:tr>
      <w:tr>
        <w:tc>
          <w:tcPr>
            <w:tcW w:type="dxa" w:w="396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Ricavi accessori</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229.000 €</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345.000 €</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456.000 €</w:t>
            </w:r>
          </w:p>
        </w:tc>
      </w:tr>
      <w:tr>
        <w:tc>
          <w:tcPr>
            <w:tcW w:type="dxa" w:w="396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Quote associative</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1.540.000 €</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2.200.000 €</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2.640.000 €</w:t>
            </w:r>
          </w:p>
        </w:tc>
      </w:tr>
      <w:tr>
        <w:tc>
          <w:tcPr>
            <w:tcW w:type="dxa" w:w="3960"/>
            <w:shd w:fill="F8F5F0" w:color="auto" w:val="clear"/>
            <w:tcMar>
              <w:top w:type="dxa" w:w="80"/>
              <w:left w:type="dxa" w:w="110"/>
              <w:bottom w:type="dxa" w:w="80"/>
              <w:right w:type="dxa" w:w="110"/>
            </w:tcMar>
          </w:tcPr>
          <w:p>
            <w:pPr>
              <w:spacing w:after="0" w:line="260"/>
              <w:jc w:val="left"/>
            </w:pPr>
            <w:r>
              <w:rPr>
                <w:rFonts w:ascii="Calibri" w:cs="Calibri" w:eastAsia="Calibri" w:hAnsi="Calibri"/>
                <w:b/>
                <w:bCs/>
                <w:color w:val="4a4a4a"/>
                <w:sz w:val="19"/>
                <w:szCs w:val="19"/>
              </w:rPr>
              <w:t xml:space="preserve">RICAVI TOTALI</w:t>
            </w:r>
          </w:p>
        </w:tc>
        <w:tc>
          <w:tcPr>
            <w:tcW w:type="dxa" w:w="18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3.041.000 €</w:t>
            </w:r>
          </w:p>
        </w:tc>
        <w:tc>
          <w:tcPr>
            <w:tcW w:type="dxa" w:w="18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4.460.000 €</w:t>
            </w:r>
          </w:p>
        </w:tc>
        <w:tc>
          <w:tcPr>
            <w:tcW w:type="dxa" w:w="18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5.630.000 €</w:t>
            </w:r>
          </w:p>
        </w:tc>
      </w:tr>
      <w:tr>
        <w:tc>
          <w:tcPr>
            <w:tcW w:type="dxa" w:w="396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
            </w:r>
          </w:p>
        </w:tc>
      </w:tr>
      <w:tr>
        <w:tc>
          <w:tcPr>
            <w:tcW w:type="dxa" w:w="396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Personale</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540.000 €</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540.000 €</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540.000 €</w:t>
            </w:r>
          </w:p>
        </w:tc>
      </w:tr>
      <w:tr>
        <w:tc>
          <w:tcPr>
            <w:tcW w:type="dxa" w:w="396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Ristorazione e consumi</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200.000 €</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271.000 €</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339.000 €</w:t>
            </w:r>
          </w:p>
        </w:tc>
      </w:tr>
      <w:tr>
        <w:tc>
          <w:tcPr>
            <w:tcW w:type="dxa" w:w="396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Esercizio, manutenzione, scuderia</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190.000 €</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190.000 €</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190.000 €</w:t>
            </w:r>
          </w:p>
        </w:tc>
      </w:tr>
      <w:tr>
        <w:tc>
          <w:tcPr>
            <w:tcW w:type="dxa" w:w="396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Custodia e sicurezza dell'ala d'onore</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60.000 €</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60.000 €</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60.000 €</w:t>
            </w:r>
          </w:p>
        </w:tc>
      </w:tr>
      <w:tr>
        <w:tc>
          <w:tcPr>
            <w:tcW w:type="dxa" w:w="396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Canone e corrispettivo d'accesso al Riad</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443.000 €</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557.000 €</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650.000 €</w:t>
            </w:r>
          </w:p>
        </w:tc>
      </w:tr>
      <w:tr>
        <w:tc>
          <w:tcPr>
            <w:tcW w:type="dxa" w:w="396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Relazioni e vita sociale</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120.000 €</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120.000 €</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120.000 €</w:t>
            </w:r>
          </w:p>
        </w:tc>
      </w:tr>
      <w:tr>
        <w:tc>
          <w:tcPr>
            <w:tcW w:type="dxa" w:w="396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Amministrazione, assicurazioni, revisione</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130.000 €</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130.000 €</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130.000 €</w:t>
            </w:r>
          </w:p>
        </w:tc>
      </w:tr>
      <w:tr>
        <w:tc>
          <w:tcPr>
            <w:tcW w:type="dxa" w:w="396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Imposte locali e servizi d'onore</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130.000 €</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130.000 €</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130.000 €</w:t>
            </w:r>
          </w:p>
        </w:tc>
      </w:tr>
      <w:tr>
        <w:tc>
          <w:tcPr>
            <w:tcW w:type="dxa" w:w="3960"/>
            <w:shd w:fill="F8F5F0" w:color="auto" w:val="clear"/>
            <w:tcMar>
              <w:top w:type="dxa" w:w="80"/>
              <w:left w:type="dxa" w:w="110"/>
              <w:bottom w:type="dxa" w:w="80"/>
              <w:right w:type="dxa" w:w="110"/>
            </w:tcMar>
          </w:tcPr>
          <w:p>
            <w:pPr>
              <w:spacing w:after="0" w:line="260"/>
              <w:jc w:val="left"/>
            </w:pPr>
            <w:r>
              <w:rPr>
                <w:rFonts w:ascii="Calibri" w:cs="Calibri" w:eastAsia="Calibri" w:hAnsi="Calibri"/>
                <w:b/>
                <w:bCs/>
                <w:color w:val="4a4a4a"/>
                <w:sz w:val="19"/>
                <w:szCs w:val="19"/>
              </w:rPr>
              <w:t xml:space="preserve">COSTI TOTALI</w:t>
            </w:r>
          </w:p>
        </w:tc>
        <w:tc>
          <w:tcPr>
            <w:tcW w:type="dxa" w:w="18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1.813.000 €</w:t>
            </w:r>
          </w:p>
        </w:tc>
        <w:tc>
          <w:tcPr>
            <w:tcW w:type="dxa" w:w="18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1.997.000 €</w:t>
            </w:r>
          </w:p>
        </w:tc>
        <w:tc>
          <w:tcPr>
            <w:tcW w:type="dxa" w:w="18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2.159.000 €</w:t>
            </w:r>
          </w:p>
        </w:tc>
      </w:tr>
      <w:tr>
        <w:tc>
          <w:tcPr>
            <w:tcW w:type="dxa" w:w="396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
            </w:r>
          </w:p>
        </w:tc>
      </w:tr>
      <w:tr>
        <w:tc>
          <w:tcPr>
            <w:tcW w:type="dxa" w:w="3960"/>
            <w:shd w:fill="F8F5F0" w:color="auto" w:val="clear"/>
            <w:tcMar>
              <w:top w:type="dxa" w:w="80"/>
              <w:left w:type="dxa" w:w="110"/>
              <w:bottom w:type="dxa" w:w="80"/>
              <w:right w:type="dxa" w:w="110"/>
            </w:tcMar>
          </w:tcPr>
          <w:p>
            <w:pPr>
              <w:spacing w:after="0" w:line="260"/>
              <w:jc w:val="left"/>
            </w:pPr>
            <w:r>
              <w:rPr>
                <w:rFonts w:ascii="Calibri" w:cs="Calibri" w:eastAsia="Calibri" w:hAnsi="Calibri"/>
                <w:b/>
                <w:bCs/>
                <w:color w:val="4a4a4a"/>
                <w:sz w:val="19"/>
                <w:szCs w:val="19"/>
              </w:rPr>
              <w:t xml:space="preserve">MARGINE OPERATIVO</w:t>
            </w:r>
          </w:p>
        </w:tc>
        <w:tc>
          <w:tcPr>
            <w:tcW w:type="dxa" w:w="18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1.228.000 €</w:t>
            </w:r>
          </w:p>
        </w:tc>
        <w:tc>
          <w:tcPr>
            <w:tcW w:type="dxa" w:w="18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2.462.000 €</w:t>
            </w:r>
          </w:p>
        </w:tc>
        <w:tc>
          <w:tcPr>
            <w:tcW w:type="dxa" w:w="18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3.471.000 €</w:t>
            </w:r>
          </w:p>
        </w:tc>
      </w:tr>
      <w:tr>
        <w:tc>
          <w:tcPr>
            <w:tcW w:type="dxa" w:w="3960"/>
            <w:shd w:fill="F8F5F0" w:color="auto" w:val="clear"/>
            <w:tcMar>
              <w:top w:type="dxa" w:w="80"/>
              <w:left w:type="dxa" w:w="110"/>
              <w:bottom w:type="dxa" w:w="80"/>
              <w:right w:type="dxa" w:w="110"/>
            </w:tcMar>
          </w:tcPr>
          <w:p>
            <w:pPr>
              <w:spacing w:after="0" w:line="260"/>
              <w:jc w:val="left"/>
            </w:pPr>
            <w:r>
              <w:rPr>
                <w:rFonts w:ascii="Calibri" w:cs="Calibri" w:eastAsia="Calibri" w:hAnsi="Calibri"/>
                <w:b/>
                <w:bCs/>
                <w:color w:val="4a4a4a"/>
                <w:sz w:val="19"/>
                <w:szCs w:val="19"/>
              </w:rPr>
              <w:t xml:space="preserve">Margine sui ricavi</w:t>
            </w:r>
          </w:p>
        </w:tc>
        <w:tc>
          <w:tcPr>
            <w:tcW w:type="dxa" w:w="18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40%</w:t>
            </w:r>
          </w:p>
        </w:tc>
        <w:tc>
          <w:tcPr>
            <w:tcW w:type="dxa" w:w="18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55%</w:t>
            </w:r>
          </w:p>
        </w:tc>
        <w:tc>
          <w:tcPr>
            <w:tcW w:type="dxa" w:w="18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62%</w:t>
            </w:r>
          </w:p>
        </w:tc>
      </w:tr>
      <w:tr>
        <w:tc>
          <w:tcPr>
            <w:tcW w:type="dxa" w:w="3960"/>
            <w:shd w:fill="F8F5F0" w:color="auto" w:val="clear"/>
            <w:tcMar>
              <w:top w:type="dxa" w:w="80"/>
              <w:left w:type="dxa" w:w="110"/>
              <w:bottom w:type="dxa" w:w="80"/>
              <w:right w:type="dxa" w:w="110"/>
            </w:tcMar>
          </w:tcPr>
          <w:p>
            <w:pPr>
              <w:spacing w:after="0" w:line="260"/>
              <w:jc w:val="left"/>
            </w:pPr>
            <w:r>
              <w:rPr>
                <w:rFonts w:ascii="Calibri" w:cs="Calibri" w:eastAsia="Calibri" w:hAnsi="Calibri"/>
                <w:b/>
                <w:bCs/>
                <w:color w:val="4a4a4a"/>
                <w:sz w:val="19"/>
                <w:szCs w:val="19"/>
              </w:rPr>
              <w:t xml:space="preserve">Rendimento sul capitale d'esercizio</w:t>
            </w:r>
          </w:p>
        </w:tc>
        <w:tc>
          <w:tcPr>
            <w:tcW w:type="dxa" w:w="18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85%</w:t>
            </w:r>
          </w:p>
        </w:tc>
        <w:tc>
          <w:tcPr>
            <w:tcW w:type="dxa" w:w="18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170%</w:t>
            </w:r>
          </w:p>
        </w:tc>
        <w:tc>
          <w:tcPr>
            <w:tcW w:type="dxa" w:w="18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239%</w:t>
            </w:r>
          </w:p>
        </w:tc>
      </w:tr>
      <w:tr>
        <w:tc>
          <w:tcPr>
            <w:tcW w:type="dxa" w:w="3960"/>
            <w:shd w:fill="F8F5F0" w:color="auto" w:val="clear"/>
            <w:tcMar>
              <w:top w:type="dxa" w:w="80"/>
              <w:left w:type="dxa" w:w="110"/>
              <w:bottom w:type="dxa" w:w="80"/>
              <w:right w:type="dxa" w:w="110"/>
            </w:tcMar>
          </w:tcPr>
          <w:p>
            <w:pPr>
              <w:spacing w:after="0" w:line="260"/>
              <w:jc w:val="left"/>
            </w:pPr>
            <w:r>
              <w:rPr>
                <w:rFonts w:ascii="Calibri" w:cs="Calibri" w:eastAsia="Calibri" w:hAnsi="Calibri"/>
                <w:b/>
                <w:bCs/>
                <w:color w:val="4a4a4a"/>
                <w:sz w:val="19"/>
                <w:szCs w:val="19"/>
              </w:rPr>
              <w:t xml:space="preserve">Flusso annuo totale al Riad</w:t>
            </w:r>
          </w:p>
        </w:tc>
        <w:tc>
          <w:tcPr>
            <w:tcW w:type="dxa" w:w="18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689.000 €</w:t>
            </w:r>
          </w:p>
        </w:tc>
        <w:tc>
          <w:tcPr>
            <w:tcW w:type="dxa" w:w="18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1.049.000 €</w:t>
            </w:r>
          </w:p>
        </w:tc>
        <w:tc>
          <w:tcPr>
            <w:tcW w:type="dxa" w:w="18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1.345.000 €</w:t>
            </w:r>
          </w:p>
        </w:tc>
      </w:tr>
    </w:tbl>
    <w:p>
      <w:pPr>
        <w:spacing w:after="220"/>
      </w:pPr>
    </w:p>
    <w:p>
      <w:pPr>
        <w:spacing w:after="140" w:line="300"/>
      </w:pPr>
      <w:r>
        <w:rPr>
          <w:rFonts w:ascii="Calibri" w:cs="Calibri" w:eastAsia="Calibri" w:hAnsi="Calibri"/>
          <w:color w:val="4a4a4a"/>
          <w:sz w:val="21"/>
          <w:szCs w:val="21"/>
        </w:rPr>
        <w:t xml:space="preserve">Il prezzo è ciò che rende il modello robusto. Nella prima versione — 1.600 € a notte, 9.000 € di quota — lo scenario prudente non remunerava il capitale. Qui produce 1,23 M€ di margine e un rendimento dell'85% sul capitale d'esercizio, e resta in utile anche a un quarto di occupazione. La ragione è che le quote associative valgono 1,54 M€ anche a settanta soci e coprono da sole l'85% dei costi: la casa può restare quasi vuota senza che il conto economico se ne accorga.</w:t>
      </w:r>
    </w:p>
    <w:p>
      <w:pPr>
        <w:spacing w:after="140" w:line="300"/>
      </w:pPr>
      <w:r>
        <w:rPr>
          <w:rFonts w:ascii="Calibri" w:cs="Calibri" w:eastAsia="Calibri" w:hAnsi="Calibri"/>
          <w:color w:val="4a4a4a"/>
          <w:sz w:val="21"/>
          <w:szCs w:val="21"/>
        </w:rPr>
        <w:t xml:space="preserve">Resta vero, e va detto con chiarezza, che la sensibilità al numero di soci è totale: fra settanta e cento soci il margine raddoppia, senza che cambi nulla della casa, del servizio o della gestione. Cambia solo quanti uomini hanno detto di sì.</w:t>
      </w:r>
    </w:p>
    <w:p>
      <w:pPr>
        <w:pStyle w:val="Heading2"/>
        <w:spacing w:after="120" w:before="260"/>
      </w:pPr>
      <w:r>
        <w:rPr>
          <w:rFonts w:ascii="Calibri" w:cs="Calibri" w:eastAsia="Calibri" w:hAnsi="Calibri"/>
          <w:b/>
          <w:bCs/>
          <w:color w:val="1f1f1f"/>
          <w:sz w:val="23"/>
          <w:szCs w:val="23"/>
        </w:rPr>
        <w:t xml:space="preserve">Se l'uso esclusivo diventasse la norma</w:t>
      </w:r>
    </w:p>
    <w:p>
      <w:pPr>
        <w:spacing w:after="140" w:line="300"/>
      </w:pPr>
      <w:r>
        <w:rPr>
          <w:rFonts w:ascii="Calibri" w:cs="Calibri" w:eastAsia="Calibri" w:hAnsi="Calibri"/>
          <w:color w:val="4a4a4a"/>
          <w:sz w:val="21"/>
          <w:szCs w:val="21"/>
        </w:rPr>
        <w:t xml:space="preserve">A un'occupazione del 32% la casa è quasi sempre semivuota, quindi concedere l'uso esclusivo non costa quasi nulla in notti perdute ed è margine pressoché puro. È probabile che diventi il modo abituale di venire, e i conti reggono comunque: novanta notti di uso esclusivo a 18.000 € valgono 1,62 M€ contro gli 1,92 M€ delle notti singole nello scenario base. Se accade, la tariffa va alzata ancora.</w:t>
      </w:r>
    </w:p>
    <w:p>
      <w:pPr>
        <w:pStyle w:val="Heading1"/>
        <w:spacing w:after="180" w:before="360"/>
      </w:pPr>
      <w:r>
        <w:rPr>
          <w:rFonts w:ascii="Calibri" w:cs="Calibri" w:eastAsia="Calibri" w:hAnsi="Calibri"/>
          <w:b/>
          <w:bCs/>
          <w:color w:val="c8872f"/>
          <w:sz w:val="30"/>
          <w:szCs w:val="30"/>
        </w:rPr>
        <w:t xml:space="preserve">6. Primi sette anni — scenario di riferimento</w:t>
      </w:r>
    </w:p>
    <w:tbl>
      <w:tblPr>
        <w:tblW w:type="dxa" w:w="9360"/>
        <w:tblBorders>
          <w:top w:val="single" w:color="E5E5E5" w:sz="2"/>
          <w:left w:val="none"/>
          <w:bottom w:val="single" w:color="E5E5E5" w:sz="2"/>
          <w:right w:val="none"/>
          <w:insideH w:val="single" w:color="EEEEEE" w:sz="2"/>
          <w:insideV w:val="none"/>
        </w:tblBorders>
      </w:tblPr>
      <w:tblGrid>
        <w:gridCol w:w="1000"/>
        <w:gridCol w:w="1100"/>
        <w:gridCol w:w="1100"/>
        <w:gridCol w:w="1900"/>
        <w:gridCol w:w="1500"/>
        <w:gridCol w:w="1500"/>
        <w:gridCol w:w="1260"/>
      </w:tblGrid>
      <w:tr>
        <w:trPr>
          <w:tblHeader/>
        </w:trPr>
        <w:tc>
          <w:tcPr>
            <w:tcW w:type="dxa" w:w="1000"/>
            <w:shd w:fill="c8872f"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19"/>
                <w:szCs w:val="19"/>
              </w:rPr>
              <w:t xml:space="preserve">Anno</w:t>
            </w:r>
          </w:p>
        </w:tc>
        <w:tc>
          <w:tcPr>
            <w:tcW w:type="dxa" w:w="110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Soci</w:t>
            </w:r>
          </w:p>
        </w:tc>
        <w:tc>
          <w:tcPr>
            <w:tcW w:type="dxa" w:w="110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Occ.</w:t>
            </w:r>
          </w:p>
        </w:tc>
        <w:tc>
          <w:tcPr>
            <w:tcW w:type="dxa" w:w="190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Ricavi</w:t>
            </w:r>
          </w:p>
        </w:tc>
        <w:tc>
          <w:tcPr>
            <w:tcW w:type="dxa" w:w="150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Ammiss.</w:t>
            </w:r>
          </w:p>
        </w:tc>
        <w:tc>
          <w:tcPr>
            <w:tcW w:type="dxa" w:w="150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Margine</w:t>
            </w:r>
          </w:p>
        </w:tc>
        <w:tc>
          <w:tcPr>
            <w:tcW w:type="dxa" w:w="126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Cumulato</w:t>
            </w:r>
          </w:p>
        </w:tc>
      </w:tr>
      <w:tr>
        <w:tc>
          <w:tcPr>
            <w:tcW w:type="dxa" w:w="1000"/>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1</w:t>
            </w:r>
          </w:p>
        </w:tc>
        <w:tc>
          <w:tcPr>
            <w:tcW w:type="dxa" w:w="11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40</w:t>
            </w:r>
          </w:p>
        </w:tc>
        <w:tc>
          <w:tcPr>
            <w:tcW w:type="dxa" w:w="11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15%</w:t>
            </w:r>
          </w:p>
        </w:tc>
        <w:tc>
          <w:tcPr>
            <w:tcW w:type="dxa" w:w="19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1.939.000 €</w:t>
            </w:r>
          </w:p>
        </w:tc>
        <w:tc>
          <w:tcPr>
            <w:tcW w:type="dxa" w:w="15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w:t>
            </w:r>
          </w:p>
        </w:tc>
        <w:tc>
          <w:tcPr>
            <w:tcW w:type="dxa" w:w="15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255.000 €</w:t>
            </w:r>
          </w:p>
        </w:tc>
        <w:tc>
          <w:tcPr>
            <w:tcW w:type="dxa" w:w="126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255.000 €</w:t>
            </w:r>
          </w:p>
        </w:tc>
      </w:tr>
      <w:tr>
        <w:tc>
          <w:tcPr>
            <w:tcW w:type="dxa" w:w="1000"/>
            <w:shd w:fill="FAFAFA" w:color="auto" w:val="clear"/>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2</w:t>
            </w:r>
          </w:p>
        </w:tc>
        <w:tc>
          <w:tcPr>
            <w:tcW w:type="dxa" w:w="11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65</w:t>
            </w:r>
          </w:p>
        </w:tc>
        <w:tc>
          <w:tcPr>
            <w:tcW w:type="dxa" w:w="11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22%</w:t>
            </w:r>
          </w:p>
        </w:tc>
        <w:tc>
          <w:tcPr>
            <w:tcW w:type="dxa" w:w="19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2.984.000 €</w:t>
            </w:r>
          </w:p>
        </w:tc>
        <w:tc>
          <w:tcPr>
            <w:tcW w:type="dxa" w:w="15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w:t>
            </w:r>
          </w:p>
        </w:tc>
        <w:tc>
          <w:tcPr>
            <w:tcW w:type="dxa" w:w="15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1.170.000 €</w:t>
            </w:r>
          </w:p>
        </w:tc>
        <w:tc>
          <w:tcPr>
            <w:tcW w:type="dxa" w:w="126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1.426.000 €</w:t>
            </w:r>
          </w:p>
        </w:tc>
      </w:tr>
      <w:tr>
        <w:tc>
          <w:tcPr>
            <w:tcW w:type="dxa" w:w="1000"/>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3</w:t>
            </w:r>
          </w:p>
        </w:tc>
        <w:tc>
          <w:tcPr>
            <w:tcW w:type="dxa" w:w="11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85</w:t>
            </w:r>
          </w:p>
        </w:tc>
        <w:tc>
          <w:tcPr>
            <w:tcW w:type="dxa" w:w="11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28%</w:t>
            </w:r>
          </w:p>
        </w:tc>
        <w:tc>
          <w:tcPr>
            <w:tcW w:type="dxa" w:w="19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3.847.000 €</w:t>
            </w:r>
          </w:p>
        </w:tc>
        <w:tc>
          <w:tcPr>
            <w:tcW w:type="dxa" w:w="15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1.125.000 €</w:t>
            </w:r>
          </w:p>
        </w:tc>
        <w:tc>
          <w:tcPr>
            <w:tcW w:type="dxa" w:w="15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3.050.000 €</w:t>
            </w:r>
          </w:p>
        </w:tc>
        <w:tc>
          <w:tcPr>
            <w:tcW w:type="dxa" w:w="126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4.476.000 €</w:t>
            </w:r>
          </w:p>
        </w:tc>
      </w:tr>
      <w:tr>
        <w:tc>
          <w:tcPr>
            <w:tcW w:type="dxa" w:w="1000"/>
            <w:shd w:fill="FAFAFA" w:color="auto" w:val="clear"/>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4</w:t>
            </w:r>
          </w:p>
        </w:tc>
        <w:tc>
          <w:tcPr>
            <w:tcW w:type="dxa" w:w="11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100</w:t>
            </w:r>
          </w:p>
        </w:tc>
        <w:tc>
          <w:tcPr>
            <w:tcW w:type="dxa" w:w="11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32%</w:t>
            </w:r>
          </w:p>
        </w:tc>
        <w:tc>
          <w:tcPr>
            <w:tcW w:type="dxa" w:w="19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4.460.000 €</w:t>
            </w:r>
          </w:p>
        </w:tc>
        <w:tc>
          <w:tcPr>
            <w:tcW w:type="dxa" w:w="15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900.000 €</w:t>
            </w:r>
          </w:p>
        </w:tc>
        <w:tc>
          <w:tcPr>
            <w:tcW w:type="dxa" w:w="15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3.362.000 €</w:t>
            </w:r>
          </w:p>
        </w:tc>
        <w:tc>
          <w:tcPr>
            <w:tcW w:type="dxa" w:w="126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7.838.000 €</w:t>
            </w:r>
          </w:p>
        </w:tc>
      </w:tr>
      <w:tr>
        <w:tc>
          <w:tcPr>
            <w:tcW w:type="dxa" w:w="1000"/>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5</w:t>
            </w:r>
          </w:p>
        </w:tc>
        <w:tc>
          <w:tcPr>
            <w:tcW w:type="dxa" w:w="11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100</w:t>
            </w:r>
          </w:p>
        </w:tc>
        <w:tc>
          <w:tcPr>
            <w:tcW w:type="dxa" w:w="11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32%</w:t>
            </w:r>
          </w:p>
        </w:tc>
        <w:tc>
          <w:tcPr>
            <w:tcW w:type="dxa" w:w="19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4.460.000 €</w:t>
            </w:r>
          </w:p>
        </w:tc>
        <w:tc>
          <w:tcPr>
            <w:tcW w:type="dxa" w:w="15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600.000 €</w:t>
            </w:r>
          </w:p>
        </w:tc>
        <w:tc>
          <w:tcPr>
            <w:tcW w:type="dxa" w:w="15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3.062.000 €</w:t>
            </w:r>
          </w:p>
        </w:tc>
        <w:tc>
          <w:tcPr>
            <w:tcW w:type="dxa" w:w="126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10.901.000 €</w:t>
            </w:r>
          </w:p>
        </w:tc>
      </w:tr>
      <w:tr>
        <w:tc>
          <w:tcPr>
            <w:tcW w:type="dxa" w:w="1000"/>
            <w:shd w:fill="FAFAFA" w:color="auto" w:val="clear"/>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6</w:t>
            </w:r>
          </w:p>
        </w:tc>
        <w:tc>
          <w:tcPr>
            <w:tcW w:type="dxa" w:w="11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100</w:t>
            </w:r>
          </w:p>
        </w:tc>
        <w:tc>
          <w:tcPr>
            <w:tcW w:type="dxa" w:w="11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34%</w:t>
            </w:r>
          </w:p>
        </w:tc>
        <w:tc>
          <w:tcPr>
            <w:tcW w:type="dxa" w:w="19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4.601.000 €</w:t>
            </w:r>
          </w:p>
        </w:tc>
        <w:tc>
          <w:tcPr>
            <w:tcW w:type="dxa" w:w="15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600.000 €</w:t>
            </w:r>
          </w:p>
        </w:tc>
        <w:tc>
          <w:tcPr>
            <w:tcW w:type="dxa" w:w="15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3.179.000 €</w:t>
            </w:r>
          </w:p>
        </w:tc>
        <w:tc>
          <w:tcPr>
            <w:tcW w:type="dxa" w:w="126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14.080.000 €</w:t>
            </w:r>
          </w:p>
        </w:tc>
      </w:tr>
      <w:tr>
        <w:tc>
          <w:tcPr>
            <w:tcW w:type="dxa" w:w="1000"/>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7</w:t>
            </w:r>
          </w:p>
        </w:tc>
        <w:tc>
          <w:tcPr>
            <w:tcW w:type="dxa" w:w="11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100</w:t>
            </w:r>
          </w:p>
        </w:tc>
        <w:tc>
          <w:tcPr>
            <w:tcW w:type="dxa" w:w="11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34%</w:t>
            </w:r>
          </w:p>
        </w:tc>
        <w:tc>
          <w:tcPr>
            <w:tcW w:type="dxa" w:w="19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4.601.000 €</w:t>
            </w:r>
          </w:p>
        </w:tc>
        <w:tc>
          <w:tcPr>
            <w:tcW w:type="dxa" w:w="15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600.000 €</w:t>
            </w:r>
          </w:p>
        </w:tc>
        <w:tc>
          <w:tcPr>
            <w:tcW w:type="dxa" w:w="15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3.179.000 €</w:t>
            </w:r>
          </w:p>
        </w:tc>
        <w:tc>
          <w:tcPr>
            <w:tcW w:type="dxa" w:w="126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17.259.000 €</w:t>
            </w:r>
          </w:p>
        </w:tc>
      </w:tr>
    </w:tbl>
    <w:p>
      <w:pPr>
        <w:spacing w:after="220"/>
      </w:pPr>
    </w:p>
    <w:p>
      <w:pPr>
        <w:spacing w:after="140" w:line="300"/>
      </w:pPr>
      <w:r>
        <w:rPr>
          <w:rFonts w:ascii="Calibri" w:cs="Calibri" w:eastAsia="Calibri" w:hAnsi="Calibri"/>
          <w:color w:val="4a4a4a"/>
          <w:sz w:val="21"/>
          <w:szCs w:val="21"/>
        </w:rPr>
        <w:t xml:space="preserve">« Ammiss. » è la quota dei diritti d'ammissione ordinari imputata a conto economico (metà; l'altra metà è accantonata a riserva di manutenzione). Il capitale d'esercizio di 1,45 M€ è restituito nel corso del secondo anno. L'investimento complessivo di 5,29 M€ è coperto dal margine cumulato entro il quarto — ma in Ipotesi B i muri non gravano sull'esercizio, quindi il termine di confronto corretto è il primo.</w:t>
      </w:r>
    </w:p>
    <w:p>
      <w:pPr>
        <w:spacing w:after="140" w:line="300"/>
      </w:pPr>
      <w:r>
        <w:rPr>
          <w:rFonts w:ascii="Calibri" w:cs="Calibri" w:eastAsia="Calibri" w:hAnsi="Calibri"/>
          <w:color w:val="4a4a4a"/>
          <w:sz w:val="21"/>
          <w:szCs w:val="21"/>
        </w:rPr>
        <w:t xml:space="preserve">A differenza della versione a prezzi bassi, qui il primo anno è già in utile: quaranta soci a 22.000 € di quota bastano da soli a coprire i costi fissi di una casa quasi vuota. La casa non deve essere riempita in fretta, e questo la protegge dalla sola tentazione che potrebbe rovinarla.</w:t>
      </w:r>
    </w:p>
    <w:p>
      <w:pPr>
        <w:pStyle w:val="Heading1"/>
        <w:spacing w:after="180" w:before="360"/>
      </w:pPr>
      <w:r>
        <w:rPr>
          <w:rFonts w:ascii="Calibri" w:cs="Calibri" w:eastAsia="Calibri" w:hAnsi="Calibri"/>
          <w:b/>
          <w:bCs/>
          <w:color w:val="c8872f"/>
          <w:sz w:val="30"/>
          <w:szCs w:val="30"/>
        </w:rPr>
        <w:t xml:space="preserve">7. Il flusso verso Dar al-Hiraf</w:t>
      </w:r>
    </w:p>
    <w:p>
      <w:pPr>
        <w:spacing w:after="140" w:line="300"/>
      </w:pPr>
      <w:r>
        <w:rPr>
          <w:rFonts w:ascii="Calibri" w:cs="Calibri" w:eastAsia="Calibri" w:hAnsi="Calibri"/>
          <w:color w:val="4a4a4a"/>
          <w:sz w:val="21"/>
          <w:szCs w:val="21"/>
        </w:rPr>
        <w:t xml:space="preserve">Il riad riceve tre flussi distinti: il canone di locazione dell'immobile, il corrispettivo per ogni visita ammessa, e la dotazione statutaria pari al venti per cento del margine. La dotazione è vincolata per statuto e non discrezionale: non dipende da chi dirigerà la casa fra dieci anni.</w:t>
      </w:r>
    </w:p>
    <w:tbl>
      <w:tblPr>
        <w:tblW w:type="dxa" w:w="9160"/>
        <w:tblBorders>
          <w:top w:val="single" w:color="E5E5E5" w:sz="2"/>
          <w:left w:val="none"/>
          <w:bottom w:val="single" w:color="E5E5E5" w:sz="2"/>
          <w:right w:val="none"/>
          <w:insideH w:val="single" w:color="EEEEEE" w:sz="2"/>
          <w:insideV w:val="none"/>
        </w:tblBorders>
      </w:tblPr>
      <w:tblGrid>
        <w:gridCol w:w="3400"/>
        <w:gridCol w:w="1800"/>
        <w:gridCol w:w="1800"/>
        <w:gridCol w:w="2160"/>
      </w:tblGrid>
      <w:tr>
        <w:trPr>
          <w:tblHeader/>
        </w:trPr>
        <w:tc>
          <w:tcPr>
            <w:tcW w:type="dxa" w:w="3400"/>
            <w:shd w:fill="c8872f"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19"/>
                <w:szCs w:val="19"/>
              </w:rPr>
              <w:t xml:space="preserve">Scenario</w:t>
            </w:r>
          </w:p>
        </w:tc>
        <w:tc>
          <w:tcPr>
            <w:tcW w:type="dxa" w:w="180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Canone e accesso</w:t>
            </w:r>
          </w:p>
        </w:tc>
        <w:tc>
          <w:tcPr>
            <w:tcW w:type="dxa" w:w="180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Dotazione</w:t>
            </w:r>
          </w:p>
        </w:tc>
        <w:tc>
          <w:tcPr>
            <w:tcW w:type="dxa" w:w="216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Totale al Riad</w:t>
            </w:r>
          </w:p>
        </w:tc>
      </w:tr>
      <w:tr>
        <w:tc>
          <w:tcPr>
            <w:tcW w:type="dxa" w:w="340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Prudente</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443.000 €</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246.000 €</w:t>
            </w:r>
          </w:p>
        </w:tc>
        <w:tc>
          <w:tcPr>
            <w:tcW w:type="dxa" w:w="216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689.000 €</w:t>
            </w:r>
          </w:p>
        </w:tc>
      </w:tr>
      <w:tr>
        <w:tc>
          <w:tcPr>
            <w:tcW w:type="dxa" w:w="3400"/>
            <w:shd w:fill="F8F5F0" w:color="auto" w:val="clear"/>
            <w:tcMar>
              <w:top w:type="dxa" w:w="80"/>
              <w:left w:type="dxa" w:w="110"/>
              <w:bottom w:type="dxa" w:w="80"/>
              <w:right w:type="dxa" w:w="110"/>
            </w:tcMar>
          </w:tcPr>
          <w:p>
            <w:pPr>
              <w:spacing w:after="0" w:line="260"/>
              <w:jc w:val="left"/>
            </w:pPr>
            <w:r>
              <w:rPr>
                <w:rFonts w:ascii="Calibri" w:cs="Calibri" w:eastAsia="Calibri" w:hAnsi="Calibri"/>
                <w:b/>
                <w:bCs/>
                <w:color w:val="4a4a4a"/>
                <w:sz w:val="19"/>
                <w:szCs w:val="19"/>
              </w:rPr>
              <w:t xml:space="preserve">Base</w:t>
            </w:r>
          </w:p>
        </w:tc>
        <w:tc>
          <w:tcPr>
            <w:tcW w:type="dxa" w:w="18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557.000 €</w:t>
            </w:r>
          </w:p>
        </w:tc>
        <w:tc>
          <w:tcPr>
            <w:tcW w:type="dxa" w:w="18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492.000 €</w:t>
            </w:r>
          </w:p>
        </w:tc>
        <w:tc>
          <w:tcPr>
            <w:tcW w:type="dxa" w:w="216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1.049.000 €</w:t>
            </w:r>
          </w:p>
        </w:tc>
      </w:tr>
      <w:tr>
        <w:tc>
          <w:tcPr>
            <w:tcW w:type="dxa" w:w="340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Alto</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650.000 €</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694.000 €</w:t>
            </w:r>
          </w:p>
        </w:tc>
        <w:tc>
          <w:tcPr>
            <w:tcW w:type="dxa" w:w="216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1.345.000 €</w:t>
            </w:r>
          </w:p>
        </w:tc>
      </w:tr>
    </w:tbl>
    <w:p>
      <w:pPr>
        <w:spacing w:after="200"/>
      </w:pPr>
    </w:p>
    <w:p>
      <w:pPr>
        <w:spacing w:after="140" w:line="300"/>
      </w:pPr>
      <w:r>
        <w:rPr>
          <w:rFonts w:ascii="Calibri" w:cs="Calibri" w:eastAsia="Calibri" w:hAnsi="Calibri"/>
          <w:color w:val="4a4a4a"/>
          <w:sz w:val="21"/>
          <w:szCs w:val="21"/>
        </w:rPr>
        <w:t xml:space="preserve">Assumendo un costo pieno di 7.500 € per apprendista e per anno — vitto, alloggio, materiali, tempo dei maestri — lo scenario di riferimento corrisponde a circa centoquaranta borse di residenza: molte più di quante la casa possa ospitarne. Il fondo borse è quindi coperto per intero, e l'eccedenza va alla manutenzione dell'immobile e alla dotazione permanente.</w:t>
      </w:r>
    </w:p>
    <w:p>
      <w:pPr>
        <w:pStyle w:val="Heading2"/>
        <w:spacing w:after="120" w:before="260"/>
      </w:pPr>
      <w:r>
        <w:rPr>
          <w:rFonts w:ascii="Calibri" w:cs="Calibri" w:eastAsia="Calibri" w:hAnsi="Calibri"/>
          <w:b/>
          <w:bCs/>
          <w:color w:val="1f1f1f"/>
          <w:sz w:val="23"/>
          <w:szCs w:val="23"/>
        </w:rPr>
        <w:t xml:space="preserve">Perché conviene dirlo</w:t>
      </w:r>
    </w:p>
    <w:p>
      <w:pPr>
        <w:spacing w:after="140" w:line="300"/>
      </w:pPr>
      <w:r>
        <w:rPr>
          <w:rFonts w:ascii="Calibri" w:cs="Calibri" w:eastAsia="Calibri" w:hAnsi="Calibri"/>
          <w:color w:val="4a4a4a"/>
          <w:sz w:val="21"/>
          <w:szCs w:val="21"/>
        </w:rPr>
        <w:t xml:space="preserve">Un socio che paga 3.500 € a notte per una camera ha un termine di paragone e prima o poi lo userà. Un socio che sa di mantenere un apprendista per un anno con due soggiorni non ha nulla con cui confrontare, perché non esiste un secondo posto al mondo che gli offra la stessa cosa. Dichiarare il flusso non è un gesto morale che costa margine: è ciò che rende il prezzo indiscutibile e la fedeltà lunga.</w:t>
      </w:r>
    </w:p>
    <w:p>
      <w:pPr>
        <w:pStyle w:val="Heading2"/>
        <w:spacing w:after="120" w:before="260"/>
      </w:pPr>
      <w:r>
        <w:rPr>
          <w:rFonts w:ascii="Calibri" w:cs="Calibri" w:eastAsia="Calibri" w:hAnsi="Calibri"/>
          <w:b/>
          <w:bCs/>
          <w:color w:val="1f1f1f"/>
          <w:sz w:val="23"/>
          <w:szCs w:val="23"/>
        </w:rPr>
        <w:t xml:space="preserve">L'anonimato dell'apprendista non è negoziabile</w:t>
      </w:r>
    </w:p>
    <w:p>
      <w:pPr>
        <w:spacing w:after="140" w:line="300"/>
      </w:pPr>
      <w:r>
        <w:rPr>
          <w:rFonts w:ascii="Calibri" w:cs="Calibri" w:eastAsia="Calibri" w:hAnsi="Calibri"/>
          <w:color w:val="4a4a4a"/>
          <w:sz w:val="21"/>
          <w:szCs w:val="21"/>
        </w:rPr>
        <w:t xml:space="preserve">Un socio, e soprattutto un ospite di rango, chiederà prima o poi di sapere chi è il ragazzo che mantiene. La risposta resta no, e le ragioni non sono di forma. Nel momento in cui un apprendista sa che un uomo potente paga per lui, smette di essere mantenuto dalla casa e diventa il protetto di qualcuno: fra venti ragazzi si apre l'unica frattura che una comunità così non sopporta. E per l'ospite stesso, un legame nominativo con un giovane preciso, in una casa di soli uomini, è materiale che chiunque saprebbe usare contro di lui: non dirglielo non è una regola imposta, è una protezione offerta, e va presentata così.</w:t>
      </w:r>
    </w:p>
    <w:p>
      <w:pPr>
        <w:spacing w:after="140" w:line="300"/>
      </w:pPr>
      <w:r>
        <w:rPr>
          <w:rFonts w:ascii="Calibri" w:cs="Calibri" w:eastAsia="Calibri" w:hAnsi="Calibri"/>
          <w:color w:val="4a4a4a"/>
          <w:sz w:val="21"/>
          <w:szCs w:val="21"/>
        </w:rPr>
        <w:t xml:space="preserve">Gli si dà invece qualcosa di più durevole: l'opera esatta che il suo denaro ha prodotto — questa porta, questo pannello — che può vedere e ritrovare fra vent'anni; la scelta del mestiere che dota; e, per dotazioni di peso, una borsa fondata a perpetuità che porta il suo nome nella forma del ḥubus. Il nome va sulla dotazione, che è una cosa, mai sul ragazzo. Una sola deroga è difendibile: a formazione conclusa, quando l'apprendista non dipende più da nessuno, questi può — se lo vuole e di sua iniziativa — scrivere al benefattore.</w:t>
      </w:r>
    </w:p>
    <w:p>
      <w:r>
        <w:br w:type="page"/>
      </w:r>
    </w:p>
    <w:p>
      <w:pPr>
        <w:pStyle w:val="Heading1"/>
        <w:spacing w:after="180" w:before="360"/>
      </w:pPr>
      <w:r>
        <w:rPr>
          <w:rFonts w:ascii="Calibri" w:cs="Calibri" w:eastAsia="Calibri" w:hAnsi="Calibri"/>
          <w:b/>
          <w:bCs/>
          <w:color w:val="c8872f"/>
          <w:sz w:val="30"/>
          <w:szCs w:val="30"/>
        </w:rPr>
        <w:t xml:space="preserve">8. La contiguità: la porta e l'appartamento d'onore</w:t>
      </w:r>
    </w:p>
    <w:p>
      <w:pPr>
        <w:pStyle w:val="Heading2"/>
        <w:spacing w:after="120" w:before="260"/>
      </w:pPr>
      <w:r>
        <w:rPr>
          <w:rFonts w:ascii="Calibri" w:cs="Calibri" w:eastAsia="Calibri" w:hAnsi="Calibri"/>
          <w:b/>
          <w:bCs/>
          <w:color w:val="1f1f1f"/>
          <w:sz w:val="23"/>
          <w:szCs w:val="23"/>
        </w:rPr>
        <w:t xml:space="preserve">La porta</w:t>
      </w:r>
    </w:p>
    <w:p>
      <w:pPr>
        <w:spacing w:after="140" w:line="300"/>
      </w:pPr>
      <w:r>
        <w:rPr>
          <w:rFonts w:ascii="Calibri" w:cs="Calibri" w:eastAsia="Calibri" w:hAnsi="Calibri"/>
          <w:color w:val="4a4a4a"/>
          <w:sz w:val="21"/>
          <w:szCs w:val="21"/>
        </w:rPr>
        <w:t xml:space="preserve">Le due case condividono un muro e nient'altro: ingressi su strade diverse, cucine, personale e circolazioni interamente separati, nessuna finestra dell'una che dia sul patio dell'altra. Nel muro comune c'è una sola porta, e si apre dal lato del riad: dal lato della Munya non ha maniglia. Non è un'immagine, è una specifica costruttiva. Nessun ospite ne possiede la chiave; il passaggio è aperto da un residente e richiuso dietro di lui.</w:t>
      </w:r>
    </w:p>
    <w:p>
      <w:pPr>
        <w:spacing w:after="140" w:line="300"/>
      </w:pPr>
      <w:r>
        <w:rPr>
          <w:rFonts w:ascii="Calibri" w:cs="Calibri" w:eastAsia="Calibri" w:hAnsi="Calibri"/>
          <w:color w:val="4a4a4a"/>
          <w:sz w:val="21"/>
          <w:szCs w:val="21"/>
        </w:rPr>
        <w:t xml:space="preserve">L'ospite non alloggia nel riad, non entra nei quartieri residenziali, non assiste alla preghiera, non è presente ai momenti interni della comunità. Ciò che può essergli concesso — un'ora al banco di un maestro, un pasto alla tavola comune, una sera di malḥūn, il campo di tiro all'alba — è concesso caso per caso, non è a listino, non è compreso nel prezzo e può essere rifiutato senza motivazione.</w:t>
      </w:r>
    </w:p>
    <w:p>
      <w:pPr>
        <w:spacing w:after="140" w:line="300"/>
      </w:pPr>
      <w:r>
        <w:rPr>
          <w:rFonts w:ascii="Calibri" w:cs="Calibri" w:eastAsia="Calibri" w:hAnsi="Calibri"/>
          <w:color w:val="4a4a4a"/>
          <w:sz w:val="21"/>
          <w:szCs w:val="21"/>
        </w:rPr>
        <w:t xml:space="preserve">Per chi finanzia, questa è una clausola di protezione del patrimonio, non una delicatezza, e la contiguità la rende più necessaria, non meno. Il giorno in cui la comunità si organizzasse in funzione degli ospiti, l'unica cosa non replicabile del progetto sarebbe distrutta e con essa il premio di prezzo. La convenzione d'accesso riconosce quindi al riad il diritto assoluto e non motivato di sospendere l'accesso — cioè di far murare la porta — in qualunque momento e senza penale.</w:t>
      </w:r>
    </w:p>
    <w:p>
      <w:pPr>
        <w:spacing w:after="140" w:line="300"/>
      </w:pPr>
      <w:r>
        <w:rPr>
          <w:rFonts w:ascii="Calibri" w:cs="Calibri" w:eastAsia="Calibri" w:hAnsi="Calibri"/>
          <w:color w:val="4a4a4a"/>
          <w:sz w:val="21"/>
          <w:szCs w:val="21"/>
        </w:rPr>
        <w:t xml:space="preserve">I residenti non sono personale: non ricevono mance, non sono fotografati, non fanno dimostrazioni. Il socio che vi contravviene conclude il soggiorno lo stesso giorno. È scritto nel regolamento che firma all'ammissione.</w:t>
      </w:r>
    </w:p>
    <w:p>
      <w:pPr>
        <w:pStyle w:val="Heading2"/>
        <w:spacing w:after="120" w:before="260"/>
      </w:pPr>
      <w:r>
        <w:rPr>
          <w:rFonts w:ascii="Calibri" w:cs="Calibri" w:eastAsia="Calibri" w:hAnsi="Calibri"/>
          <w:b/>
          <w:bCs/>
          <w:color w:val="1f1f1f"/>
          <w:sz w:val="23"/>
          <w:szCs w:val="23"/>
        </w:rPr>
        <w:t xml:space="preserve">L'appartamento d'onore</w:t>
      </w:r>
    </w:p>
    <w:p>
      <w:pPr>
        <w:spacing w:after="140" w:line="300"/>
      </w:pPr>
      <w:r>
        <w:rPr>
          <w:rFonts w:ascii="Calibri" w:cs="Calibri" w:eastAsia="Calibri" w:hAnsi="Calibri"/>
          <w:color w:val="4a4a4a"/>
          <w:sz w:val="21"/>
          <w:szCs w:val="21"/>
        </w:rPr>
        <w:t xml:space="preserve">Un ospite di rango — un membro di una casa reale, un ospite ufficiale — non può essere alloggiato fra soci paganti, né nel riad, che è una casa di giovani uomini in formazione senza protocollo né sicurezza. La contiguità risolve il problema con un terzo luogo: un'ala autonoma della Munya, isolabile in un'ora, con ingresso e servizio propri, capace di ricevere un seguito senza che questo attraversi il majlis.</w:t>
      </w:r>
    </w:p>
    <w:p>
      <w:pPr>
        <w:spacing w:after="140" w:line="300"/>
      </w:pPr>
      <w:r>
        <w:rPr>
          <w:rFonts w:ascii="Calibri" w:cs="Calibri" w:eastAsia="Calibri" w:hAnsi="Calibri"/>
          <w:color w:val="4a4a4a"/>
          <w:sz w:val="21"/>
          <w:szCs w:val="21"/>
        </w:rPr>
        <w:t xml:space="preserve">Non si affitta e non ha prezzo: è offerta, oppure resta vuota. Quando è occupata, il majlis è chiuso e nessun socio è presente; lo statuto fissa il tetto di trenta notti l'anno, il preavviso e la compensazione in doppio delle notti spostate. Il costo di questa clausola è già iscritto nel modello, sotto forma di quindici notti medie di chiusura l'anno e di 60.000 € di custodia.</w:t>
      </w:r>
    </w:p>
    <w:p>
      <w:pPr>
        <w:spacing w:after="140" w:line="300"/>
      </w:pPr>
      <w:r>
        <w:rPr>
          <w:rFonts w:ascii="Calibri" w:cs="Calibri" w:eastAsia="Calibri" w:hAnsi="Calibri"/>
          <w:color w:val="4a4a4a"/>
          <w:sz w:val="21"/>
          <w:szCs w:val="21"/>
        </w:rPr>
        <w:t xml:space="preserve">Il valore non è di ricavo. È che un ospite di quel rango, ricevuto accanto a Dar al-Hiraf, dà alla casa una protezione istituzionale che nessun budget di comunicazione può comprare — e che non potrà mai essere comunicata. Non comparirà da nessuna parte: sarà nota esattamente alle persone che devono saperla, che sono le stesse attraverso cui passa la cooptazione.</w:t>
      </w:r>
    </w:p>
    <w:p>
      <w:pPr>
        <w:spacing w:after="140" w:line="300"/>
      </w:pPr>
      <w:r>
        <w:rPr>
          <w:rFonts w:ascii="Calibri" w:cs="Calibri" w:eastAsia="Calibri" w:hAnsi="Calibri"/>
          <w:color w:val="4a4a4a"/>
          <w:sz w:val="21"/>
          <w:szCs w:val="21"/>
        </w:rPr>
        <w:t xml:space="preserve">Va aggiunto un punto che si comprende solo sul posto: la discrezione, qui, non è prodotta da un dispositivo ma dal vicinato. Altrove un ospite simile è protetto da un apparato che lo annuncia — un albergo che sa, un piano svuotato, un personale informato. Qui la casa non cambia nulla per lui: stesse ore, stessa tavola, stesso silenzio, nessun titolo e nessuna precedenza. Una casa che si riorganizza per un ospite è costretta a dirlo a molte persone; una casa che non si riorganizza non ha niente da dire a nessuno.</w:t>
      </w:r>
    </w:p>
    <w:p>
      <w:pPr>
        <w:pStyle w:val="Heading1"/>
        <w:spacing w:after="180" w:before="360"/>
      </w:pPr>
      <w:r>
        <w:rPr>
          <w:rFonts w:ascii="Calibri" w:cs="Calibri" w:eastAsia="Calibri" w:hAnsi="Calibri"/>
          <w:b/>
          <w:bCs/>
          <w:color w:val="c8872f"/>
          <w:sz w:val="30"/>
          <w:szCs w:val="30"/>
        </w:rPr>
        <w:t xml:space="preserve">9. Tre clausole di governance</w:t>
      </w:r>
    </w:p>
    <w:p>
      <w:pPr>
        <w:pStyle w:val="Heading2"/>
        <w:spacing w:after="120" w:before="260"/>
      </w:pPr>
      <w:r>
        <w:rPr>
          <w:rFonts w:ascii="Calibri" w:cs="Calibri" w:eastAsia="Calibri" w:hAnsi="Calibri"/>
          <w:b/>
          <w:bCs/>
          <w:color w:val="1f1f1f"/>
          <w:sz w:val="23"/>
          <w:szCs w:val="23"/>
        </w:rPr>
        <w:t xml:space="preserve">Il registro è di carta</w:t>
      </w:r>
    </w:p>
    <w:p>
      <w:pPr>
        <w:spacing w:after="140" w:line="300"/>
      </w:pPr>
      <w:r>
        <w:rPr>
          <w:rFonts w:ascii="Calibri" w:cs="Calibri" w:eastAsia="Calibri" w:hAnsi="Calibri"/>
          <w:color w:val="4a4a4a"/>
          <w:sz w:val="21"/>
          <w:szCs w:val="21"/>
        </w:rPr>
        <w:t xml:space="preserve">I nomi dei soci non esistono in forma digitale. Il ruolo dei membri, gli atti di ammissione, le firme, le designazioni di successore e le radiazioni sono tenuti a mano su un registro unico, conservato nel tesoro del Riad — non nella Munya. Niente sito, niente elenco, niente base dati, niente scansione. L'amministrazione corrente lavora per numero; il minimo contabile e bancario che la legge impone vive in un sistema separato e non contiene nulla che la legge non esiga.</w:t>
      </w:r>
    </w:p>
    <w:p>
      <w:pPr>
        <w:spacing w:after="140" w:line="300"/>
      </w:pPr>
      <w:r>
        <w:rPr>
          <w:rFonts w:ascii="Calibri" w:cs="Calibri" w:eastAsia="Calibri" w:hAnsi="Calibri"/>
          <w:b/>
          <w:bCs/>
          <w:color w:val="1f1f1f"/>
          <w:sz w:val="21"/>
          <w:szCs w:val="21"/>
        </w:rPr>
        <w:t xml:space="preserve">La conseguenza patrimoniale va compresa prima di firmare. </w:t>
      </w:r>
      <w:r>
        <w:rPr>
          <w:rFonts w:ascii="Calibri" w:cs="Calibri" w:eastAsia="Calibri" w:hAnsi="Calibri"/>
          <w:color w:val="4a4a4a"/>
          <w:sz w:val="21"/>
          <w:szCs w:val="21"/>
        </w:rPr>
        <w:t xml:space="preserve">La società d'esercizio non possiede l'elenco dei propri soci: lo possiede la casa accanto, che non è una società e non si vende. Il capitale della Munya può cambiare mano, ma i suoi membri non sono trasferibili con esso — chi comprasse la società comprerebbe una gestione, non un majlis. È deliberato, ed è la garanzia strutturale che questa cosa non finisca un giorno rivenduta a un gruppo alberghiero.</w:t>
      </w:r>
    </w:p>
    <w:p>
      <w:pPr>
        <w:spacing w:after="140" w:line="300"/>
      </w:pPr>
      <w:r>
        <w:rPr>
          <w:rFonts w:ascii="Calibri" w:cs="Calibri" w:eastAsia="Calibri" w:hAnsi="Calibri"/>
          <w:color w:val="4a4a4a"/>
          <w:sz w:val="21"/>
          <w:szCs w:val="21"/>
        </w:rPr>
        <w:t xml:space="preserve">Un registro unico si può bruciare: va trattato come un manoscritto — cassaforte, condizioni di conservazione, una seconda copia sempre di carta tenuta altrove e sotto la stessa regola. Il rifiuto della traccia digitale non autorizza a essere disinvolti con quella di carta.</w:t>
      </w:r>
    </w:p>
    <w:p>
      <w:pPr>
        <w:pStyle w:val="Heading2"/>
        <w:spacing w:after="120" w:before="260"/>
      </w:pPr>
      <w:r>
        <w:rPr>
          <w:rFonts w:ascii="Calibri" w:cs="Calibri" w:eastAsia="Calibri" w:hAnsi="Calibri"/>
          <w:b/>
          <w:bCs/>
          <w:color w:val="1f1f1f"/>
          <w:sz w:val="23"/>
          <w:szCs w:val="23"/>
        </w:rPr>
        <w:t xml:space="preserve">Il cambio di controllo</w:t>
      </w:r>
    </w:p>
    <w:p>
      <w:pPr>
        <w:spacing w:after="140" w:line="300"/>
      </w:pPr>
      <w:r>
        <w:rPr>
          <w:rFonts w:ascii="Calibri" w:cs="Calibri" w:eastAsia="Calibri" w:hAnsi="Calibri"/>
          <w:color w:val="4a4a4a"/>
          <w:sz w:val="21"/>
          <w:szCs w:val="21"/>
        </w:rPr>
        <w:t xml:space="preserve">La cessione delle quote della società d'esercizio è soggetta al consenso preventivo del riad. Questa clausola e il registro cartaceo sono i due dispositivi che, insieme, rendono la Munya non rivendibile: l'uno blocca il passaggio, l'altro fa sì che, anche se passasse, non passerebbero i soci.</w:t>
      </w:r>
    </w:p>
    <w:p>
      <w:pPr>
        <w:pStyle w:val="Heading2"/>
        <w:spacing w:after="120" w:before="260"/>
      </w:pPr>
      <w:r>
        <w:rPr>
          <w:rFonts w:ascii="Calibri" w:cs="Calibri" w:eastAsia="Calibri" w:hAnsi="Calibri"/>
          <w:b/>
          <w:bCs/>
          <w:color w:val="1f1f1f"/>
          <w:sz w:val="23"/>
          <w:szCs w:val="23"/>
        </w:rPr>
        <w:t xml:space="preserve">Il parere della tavola</w:t>
      </w:r>
    </w:p>
    <w:p>
      <w:pPr>
        <w:spacing w:after="140" w:line="300"/>
      </w:pPr>
      <w:r>
        <w:rPr>
          <w:rFonts w:ascii="Calibri" w:cs="Calibri" w:eastAsia="Calibri" w:hAnsi="Calibri"/>
          <w:color w:val="4a4a4a"/>
          <w:sz w:val="21"/>
          <w:szCs w:val="21"/>
        </w:rPr>
        <w:t xml:space="preserve">Il pasto del colloquio d'ammissione non si tiene alla Munya: si tiene alla tavola comune del Riad, e il candidato vi siede come un ospite qualunque, senza titolo e senza che nessuno sappia chi sia né perché sia lì. Il giorno dopo la casa chiede alla tavola — non un voto, un parere. Se la tavola è tiepida, la risposta è no; se un uomo è contrario e non vuole dire perché, la risposta è no. Nello statuto si scrive una riga sola: l'ammissione richiede il parere favorevole della tavola.</w:t>
      </w:r>
    </w:p>
    <w:p>
      <w:pPr>
        <w:spacing w:after="140" w:line="300"/>
      </w:pPr>
      <w:r>
        <w:rPr>
          <w:rFonts w:ascii="Calibri" w:cs="Calibri" w:eastAsia="Calibri" w:hAnsi="Calibri"/>
          <w:color w:val="4a4a4a"/>
          <w:sz w:val="21"/>
          <w:szCs w:val="21"/>
        </w:rPr>
        <w:t xml:space="preserve">Che cosa la tavola stia pesando non è scritto da nessuna parte e non lo sarà mai. In sostanza si chiede a venti giovani uomini se sarebbero contenti di riceverne un altro. È il criterio di selezione reale del majlis, ed è il solo meccanismo che lo eserciti senza doverlo enunciare: non lo applica la casa, lo applicano loro.</w:t>
      </w:r>
    </w:p>
    <w:p>
      <w:pPr>
        <w:spacing w:after="140" w:line="300"/>
      </w:pPr>
      <w:r>
        <w:rPr>
          <w:rFonts w:ascii="Calibri" w:cs="Calibri" w:eastAsia="Calibri" w:hAnsi="Calibri"/>
          <w:b/>
          <w:bCs/>
          <w:color w:val="1f1f1f"/>
          <w:sz w:val="21"/>
          <w:szCs w:val="21"/>
        </w:rPr>
        <w:t xml:space="preserve">Tre ragioni per cui è il cardine del sistema. </w:t>
      </w:r>
      <w:r>
        <w:rPr>
          <w:rFonts w:ascii="Calibri" w:cs="Calibri" w:eastAsia="Calibri" w:hAnsi="Calibri"/>
          <w:color w:val="4a4a4a"/>
          <w:sz w:val="21"/>
          <w:szCs w:val="21"/>
        </w:rPr>
        <w:t xml:space="preserve">È inattaccabile — nessuno può contestare che una comunità scelga chi accogliere alla propria tavola, e nessun documento dice che cosa si cerca. Protegge la soglia meglio di qualunque clausola — un uomo entrato col consenso della tavola non tratterà mai quei ragazzi da personale, e chi l'avrebbe fatto la tavola lo riconosce in due ore. E rovescia definitivamente il rapporto col denaro: venti uomini che non possiedono nulla decidono se lui possa versare centocinquantamila euro. È l'unica cosa, in tutta la sua vita, che non potrà comprare — e va detto al candidato esattamente così.</w:t>
      </w:r>
    </w:p>
    <w:p>
      <w:pPr>
        <w:pStyle w:val="Heading2"/>
        <w:spacing w:after="120" w:before="260"/>
      </w:pPr>
      <w:r>
        <w:rPr>
          <w:rFonts w:ascii="Calibri" w:cs="Calibri" w:eastAsia="Calibri" w:hAnsi="Calibri"/>
          <w:b/>
          <w:bCs/>
          <w:color w:val="1f1f1f"/>
          <w:sz w:val="23"/>
          <w:szCs w:val="23"/>
        </w:rPr>
        <w:t xml:space="preserve">La trasmissione del posto di fondatore</w:t>
      </w:r>
    </w:p>
    <w:p>
      <w:pPr>
        <w:spacing w:after="140" w:line="300"/>
      </w:pPr>
      <w:r>
        <w:rPr>
          <w:rFonts w:ascii="Calibri" w:cs="Calibri" w:eastAsia="Calibri" w:hAnsi="Calibri"/>
          <w:color w:val="4a4a4a"/>
          <w:sz w:val="21"/>
          <w:szCs w:val="21"/>
        </w:rPr>
        <w:t xml:space="preserve">Il posto ordinario non si eredita e nessun posto si vende mai a titolo oneroso. I quaranta fondatori fanno eccezione: ciascuno può designare il proprio successore — un figlio, un fratello minore, un uomo che non è della sua famiglia — per atto scritto depositato al registro o per disposizione testamentaria.</w:t>
      </w:r>
    </w:p>
    <w:p>
      <w:pPr>
        <w:pStyle w:val="ListParagraph"/>
        <w:numPr>
          <w:ilvl w:val="0"/>
          <w:numId w:val="1"/>
        </w:numPr>
        <w:spacing w:after="80" w:line="300"/>
      </w:pPr>
      <w:r>
        <w:rPr>
          <w:rFonts w:ascii="Calibri" w:cs="Calibri" w:eastAsia="Calibri" w:hAnsi="Calibri"/>
          <w:color w:val="4a4a4a"/>
          <w:sz w:val="21"/>
          <w:szCs w:val="21"/>
        </w:rPr>
        <w:t xml:space="preserve">È un diritto di presentazione, non di ammissione: il designato passa lo stesso colloquio e deve avere gli stessi requisiti, età compresa. La casa può rifiutarlo senza motivare, e in tal caso il posto torna alla casa.</w:t>
      </w:r>
    </w:p>
    <w:p>
      <w:pPr>
        <w:pStyle w:val="ListParagraph"/>
        <w:numPr>
          <w:ilvl w:val="0"/>
          <w:numId w:val="1"/>
        </w:numPr>
        <w:spacing w:after="80" w:line="300"/>
      </w:pPr>
      <w:r>
        <w:rPr>
          <w:rFonts w:ascii="Calibri" w:cs="Calibri" w:eastAsia="Calibri" w:hAnsi="Calibri"/>
          <w:color w:val="4a4a4a"/>
          <w:sz w:val="21"/>
          <w:szCs w:val="21"/>
        </w:rPr>
        <w:t xml:space="preserve">Il successore non versa il diritto d'ammissione — è precisamente il valore che il fondatore ha comprato — ma versa la quota annuale.</w:t>
      </w:r>
    </w:p>
    <w:p>
      <w:pPr>
        <w:pStyle w:val="ListParagraph"/>
        <w:numPr>
          <w:ilvl w:val="0"/>
          <w:numId w:val="1"/>
        </w:numPr>
        <w:spacing w:after="80" w:line="300"/>
      </w:pPr>
      <w:r>
        <w:rPr>
          <w:rFonts w:ascii="Calibri" w:cs="Calibri" w:eastAsia="Calibri" w:hAnsi="Calibri"/>
          <w:color w:val="4a4a4a"/>
          <w:sz w:val="21"/>
          <w:szCs w:val="21"/>
        </w:rPr>
        <w:t xml:space="preserve">Nessun denaro fra le parti: la designazione è gratuita, e se emerge che è stata pagata decade.</w:t>
      </w:r>
    </w:p>
    <w:p>
      <w:pPr>
        <w:spacing w:after="140" w:line="300"/>
      </w:pPr>
      <w:r>
        <w:rPr>
          <w:rFonts w:ascii="Calibri" w:cs="Calibri" w:eastAsia="Calibri" w:hAnsi="Calibri"/>
          <w:color w:val="4a4a4a"/>
          <w:sz w:val="21"/>
          <w:szCs w:val="21"/>
        </w:rPr>
        <w:t xml:space="preserve">Non c'è limite al numero di trasmissioni. È l'unico modo di rendere il posto realmente ereditabile senza renderlo commerciabile — e detto ai candidati fondatori vale più dello sconto sul diritto d'ingresso, perché non stanno comprando un accesso ma qualcosa da lasciare.</w:t>
      </w:r>
    </w:p>
    <w:p>
      <w:r>
        <w:br w:type="page"/>
      </w:r>
    </w:p>
    <w:p>
      <w:pPr>
        <w:pStyle w:val="Heading1"/>
        <w:spacing w:after="180" w:before="360"/>
      </w:pPr>
      <w:r>
        <w:rPr>
          <w:rFonts w:ascii="Calibri" w:cs="Calibri" w:eastAsia="Calibri" w:hAnsi="Calibri"/>
          <w:b/>
          <w:bCs/>
          <w:color w:val="c8872f"/>
          <w:sz w:val="30"/>
          <w:szCs w:val="30"/>
        </w:rPr>
        <w:t xml:space="preserve">10. Punti giuridici da verificare</w:t>
      </w:r>
    </w:p>
    <w:p>
      <w:pPr>
        <w:spacing w:after="100" w:line="300"/>
      </w:pPr>
      <w:r>
        <w:rPr>
          <w:rFonts w:ascii="Calibri" w:cs="Calibri" w:eastAsia="Calibri" w:hAnsi="Calibri"/>
          <w:color w:val="4a4a4a"/>
          <w:sz w:val="21"/>
          <w:szCs w:val="21"/>
        </w:rPr>
        <w:t xml:space="preserve">Cinque punti vanno sottoposti a un avvocato marocchino prima di qualunque impegno di capitale:</w:t>
      </w:r>
    </w:p>
    <w:p>
      <w:pPr>
        <w:pStyle w:val="ListParagraph"/>
        <w:numPr>
          <w:ilvl w:val="0"/>
          <w:numId w:val="1"/>
        </w:numPr>
        <w:spacing w:after="80" w:line="300"/>
      </w:pPr>
      <w:r>
        <w:rPr>
          <w:rFonts w:ascii="Calibri" w:cs="Calibri" w:eastAsia="Calibri" w:hAnsi="Calibri"/>
          <w:color w:val="4a4a4a"/>
          <w:sz w:val="21"/>
          <w:szCs w:val="21"/>
        </w:rPr>
        <w:t xml:space="preserve">Ammissione riservata agli uomini — sostenibile per un majlis privato a cooptazione, problematica per una struttura ricettiva classificata. L'assetto probabilmente corretto è la residenza privata messa a disposizione dei membri di un'associazione, non la maison d'hôtes. Da verificare, non da presumere.</w:t>
      </w:r>
    </w:p>
    <w:p>
      <w:pPr>
        <w:pStyle w:val="ListParagraph"/>
        <w:numPr>
          <w:ilvl w:val="0"/>
          <w:numId w:val="1"/>
        </w:numPr>
        <w:spacing w:after="80" w:line="300"/>
      </w:pPr>
      <w:r>
        <w:rPr>
          <w:rFonts w:ascii="Calibri" w:cs="Calibri" w:eastAsia="Calibri" w:hAnsi="Calibri"/>
          <w:color w:val="4a4a4a"/>
          <w:sz w:val="21"/>
          <w:szCs w:val="21"/>
        </w:rPr>
        <w:t xml:space="preserve">Proprietà immobiliare in medina: titolarità, mitoyenneté del muro comune, servitù di passaggio e di veduta, apertura di una porta in un muro divisorio, autorizzazioni di restauro in zona UNESCO.</w:t>
      </w:r>
    </w:p>
    <w:p>
      <w:pPr>
        <w:pStyle w:val="ListParagraph"/>
        <w:numPr>
          <w:ilvl w:val="0"/>
          <w:numId w:val="1"/>
        </w:numPr>
        <w:spacing w:after="80" w:line="300"/>
      </w:pPr>
      <w:r>
        <w:rPr>
          <w:rFonts w:ascii="Calibri" w:cs="Calibri" w:eastAsia="Calibri" w:hAnsi="Calibri"/>
          <w:color w:val="4a4a4a"/>
          <w:sz w:val="21"/>
          <w:szCs w:val="21"/>
        </w:rPr>
        <w:t xml:space="preserve">Ipotesi B: capacità di un ente non lucrativo di possedere un immobile locato a fini commerciali; regime fiscale del canone; momento e forma dell'ingresso nel perimetro ḥubus; ipotecabilità durante la fase di restauro.</w:t>
      </w:r>
    </w:p>
    <w:p>
      <w:pPr>
        <w:pStyle w:val="ListParagraph"/>
        <w:numPr>
          <w:ilvl w:val="0"/>
          <w:numId w:val="1"/>
        </w:numPr>
        <w:spacing w:after="80" w:line="300"/>
      </w:pPr>
      <w:r>
        <w:rPr>
          <w:rFonts w:ascii="Calibri" w:cs="Calibri" w:eastAsia="Calibri" w:hAnsi="Calibri"/>
          <w:color w:val="4a4a4a"/>
          <w:sz w:val="21"/>
          <w:szCs w:val="21"/>
        </w:rPr>
        <w:t xml:space="preserve">Assenza di confusione patrimoniale fra due immobili contigui appartenenti a entità legate — nessuna parte comune, nessun impianto condiviso, nessuna garanzia incrociata.</w:t>
      </w:r>
    </w:p>
    <w:p>
      <w:pPr>
        <w:pStyle w:val="ListParagraph"/>
        <w:numPr>
          <w:ilvl w:val="0"/>
          <w:numId w:val="1"/>
        </w:numPr>
        <w:spacing w:after="80" w:line="300"/>
      </w:pPr>
      <w:r>
        <w:rPr>
          <w:rFonts w:ascii="Calibri" w:cs="Calibri" w:eastAsia="Calibri" w:hAnsi="Calibri"/>
          <w:color w:val="4a4a4a"/>
          <w:sz w:val="21"/>
          <w:szCs w:val="21"/>
        </w:rPr>
        <w:t xml:space="preserve">Requisiti di sicurezza e obblighi verso le autorità per l'accoglienza di ospiti ufficiali; conservazione cartacea dei dati dei soci alla luce degli obblighi di antiriciclaggio e di protezione dei dati.</w:t>
      </w:r>
    </w:p>
    <w:p>
      <w:pPr>
        <w:pStyle w:val="Heading2"/>
        <w:spacing w:after="120" w:before="260"/>
      </w:pPr>
      <w:r>
        <w:rPr>
          <w:rFonts w:ascii="Calibri" w:cs="Calibri" w:eastAsia="Calibri" w:hAnsi="Calibri"/>
          <w:b/>
          <w:bCs/>
          <w:color w:val="1f1f1f"/>
          <w:sz w:val="23"/>
          <w:szCs w:val="23"/>
        </w:rPr>
        <w:t xml:space="preserve">La società d'esercizio come mecenate del Riad</w:t>
      </w:r>
    </w:p>
    <w:p>
      <w:pPr>
        <w:spacing w:after="140" w:line="300"/>
      </w:pPr>
      <w:r>
        <w:rPr>
          <w:rFonts w:ascii="Calibri" w:cs="Calibri" w:eastAsia="Calibri" w:hAnsi="Calibri"/>
          <w:color w:val="4a4a4a"/>
          <w:sz w:val="21"/>
          <w:szCs w:val="21"/>
        </w:rPr>
        <w:t xml:space="preserve">Vale la pena istruirla, ma il beneficio è più stretto di quanto sembri. Dei tre flussi verso il riad, due sono già costi d'esercizio pienamente deducibili e non richiedono alcun regime speciale: il canone di locazione e il corrispettivo d'accesso, che remunerano un bene e un servizio reali, e che insieme valgono più della metà del totale. Solo il terzo — la dotazione statutaria del venti per cento del margine — è oggi una destinazione volontaria di utile già tassato. Qualificarla come atto di mecenatismo verso un ente riconosciuto la renderebbe deducibile nei limiti di legge: su circa 490.000 € di dotazione, un beneficio dell'ordine di cento-centocinquantamila euro l'anno.</w:t>
      </w:r>
    </w:p>
    <w:p>
      <w:pPr>
        <w:spacing w:after="140" w:line="300"/>
      </w:pPr>
      <w:r>
        <w:rPr>
          <w:rFonts w:ascii="Calibri" w:cs="Calibri" w:eastAsia="Calibri" w:hAnsi="Calibri"/>
          <w:color w:val="4a4a4a"/>
          <w:sz w:val="21"/>
          <w:szCs w:val="21"/>
        </w:rPr>
        <w:t xml:space="preserve">Tre condizioni. Primo, il riad deve avere la forma giuridica giusta — la deducibilità delle liberalità è di norma riservata agli enti riconosciuti d'utilità pubblica, e il regime cambia ancora se il bene è costituito in ḥubus. Secondo, le operazioni fra parti correlate vanno rese inattaccabili: canone sostenuto da perizia di congruità, corrispettivo d'accesso documentato da servizi realmente resi, e solo il residuo trattato come liberalità.</w:t>
      </w:r>
    </w:p>
    <w:p>
      <w:pPr>
        <w:spacing w:after="140" w:line="300"/>
      </w:pPr>
      <w:r>
        <w:rPr>
          <w:rFonts w:ascii="Calibri" w:cs="Calibri" w:eastAsia="Calibri" w:hAnsi="Calibri"/>
          <w:b/>
          <w:bCs/>
          <w:color w:val="1f1f1f"/>
          <w:sz w:val="21"/>
          <w:szCs w:val="21"/>
        </w:rPr>
        <w:t xml:space="preserve">Terzo, ed è il punto serio e non fiscale: il riad non deve mai dipendere dalla Munya. </w:t>
      </w:r>
      <w:r>
        <w:rPr>
          <w:rFonts w:ascii="Calibri" w:cs="Calibri" w:eastAsia="Calibri" w:hAnsi="Calibri"/>
          <w:color w:val="4a4a4a"/>
          <w:sz w:val="21"/>
          <w:szCs w:val="21"/>
        </w:rPr>
        <w:t xml:space="preserve">Tutta la proposta si regge sulla frase « il riad esisterebbe identico se la Munya non ci fosse ». Se la Munya ne diventa il finanziatore principale, quella frase smette di essere vera e con essa svanisce il solo vantaggio non replicabile del progetto. Va quindi fissato per statuto un tetto: le risorse provenienti dalla Munya non possono superare un terzo delle entrate annuali del riad. Il tetto costa qualcosa in termini fiscali, e costa molto meno di ciò che protegge.</w:t>
      </w:r>
    </w:p>
    <w:p>
      <w:pPr>
        <w:spacing w:after="140" w:line="300"/>
      </w:pPr>
      <w:r>
        <w:rPr>
          <w:rFonts w:ascii="Calibri" w:cs="Calibri" w:eastAsia="Calibri" w:hAnsi="Calibri"/>
          <w:i/>
          <w:iCs/>
          <w:color w:val="4a4a4a"/>
          <w:sz w:val="19"/>
          <w:szCs w:val="19"/>
        </w:rPr>
        <w:t xml:space="preserve">L'assenza di alcol semplifica sensibilmente il quadro autorizzativo ed elimina un centro di costo e di rischio.</w:t>
      </w:r>
    </w:p>
    <w:p>
      <w:pPr>
        <w:spacing w:after="140" w:line="300"/>
      </w:pPr>
      <w:r>
        <w:rPr>
          <w:rFonts w:ascii="Calibri" w:cs="Calibri" w:eastAsia="Calibri" w:hAnsi="Calibri"/>
          <w:color w:val="4a4a4a"/>
          <w:sz w:val="21"/>
          <w:szCs w:val="21"/>
        </w:rPr>
        <w:t xml:space="preserve">Il regolamento dei soci e dell'ospite resta da redigere. Dovrà contenere almeno: la regola di soglia e la sanzione immediata, la clausola di requisizione, la clausola di riservatezza, la designazione del successore, il divieto di cessione a titolo oneroso e i motivi di radiazione. Va scritto quando si scrive lo statuto, non alla vigilia dell'apertura.</w:t>
      </w:r>
    </w:p>
    <w:p>
      <w:pPr>
        <w:pStyle w:val="Heading1"/>
        <w:spacing w:after="180" w:before="360"/>
      </w:pPr>
      <w:r>
        <w:rPr>
          <w:rFonts w:ascii="Calibri" w:cs="Calibri" w:eastAsia="Calibri" w:hAnsi="Calibri"/>
          <w:b/>
          <w:bCs/>
          <w:color w:val="c8872f"/>
          <w:sz w:val="30"/>
          <w:szCs w:val="30"/>
        </w:rPr>
        <w:t xml:space="preserve">11. Rischi</w:t>
      </w:r>
    </w:p>
    <w:tbl>
      <w:tblPr>
        <w:tblW w:type="dxa" w:w="9360"/>
        <w:tblBorders>
          <w:top w:val="single" w:color="E5E5E5" w:sz="2"/>
          <w:left w:val="none"/>
          <w:bottom w:val="single" w:color="E5E5E5" w:sz="2"/>
          <w:right w:val="none"/>
          <w:insideH w:val="single" w:color="EEEEEE" w:sz="2"/>
          <w:insideV w:val="none"/>
        </w:tblBorders>
      </w:tblPr>
      <w:tblGrid>
        <w:gridCol w:w="3000"/>
        <w:gridCol w:w="1500"/>
        <w:gridCol w:w="4860"/>
      </w:tblGrid>
      <w:tr>
        <w:trPr>
          <w:tblHeader/>
        </w:trPr>
        <w:tc>
          <w:tcPr>
            <w:tcW w:type="dxa" w:w="3000"/>
            <w:shd w:fill="c8872f"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19"/>
                <w:szCs w:val="19"/>
              </w:rPr>
              <w:t xml:space="preserve">Rischio</w:t>
            </w:r>
          </w:p>
        </w:tc>
        <w:tc>
          <w:tcPr>
            <w:tcW w:type="dxa" w:w="150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Gravità</w:t>
            </w:r>
          </w:p>
        </w:tc>
        <w:tc>
          <w:tcPr>
            <w:tcW w:type="dxa" w:w="486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Mitigazione</w:t>
            </w:r>
          </w:p>
        </w:tc>
      </w:tr>
      <w:tr>
        <w:tc>
          <w:tcPr>
            <w:tcW w:type="dxa" w:w="3000"/>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Base sociale insufficiente</w:t>
            </w:r>
          </w:p>
        </w:tc>
        <w:tc>
          <w:tcPr>
            <w:tcW w:type="dxa" w:w="15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Critica</w:t>
            </w:r>
          </w:p>
        </w:tc>
        <w:tc>
          <w:tcPr>
            <w:tcW w:type="dxa" w:w="486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Raccogliere i 40 fondatori prima di esercitare l'opzione. Se in 12 mesi non si arriva a 40, il progetto non si fa.</w:t>
            </w:r>
          </w:p>
        </w:tc>
      </w:tr>
      <w:tr>
        <w:tc>
          <w:tcPr>
            <w:tcW w:type="dxa" w:w="3000"/>
            <w:shd w:fill="FAFAFA" w:color="auto" w:val="clear"/>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Immobile confinante introvabile</w:t>
            </w:r>
          </w:p>
        </w:tc>
        <w:tc>
          <w:tcPr>
            <w:tcW w:type="dxa" w:w="15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Critica</w:t>
            </w:r>
          </w:p>
        </w:tc>
        <w:tc>
          <w:tcPr>
            <w:tcW w:type="dxa" w:w="486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Non serve una dimora in medina: serve quella che tocca il riad, con secondo accesso e senza vedute reciproche. Bloccarla con una promesse de vente prima che il riad sia noto.</w:t>
            </w:r>
          </w:p>
        </w:tc>
      </w:tr>
      <w:tr>
        <w:tc>
          <w:tcPr>
            <w:tcW w:type="dxa" w:w="3000"/>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Prezzo giudicato eccessivo dal mercato</w:t>
            </w:r>
          </w:p>
        </w:tc>
        <w:tc>
          <w:tcPr>
            <w:tcW w:type="dxa" w:w="15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Alta</w:t>
            </w:r>
          </w:p>
        </w:tc>
        <w:tc>
          <w:tcPr>
            <w:tcW w:type="dxa" w:w="486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È un rischio voluto: il prezzo definisce il posizionamento. La verifica avviene sui primi dieci fondatori, non dopo l'apertura.</w:t>
            </w:r>
          </w:p>
        </w:tc>
      </w:tr>
      <w:tr>
        <w:tc>
          <w:tcPr>
            <w:tcW w:type="dxa" w:w="3000"/>
            <w:shd w:fill="FAFAFA" w:color="auto" w:val="clear"/>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Sforamento del cantiere</w:t>
            </w:r>
          </w:p>
        </w:tc>
        <w:tc>
          <w:tcPr>
            <w:tcW w:type="dxa" w:w="15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Alta</w:t>
            </w:r>
          </w:p>
        </w:tc>
        <w:tc>
          <w:tcPr>
            <w:tcW w:type="dxa" w:w="486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Riserva 10%; direzione lavori indipendente; diagnosi strutturale prima del compromesso.</w:t>
            </w:r>
          </w:p>
        </w:tc>
      </w:tr>
      <w:tr>
        <w:tc>
          <w:tcPr>
            <w:tcW w:type="dxa" w:w="3000"/>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Ritardo di apertura del riad</w:t>
            </w:r>
          </w:p>
        </w:tc>
        <w:tc>
          <w:tcPr>
            <w:tcW w:type="dxa" w:w="15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Alta</w:t>
            </w:r>
          </w:p>
        </w:tc>
        <w:tc>
          <w:tcPr>
            <w:tcW w:type="dxa" w:w="486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La Munya non apre prima che la comunità sia insediata e stabile: senza casa accanto non c'è prodotto.</w:t>
            </w:r>
          </w:p>
        </w:tc>
      </w:tr>
      <w:tr>
        <w:tc>
          <w:tcPr>
            <w:tcW w:type="dxa" w:w="3000"/>
            <w:shd w:fill="FAFAFA" w:color="auto" w:val="clear"/>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Vincolo giuridico sull'ammissione</w:t>
            </w:r>
          </w:p>
        </w:tc>
        <w:tc>
          <w:tcPr>
            <w:tcW w:type="dxa" w:w="15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Alta</w:t>
            </w:r>
          </w:p>
        </w:tc>
        <w:tc>
          <w:tcPr>
            <w:tcW w:type="dxa" w:w="486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Parere legale marocchino preliminare; assetto associativo alternativo già istruito.</w:t>
            </w:r>
          </w:p>
        </w:tc>
      </w:tr>
      <w:tr>
        <w:tc>
          <w:tcPr>
            <w:tcW w:type="dxa" w:w="3000"/>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Deriva del riad verso la vetrina</w:t>
            </w:r>
          </w:p>
        </w:tc>
        <w:tc>
          <w:tcPr>
            <w:tcW w:type="dxa" w:w="15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Alta</w:t>
            </w:r>
          </w:p>
        </w:tc>
        <w:tc>
          <w:tcPr>
            <w:tcW w:type="dxa" w:w="486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Regola di soglia statutaria; diritto di sospensione unilaterale in capo al riad.</w:t>
            </w:r>
          </w:p>
        </w:tc>
      </w:tr>
      <w:tr>
        <w:tc>
          <w:tcPr>
            <w:tcW w:type="dxa" w:w="3000"/>
            <w:shd w:fill="FAFAFA" w:color="auto" w:val="clear"/>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Leva operativa del canone (Ipotesi B)</w:t>
            </w:r>
          </w:p>
        </w:tc>
        <w:tc>
          <w:tcPr>
            <w:tcW w:type="dxa" w:w="15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Media</w:t>
            </w:r>
          </w:p>
        </w:tc>
        <w:tc>
          <w:tcPr>
            <w:tcW w:type="dxa" w:w="486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Canone misto: fissa bassa più percentuale sui ricavi.</w:t>
            </w:r>
          </w:p>
        </w:tc>
      </w:tr>
      <w:tr>
        <w:tc>
          <w:tcPr>
            <w:tcW w:type="dxa" w:w="3000"/>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Perdita o distruzione del registro cartaceo</w:t>
            </w:r>
          </w:p>
        </w:tc>
        <w:tc>
          <w:tcPr>
            <w:tcW w:type="dxa" w:w="15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Media</w:t>
            </w:r>
          </w:p>
        </w:tc>
        <w:tc>
          <w:tcPr>
            <w:tcW w:type="dxa" w:w="486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Cassaforte, seconda copia cartacea altrove, stessa regola di riservatezza.</w:t>
            </w:r>
          </w:p>
        </w:tc>
      </w:tr>
      <w:tr>
        <w:tc>
          <w:tcPr>
            <w:tcW w:type="dxa" w:w="3000"/>
            <w:shd w:fill="FAFAFA" w:color="auto" w:val="clear"/>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Indiscrezione, stampa, immagine</w:t>
            </w:r>
          </w:p>
        </w:tc>
        <w:tc>
          <w:tcPr>
            <w:tcW w:type="dxa" w:w="15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Media</w:t>
            </w:r>
          </w:p>
        </w:tc>
        <w:tc>
          <w:tcPr>
            <w:tcW w:type="dxa" w:w="486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Clausola di riservatezza nello statuto; espulsione senza rimborso; nessun nome pubblicato.</w:t>
            </w:r>
          </w:p>
        </w:tc>
      </w:tr>
      <w:tr>
        <w:tc>
          <w:tcPr>
            <w:tcW w:type="dxa" w:w="3000"/>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Instabilità regionale, calo dei viaggi</w:t>
            </w:r>
          </w:p>
        </w:tc>
        <w:tc>
          <w:tcPr>
            <w:tcW w:type="dxa" w:w="15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Media</w:t>
            </w:r>
          </w:p>
        </w:tc>
        <w:tc>
          <w:tcPr>
            <w:tcW w:type="dxa" w:w="486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Le quote annuali restano incassate e coprono i due terzi dei costi; il pareggio è a occupazione molto bassa.</w:t>
            </w:r>
          </w:p>
        </w:tc>
      </w:tr>
    </w:tbl>
    <w:p>
      <w:r>
        <w:br w:type="page"/>
      </w:r>
    </w:p>
    <w:p>
      <w:pPr>
        <w:pStyle w:val="Heading1"/>
        <w:spacing w:after="180" w:before="360"/>
      </w:pPr>
      <w:r>
        <w:rPr>
          <w:rFonts w:ascii="Calibri" w:cs="Calibri" w:eastAsia="Calibri" w:hAnsi="Calibri"/>
          <w:b/>
          <w:bCs/>
          <w:color w:val="c8872f"/>
          <w:sz w:val="30"/>
          <w:szCs w:val="30"/>
        </w:rPr>
        <w:t xml:space="preserve">12. Sequenza proposta</w:t>
      </w:r>
    </w:p>
    <w:p>
      <w:pPr>
        <w:spacing w:after="120" w:line="300"/>
      </w:pPr>
      <w:r>
        <w:rPr>
          <w:rFonts w:ascii="Calibri" w:cs="Calibri" w:eastAsia="Calibri" w:hAnsi="Calibri"/>
          <w:color w:val="4a4a4a"/>
          <w:sz w:val="21"/>
          <w:szCs w:val="21"/>
        </w:rPr>
        <w:t xml:space="preserve">Nessuna delle fasi impegna il capitale principale prima che la precedente sia riuscita.</w:t>
      </w:r>
    </w:p>
    <w:tbl>
      <w:tblPr>
        <w:tblW w:type="dxa" w:w="9360"/>
        <w:tblBorders>
          <w:top w:val="single" w:color="E5E5E5" w:sz="2"/>
          <w:left w:val="none"/>
          <w:bottom w:val="single" w:color="E5E5E5" w:sz="2"/>
          <w:right w:val="none"/>
          <w:insideH w:val="single" w:color="EEEEEE" w:sz="2"/>
          <w:insideV w:val="none"/>
        </w:tblBorders>
      </w:tblPr>
      <w:tblGrid>
        <w:gridCol w:w="1300"/>
        <w:gridCol w:w="3600"/>
        <w:gridCol w:w="2300"/>
        <w:gridCol w:w="2160"/>
      </w:tblGrid>
      <w:tr>
        <w:trPr>
          <w:tblHeader/>
        </w:trPr>
        <w:tc>
          <w:tcPr>
            <w:tcW w:type="dxa" w:w="1300"/>
            <w:shd w:fill="c8872f"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19"/>
                <w:szCs w:val="19"/>
              </w:rPr>
              <w:t xml:space="preserve">Fase</w:t>
            </w:r>
          </w:p>
        </w:tc>
        <w:tc>
          <w:tcPr>
            <w:tcW w:type="dxa" w:w="360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Contenuto</w:t>
            </w:r>
          </w:p>
        </w:tc>
        <w:tc>
          <w:tcPr>
            <w:tcW w:type="dxa" w:w="230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Durata</w:t>
            </w:r>
          </w:p>
        </w:tc>
        <w:tc>
          <w:tcPr>
            <w:tcW w:type="dxa" w:w="216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Impegno</w:t>
            </w:r>
          </w:p>
        </w:tc>
      </w:tr>
      <w:tr>
        <w:tc>
          <w:tcPr>
            <w:tcW w:type="dxa" w:w="1300"/>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0</w:t>
            </w:r>
          </w:p>
        </w:tc>
        <w:tc>
          <w:tcPr>
            <w:tcW w:type="dxa" w:w="36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Rilievo delle proprietà confinanti; promesse de vente sulla migliore</w:t>
            </w:r>
          </w:p>
        </w:tc>
        <w:tc>
          <w:tcPr>
            <w:tcW w:type="dxa" w:w="23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2–4 mesi</w:t>
            </w:r>
          </w:p>
        </w:tc>
        <w:tc>
          <w:tcPr>
            <w:tcW w:type="dxa" w:w="216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acconto a perdere</w:t>
            </w:r>
          </w:p>
        </w:tc>
      </w:tr>
      <w:tr>
        <w:tc>
          <w:tcPr>
            <w:tcW w:type="dxa" w:w="1300"/>
            <w:shd w:fill="FAFAFA" w:color="auto" w:val="clear"/>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1</w:t>
            </w:r>
          </w:p>
        </w:tc>
        <w:tc>
          <w:tcPr>
            <w:tcW w:type="dxa" w:w="36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Parere legale marocchino su ammissione, mitoyenneté e assetto</w:t>
            </w:r>
          </w:p>
        </w:tc>
        <w:tc>
          <w:tcPr>
            <w:tcW w:type="dxa" w:w="23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2 mesi</w:t>
            </w:r>
          </w:p>
        </w:tc>
        <w:tc>
          <w:tcPr>
            <w:tcW w:type="dxa" w:w="216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15.000 €</w:t>
            </w:r>
          </w:p>
        </w:tc>
      </w:tr>
      <w:tr>
        <w:tc>
          <w:tcPr>
            <w:tcW w:type="dxa" w:w="1300"/>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2</w:t>
            </w:r>
          </w:p>
        </w:tc>
        <w:tc>
          <w:tcPr>
            <w:tcW w:type="dxa" w:w="36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Dossier, immagini, modello di suite; ricerca dei 40 fondatori</w:t>
            </w:r>
          </w:p>
        </w:tc>
        <w:tc>
          <w:tcPr>
            <w:tcW w:type="dxa" w:w="23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12 mesi</w:t>
            </w:r>
          </w:p>
        </w:tc>
        <w:tc>
          <w:tcPr>
            <w:tcW w:type="dxa" w:w="216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120.000 €</w:t>
            </w:r>
          </w:p>
        </w:tc>
      </w:tr>
      <w:tr>
        <w:tc>
          <w:tcPr>
            <w:tcW w:type="dxa" w:w="1300"/>
            <w:shd w:fill="FAFAFA" w:color="auto" w:val="clear"/>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3</w:t>
            </w:r>
          </w:p>
        </w:tc>
        <w:tc>
          <w:tcPr>
            <w:tcW w:type="dxa" w:w="36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Esercizio dell'opzione, rogito, apertura del cantiere</w:t>
            </w:r>
          </w:p>
        </w:tc>
        <w:tc>
          <w:tcPr>
            <w:tcW w:type="dxa" w:w="23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w:t>
            </w:r>
          </w:p>
        </w:tc>
        <w:tc>
          <w:tcPr>
            <w:tcW w:type="dxa" w:w="216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5,29 M€</w:t>
            </w:r>
          </w:p>
        </w:tc>
      </w:tr>
      <w:tr>
        <w:tc>
          <w:tcPr>
            <w:tcW w:type="dxa" w:w="1300"/>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4</w:t>
            </w:r>
          </w:p>
        </w:tc>
        <w:tc>
          <w:tcPr>
            <w:tcW w:type="dxa" w:w="36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Restauro</w:t>
            </w:r>
          </w:p>
        </w:tc>
        <w:tc>
          <w:tcPr>
            <w:tcW w:type="dxa" w:w="23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24–30 mesi</w:t>
            </w:r>
          </w:p>
        </w:tc>
        <w:tc>
          <w:tcPr>
            <w:tcW w:type="dxa" w:w="216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
            </w:r>
          </w:p>
        </w:tc>
      </w:tr>
      <w:tr>
        <w:tc>
          <w:tcPr>
            <w:tcW w:type="dxa" w:w="1300"/>
            <w:shd w:fill="FAFAFA" w:color="auto" w:val="clear"/>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5</w:t>
            </w:r>
          </w:p>
        </w:tc>
        <w:tc>
          <w:tcPr>
            <w:tcW w:type="dxa" w:w="36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Apertura a base sociale già formata</w:t>
            </w:r>
          </w:p>
        </w:tc>
        <w:tc>
          <w:tcPr>
            <w:tcW w:type="dxa" w:w="23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w:t>
            </w:r>
          </w:p>
        </w:tc>
        <w:tc>
          <w:tcPr>
            <w:tcW w:type="dxa" w:w="216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
            </w:r>
          </w:p>
        </w:tc>
      </w:tr>
    </w:tbl>
    <w:p>
      <w:pPr>
        <w:spacing w:after="240"/>
      </w:pPr>
    </w:p>
    <w:p>
      <w:pPr>
        <w:spacing w:after="140" w:line="300"/>
      </w:pPr>
      <w:r>
        <w:rPr>
          <w:rFonts w:ascii="Calibri" w:cs="Calibri" w:eastAsia="Calibri" w:hAnsi="Calibri"/>
          <w:color w:val="4a4a4a"/>
          <w:sz w:val="21"/>
          <w:szCs w:val="21"/>
        </w:rPr>
        <w:t xml:space="preserve">L'ordine non è indifferente. La proprietà confinante va bloccata per prima e in silenzio, perché il momento in cui il riad è restaurato e comincia a essere conosciuto è anche quello in cui la casa accanto raddoppia di prezzo. Ma va bloccata con un'opzione, non comprata: è l'unico modo di tenere insieme l'urgenza immobiliare e la regola « si vende, poi si costruisce ».</w:t>
      </w:r>
    </w:p>
    <w:p>
      <w:pPr>
        <w:spacing w:after="140" w:line="300"/>
      </w:pPr>
      <w:r>
        <w:rPr>
          <w:rFonts w:ascii="Calibri" w:cs="Calibri" w:eastAsia="Calibri" w:hAnsi="Calibri"/>
          <w:color w:val="4a4a4a"/>
          <w:sz w:val="21"/>
          <w:szCs w:val="21"/>
        </w:rPr>
        <w:t xml:space="preserve">Le fasi 0, 1 e 2 costano nell'ordine di 150.000 € e un anno. È l'unico capitale realmente a rischio, e compra l'informazione che decide tutto il resto: se questi quaranta uomini esistono o no.</w:t>
      </w:r>
    </w:p>
    <w:p>
      <w:pPr>
        <w:pStyle w:val="Heading1"/>
        <w:spacing w:after="180" w:before="360"/>
      </w:pPr>
      <w:r>
        <w:rPr>
          <w:rFonts w:ascii="Calibri" w:cs="Calibri" w:eastAsia="Calibri" w:hAnsi="Calibri"/>
          <w:b/>
          <w:bCs/>
          <w:color w:val="c8872f"/>
          <w:sz w:val="30"/>
          <w:szCs w:val="30"/>
        </w:rPr>
        <w:t xml:space="preserve">13. Riferimenti</w:t>
      </w:r>
    </w:p>
    <w:p>
      <w:pPr>
        <w:pStyle w:val="ListParagraph"/>
        <w:numPr>
          <w:ilvl w:val="0"/>
          <w:numId w:val="1"/>
        </w:numPr>
        <w:spacing w:after="80" w:line="300"/>
      </w:pPr>
      <w:r>
        <w:rPr>
          <w:rFonts w:ascii="Calibri" w:cs="Calibri" w:eastAsia="Calibri" w:hAnsi="Calibri"/>
          <w:color w:val="4a4a4a"/>
          <w:sz w:val="21"/>
          <w:szCs w:val="21"/>
        </w:rPr>
        <w:t xml:space="preserve">Aman Club — quote di ammissione e annuali (Elite Traveler, « Inside Luxury Travel's Private Members' Club Boom »).</w:t>
      </w:r>
    </w:p>
    <w:p>
      <w:pPr>
        <w:pStyle w:val="ListParagraph"/>
        <w:numPr>
          <w:ilvl w:val="0"/>
          <w:numId w:val="1"/>
        </w:numPr>
        <w:spacing w:after="80" w:line="300"/>
      </w:pPr>
      <w:r>
        <w:rPr>
          <w:rFonts w:ascii="Calibri" w:cs="Calibri" w:eastAsia="Calibri" w:hAnsi="Calibri"/>
          <w:color w:val="4a4a4a"/>
          <w:sz w:val="21"/>
          <w:szCs w:val="21"/>
        </w:rPr>
        <w:t xml:space="preserve">Bohemian Club, Knickerbocker Club — quote 2026 (Private Club Marketing, « Private Club Membership Costs 2026 »).</w:t>
      </w:r>
    </w:p>
    <w:p>
      <w:pPr>
        <w:pStyle w:val="ListParagraph"/>
        <w:numPr>
          <w:ilvl w:val="0"/>
          <w:numId w:val="1"/>
        </w:numPr>
        <w:spacing w:after="80" w:line="300"/>
      </w:pPr>
      <w:r>
        <w:rPr>
          <w:rFonts w:ascii="Calibri" w:cs="Calibri" w:eastAsia="Calibri" w:hAnsi="Calibri"/>
          <w:color w:val="4a4a4a"/>
          <w:sz w:val="21"/>
          <w:szCs w:val="21"/>
        </w:rPr>
        <w:t xml:space="preserve">Royal Mansour Marrakech — tariffe per riad, 2026.</w:t>
      </w:r>
    </w:p>
    <w:p>
      <w:pPr>
        <w:pStyle w:val="ListParagraph"/>
        <w:numPr>
          <w:ilvl w:val="0"/>
          <w:numId w:val="1"/>
        </w:numPr>
        <w:spacing w:after="80" w:line="300"/>
      </w:pPr>
      <w:r>
        <w:rPr>
          <w:rFonts w:ascii="Calibri" w:cs="Calibri" w:eastAsia="Calibri" w:hAnsi="Calibri"/>
          <w:color w:val="4a4a4a"/>
          <w:sz w:val="21"/>
          <w:szCs w:val="21"/>
        </w:rPr>
        <w:t xml:space="preserve">Costi di restauro riad a Fès, 2026 — 12.000–20.000 MAD/m² per il restauro patrimoniale (Bricolat, « Rénovation riad Fès »).</w:t>
      </w:r>
    </w:p>
    <w:p>
      <w:pPr>
        <w:pStyle w:val="ListParagraph"/>
        <w:numPr>
          <w:ilvl w:val="0"/>
          <w:numId w:val="1"/>
        </w:numPr>
        <w:spacing w:after="80" w:line="300"/>
      </w:pPr>
      <w:r>
        <w:rPr>
          <w:rFonts w:ascii="Calibri" w:cs="Calibri" w:eastAsia="Calibri" w:hAnsi="Calibri"/>
          <w:color w:val="4a4a4a"/>
          <w:sz w:val="21"/>
          <w:szCs w:val="21"/>
        </w:rPr>
        <w:t xml:space="preserve">Prezzi immobiliari in medina di Fès — annunci correnti (Trovit, Mitula, PAP).</w:t>
      </w:r>
    </w:p>
    <w:p>
      <w:pPr>
        <w:spacing w:after="240"/>
      </w:pPr>
    </w:p>
    <w:p>
      <w:pPr>
        <w:spacing w:after="140" w:line="300"/>
      </w:pPr>
      <w:r>
        <w:rPr>
          <w:rFonts w:ascii="Calibri" w:cs="Calibri" w:eastAsia="Calibri" w:hAnsi="Calibri"/>
          <w:i/>
          <w:iCs/>
          <w:color w:val="4a4a4a"/>
          <w:sz w:val="19"/>
          <w:szCs w:val="19"/>
        </w:rPr>
        <w:t xml:space="preserve">Le voci di costo di esercizio (personale, ristorazione, manutenzione) sono stime costruite su rapporti standard dell'ospitalità di lusso applicati al livello salariale marocchino, con una dotazione di personale rafforzata coerente con il posizionamento di prezzo. Non derivano da un budget verificato e vanno riviste con un direttore d'esercizio prima di qualunque decisione.</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4a4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2026-08-19T05:38:22.172Z</dcterms:created>
  <dcterms:modified xsi:type="dcterms:W3CDTF">2026-08-19T05:38:22.173Z</dcterms:modified>
</cp:coreProperties>
</file>

<file path=docProps/custom.xml><?xml version="1.0" encoding="utf-8"?>
<Properties xmlns="http://schemas.openxmlformats.org/officeDocument/2006/custom-properties" xmlns:vt="http://schemas.openxmlformats.org/officeDocument/2006/docPropsVTypes"/>
</file>