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40" w:line="300"/>
      </w:pPr>
      <w:r>
        <w:rPr>
          <w:rFonts w:ascii="Calibri" w:cs="Calibri" w:eastAsia="Calibri" w:hAnsi="Calibri"/>
          <w:i/>
          <w:iCs/>
          <w:color w:val="4a4a4a"/>
          <w:sz w:val="19"/>
          <w:szCs w:val="19"/>
        </w:rPr>
        <w:t xml:space="preserve">Al-Munya — Document interne</w:t>
      </w:r>
    </w:p>
    <w:p>
      <w:pPr>
        <w:spacing w:after="60" w:before="200"/>
        <w:jc w:val="center"/>
      </w:pPr>
      <w:r>
        <w:rPr>
          <w:rFonts w:ascii="Calibri" w:cs="Calibri" w:eastAsia="Calibri" w:hAnsi="Calibri"/>
          <w:b/>
          <w:bCs/>
          <w:color w:val="c8872f"/>
          <w:spacing w:val="30"/>
          <w:sz w:val="36"/>
          <w:szCs w:val="36"/>
        </w:rPr>
        <w:t xml:space="preserve">RÈGLEMENT D'AN-NUDAMĀʾ</w:t>
      </w:r>
    </w:p>
    <w:p>
      <w:pPr>
        <w:spacing w:after="140" w:line="300"/>
        <w:jc w:val="center"/>
      </w:pPr>
      <w:r>
        <w:rPr>
          <w:rFonts w:ascii="Calibri" w:cs="Calibri" w:eastAsia="Calibri" w:hAnsi="Calibri"/>
          <w:color w:val="1f1f1f"/>
          <w:sz w:val="22"/>
          <w:szCs w:val="22"/>
        </w:rPr>
        <w:t xml:space="preserve">Le cercle d'Al-Munya — Fès</w:t>
      </w:r>
    </w:p>
    <w:p>
      <w:pPr>
        <w:spacing w:after="200"/>
      </w:pPr>
    </w:p>
    <w:p>
      <w:pPr>
        <w:spacing w:after="140" w:line="300"/>
        <w:jc w:val="center"/>
      </w:pPr>
      <w:r>
        <w:rPr>
          <w:rFonts w:ascii="Calibri" w:cs="Calibri" w:eastAsia="Calibri" w:hAnsi="Calibri"/>
          <w:i/>
          <w:iCs/>
          <w:color w:val="4a4a4a"/>
          <w:sz w:val="19"/>
          <w:szCs w:val="19"/>
        </w:rPr>
        <w:t xml:space="preserve">Document interne, remis à chaque membre lors de son admission et signé par lui. Version de travail, à faire réviser par un conseiller juridique marocain avant adoption, et à articuler avec les statuts de la société d'exploitation et avec la convention d'accès conclue avec la maison voisine.</w:t>
      </w:r>
    </w:p>
    <w:p>
      <w:pPr>
        <w:pBdr>
          <w:bottom w:val="single" w:color="DDDDDD" w:sz="6"/>
        </w:pBdr>
        <w:spacing w:after="200"/>
      </w:pPr>
    </w:p>
    <w:p>
      <w:pPr>
        <w:pStyle w:val="Heading1"/>
        <w:spacing w:after="200" w:before="400"/>
      </w:pPr>
      <w:r>
        <w:rPr>
          <w:rFonts w:ascii="Calibri" w:cs="Calibri" w:eastAsia="Calibri" w:hAnsi="Calibri"/>
          <w:b/>
          <w:bCs/>
          <w:color w:val="c8872f"/>
          <w:spacing w:val="20"/>
          <w:sz w:val="26"/>
          <w:szCs w:val="26"/>
        </w:rPr>
        <w:t xml:space="preserve">Préambule</w:t>
      </w:r>
    </w:p>
    <w:p>
      <w:pPr>
        <w:spacing w:after="140" w:line="300"/>
      </w:pPr>
      <w:r>
        <w:rPr>
          <w:rFonts w:ascii="Calibri" w:cs="Calibri" w:eastAsia="Calibri" w:hAnsi="Calibri"/>
          <w:color w:val="4a4a4a"/>
          <w:sz w:val="21"/>
          <w:szCs w:val="21"/>
        </w:rPr>
        <w:t xml:space="preserve">An-Nudamāʾ — « les compagnons » — réunit cent vingt hommes admis par cooptation à disposer d'une maison privée à Fès, Al-Munya. Le membre est appelé nadīm.</w:t>
      </w:r>
    </w:p>
    <w:p>
      <w:pPr>
        <w:spacing w:after="140" w:line="300"/>
      </w:pPr>
      <w:r>
        <w:rPr>
          <w:rFonts w:ascii="Calibri" w:cs="Calibri" w:eastAsia="Calibri" w:hAnsi="Calibri"/>
          <w:color w:val="4a4a4a"/>
          <w:sz w:val="21"/>
          <w:szCs w:val="21"/>
        </w:rPr>
        <w:t xml:space="preserve">Le nadīm était, dans les cours anciennes, l'homme reçu le soir dans la compagnie privée du souverain. Il n'était ni fonctionnaire ni serviteur : sa charge était d'être là. On attendait de lui de la tenue, de la mesure, peu de paroles, et par-dessus tout qu'il gardât ce qu'il avait entendu. La règle ancienne de la munādama tient en une phrase, et elle demeure la première règle de ce cercle :</w:t>
      </w:r>
    </w:p>
    <w:p>
      <w:pPr>
        <w:pBdr>
          <w:left w:val="single" w:color="c8872f" w:sz="12" w:space="14"/>
        </w:pBdr>
        <w:spacing w:after="160" w:before="120" w:line="300"/>
        <w:ind w:left="400"/>
      </w:pPr>
      <w:r>
        <w:rPr>
          <w:rFonts w:ascii="Calibri" w:cs="Calibri" w:eastAsia="Calibri" w:hAnsi="Calibri"/>
          <w:i/>
          <w:iCs/>
          <w:color w:val="1f1f1f"/>
          <w:sz w:val="21"/>
          <w:szCs w:val="21"/>
        </w:rPr>
        <w:t xml:space="preserve">Ce qui se dit la nuit est oublié au matin.</w:t>
      </w:r>
    </w:p>
    <w:p>
      <w:pPr>
        <w:spacing w:after="140" w:line="300"/>
      </w:pPr>
      <w:r>
        <w:rPr>
          <w:rFonts w:ascii="Calibri" w:cs="Calibri" w:eastAsia="Calibri" w:hAnsi="Calibri"/>
          <w:color w:val="4a4a4a"/>
          <w:sz w:val="21"/>
          <w:szCs w:val="21"/>
        </w:rPr>
        <w:t xml:space="preserve">Al-Munya n'est pas un hôtel, ni une résidence de villégiature, ni une maison de soins. C'est une demeure privée mise à la disposition de ses membres, mitoyenne d'une maison où vit une communauté de jeunes hommes en formation. Cette communauté ne relève pas du cercle, ne lui appartient pas et n'est pas à son service. Tout ce règlement en découle.</w:t>
      </w:r>
    </w:p>
    <w:p>
      <w:pPr>
        <w:spacing w:after="140" w:line="300"/>
      </w:pPr>
      <w:r>
        <w:rPr>
          <w:rFonts w:ascii="Calibri" w:cs="Calibri" w:eastAsia="Calibri" w:hAnsi="Calibri"/>
          <w:color w:val="4a4a4a"/>
          <w:sz w:val="21"/>
          <w:szCs w:val="21"/>
        </w:rPr>
        <w:t xml:space="preserve">L'adhésion est volontaire. Nul n'est retenu : tout membre peut se retirer librement. Le cercle se réserve le droit de mettre fin à l'appartenance d'un membre qui ne respecterait pas les principes ci-dessous, après avertissement, sauf faute grave.</w:t>
      </w:r>
    </w:p>
    <w:p>
      <w:r>
        <w:br w:type="page"/>
      </w:r>
    </w:p>
    <w:p>
      <w:pPr>
        <w:pStyle w:val="Heading1"/>
        <w:spacing w:after="200" w:before="400"/>
      </w:pPr>
      <w:r>
        <w:rPr>
          <w:rFonts w:ascii="Calibri" w:cs="Calibri" w:eastAsia="Calibri" w:hAnsi="Calibri"/>
          <w:b/>
          <w:bCs/>
          <w:color w:val="c8872f"/>
          <w:spacing w:val="20"/>
          <w:sz w:val="26"/>
          <w:szCs w:val="26"/>
        </w:rPr>
        <w:t xml:space="preserve">Sommaire</w:t>
      </w:r>
    </w:p>
    <w:tbl>
      <w:tblPr>
        <w:tblW w:type="dxa" w:w="9360"/>
        <w:tblBorders>
          <w:top w:val="single" w:color="E5E5E5" w:sz="2"/>
          <w:left w:val="none"/>
          <w:bottom w:val="single" w:color="E5E5E5" w:sz="2"/>
          <w:right w:val="none"/>
          <w:insideH w:val="single" w:color="EEEEEE" w:sz="2"/>
          <w:insideV w:val="none"/>
        </w:tblBorders>
      </w:tblPr>
      <w:tblGrid>
        <w:gridCol w:w="1100"/>
        <w:gridCol w:w="6200"/>
        <w:gridCol w:w="2060"/>
      </w:tblGrid>
      <w:tr>
        <w:trPr>
          <w:tblHeader/>
        </w:trPr>
        <w:tc>
          <w:tcPr>
            <w:tcW w:type="dxa" w:w="1100"/>
            <w:shd w:fill="c8872f" w:color="auto" w:val="clear"/>
            <w:tcMar>
              <w:top w:type="dxa" w:w="80"/>
              <w:left w:type="dxa" w:w="110"/>
              <w:bottom w:type="dxa" w:w="80"/>
              <w:right w:type="dxa" w:w="110"/>
            </w:tcMar>
          </w:tcPr>
          <w:p>
            <w:pPr>
              <w:spacing w:after="0" w:line="260"/>
              <w:jc w:val="left"/>
            </w:pPr>
            <w:r>
              <w:rPr>
                <w:rFonts w:ascii="Calibri" w:cs="Calibri" w:eastAsia="Calibri" w:hAnsi="Calibri"/>
                <w:b/>
                <w:bCs/>
                <w:color w:val="FFFFFF"/>
                <w:sz w:val="19"/>
                <w:szCs w:val="19"/>
              </w:rPr>
              <w:t xml:space="preserve"/>
            </w:r>
          </w:p>
        </w:tc>
        <w:tc>
          <w:tcPr>
            <w:tcW w:type="dxa" w:w="6200"/>
            <w:shd w:fill="c8872f" w:color="auto" w:val="clear"/>
            <w:tcMar>
              <w:top w:type="dxa" w:w="80"/>
              <w:left w:type="dxa" w:w="110"/>
              <w:bottom w:type="dxa" w:w="80"/>
              <w:right w:type="dxa" w:w="110"/>
            </w:tcMar>
          </w:tcPr>
          <w:p>
            <w:pPr>
              <w:spacing w:after="0" w:line="260"/>
              <w:jc w:val="right"/>
            </w:pPr>
            <w:r>
              <w:rPr>
                <w:rFonts w:ascii="Calibri" w:cs="Calibri" w:eastAsia="Calibri" w:hAnsi="Calibri"/>
                <w:b/>
                <w:bCs/>
                <w:color w:val="FFFFFF"/>
                <w:sz w:val="19"/>
                <w:szCs w:val="19"/>
              </w:rPr>
              <w:t xml:space="preserve">Section</w:t>
            </w:r>
          </w:p>
        </w:tc>
        <w:tc>
          <w:tcPr>
            <w:tcW w:type="dxa" w:w="2060"/>
            <w:shd w:fill="c8872f" w:color="auto" w:val="clear"/>
            <w:tcMar>
              <w:top w:type="dxa" w:w="80"/>
              <w:left w:type="dxa" w:w="110"/>
              <w:bottom w:type="dxa" w:w="80"/>
              <w:right w:type="dxa" w:w="110"/>
            </w:tcMar>
          </w:tcPr>
          <w:p>
            <w:pPr>
              <w:spacing w:after="0" w:line="260"/>
              <w:jc w:val="right"/>
            </w:pPr>
            <w:r>
              <w:rPr>
                <w:rFonts w:ascii="Calibri" w:cs="Calibri" w:eastAsia="Calibri" w:hAnsi="Calibri"/>
                <w:b/>
                <w:bCs/>
                <w:color w:val="FFFFFF"/>
                <w:sz w:val="19"/>
                <w:szCs w:val="19"/>
              </w:rPr>
              <w:t xml:space="preserve">Articles</w:t>
            </w:r>
          </w:p>
        </w:tc>
      </w:tr>
      <w:tr>
        <w:tc>
          <w:tcPr>
            <w:tcW w:type="dxa" w:w="1100"/>
            <w:tcMar>
              <w:top w:type="dxa" w:w="80"/>
              <w:left w:type="dxa" w:w="110"/>
              <w:bottom w:type="dxa" w:w="80"/>
              <w:right w:type="dxa" w:w="110"/>
            </w:tcMar>
          </w:tcPr>
          <w:p>
            <w:pPr>
              <w:spacing w:after="0" w:line="260"/>
              <w:jc w:val="left"/>
            </w:pPr>
            <w:r>
              <w:rPr>
                <w:rFonts w:ascii="Calibri" w:cs="Calibri" w:eastAsia="Calibri" w:hAnsi="Calibri"/>
                <w:b w:val="false"/>
                <w:bCs w:val="false"/>
                <w:color w:val="4a4a4a"/>
                <w:sz w:val="19"/>
                <w:szCs w:val="19"/>
              </w:rPr>
              <w:t xml:space="preserve">I</w:t>
            </w:r>
          </w:p>
        </w:tc>
        <w:tc>
          <w:tcPr>
            <w:tcW w:type="dxa" w:w="6200"/>
            <w:tcMar>
              <w:top w:type="dxa" w:w="80"/>
              <w:left w:type="dxa" w:w="110"/>
              <w:bottom w:type="dxa" w:w="80"/>
              <w:right w:type="dxa" w:w="110"/>
            </w:tcMar>
          </w:tcPr>
          <w:p>
            <w:pPr>
              <w:spacing w:after="0" w:line="260"/>
              <w:jc w:val="right"/>
            </w:pPr>
            <w:r>
              <w:rPr>
                <w:rFonts w:ascii="Calibri" w:cs="Calibri" w:eastAsia="Calibri" w:hAnsi="Calibri"/>
                <w:b w:val="false"/>
                <w:bCs w:val="false"/>
                <w:color w:val="4a4a4a"/>
                <w:sz w:val="19"/>
                <w:szCs w:val="19"/>
              </w:rPr>
              <w:t xml:space="preserve">1. Objet et nombre</w:t>
            </w:r>
          </w:p>
        </w:tc>
        <w:tc>
          <w:tcPr>
            <w:tcW w:type="dxa" w:w="2060"/>
            <w:tcMar>
              <w:top w:type="dxa" w:w="80"/>
              <w:left w:type="dxa" w:w="110"/>
              <w:bottom w:type="dxa" w:w="80"/>
              <w:right w:type="dxa" w:w="110"/>
            </w:tcMar>
          </w:tcPr>
          <w:p>
            <w:pPr>
              <w:spacing w:after="0" w:line="260"/>
              <w:jc w:val="right"/>
            </w:pPr>
            <w:r>
              <w:rPr>
                <w:rFonts w:ascii="Calibri" w:cs="Calibri" w:eastAsia="Calibri" w:hAnsi="Calibri"/>
                <w:b w:val="false"/>
                <w:bCs w:val="false"/>
                <w:color w:val="4a4a4a"/>
                <w:sz w:val="19"/>
                <w:szCs w:val="19"/>
              </w:rPr>
              <w:t xml:space="preserve">1 – 3</w:t>
            </w:r>
          </w:p>
        </w:tc>
      </w:tr>
      <w:tr>
        <w:tc>
          <w:tcPr>
            <w:tcW w:type="dxa" w:w="1100"/>
            <w:shd w:fill="FAFAFA" w:color="auto" w:val="clear"/>
            <w:tcMar>
              <w:top w:type="dxa" w:w="80"/>
              <w:left w:type="dxa" w:w="110"/>
              <w:bottom w:type="dxa" w:w="80"/>
              <w:right w:type="dxa" w:w="110"/>
            </w:tcMar>
          </w:tcPr>
          <w:p>
            <w:pPr>
              <w:spacing w:after="0" w:line="260"/>
              <w:jc w:val="left"/>
            </w:pPr>
            <w:r>
              <w:rPr>
                <w:rFonts w:ascii="Calibri" w:cs="Calibri" w:eastAsia="Calibri" w:hAnsi="Calibri"/>
                <w:b w:val="false"/>
                <w:bCs w:val="false"/>
                <w:color w:val="4a4a4a"/>
                <w:sz w:val="19"/>
                <w:szCs w:val="19"/>
              </w:rPr>
              <w:t xml:space="preserve"/>
            </w:r>
          </w:p>
        </w:tc>
        <w:tc>
          <w:tcPr>
            <w:tcW w:type="dxa" w:w="6200"/>
            <w:shd w:fill="FAFAFA" w:color="auto" w:val="clear"/>
            <w:tcMar>
              <w:top w:type="dxa" w:w="80"/>
              <w:left w:type="dxa" w:w="110"/>
              <w:bottom w:type="dxa" w:w="80"/>
              <w:right w:type="dxa" w:w="110"/>
            </w:tcMar>
          </w:tcPr>
          <w:p>
            <w:pPr>
              <w:spacing w:after="0" w:line="260"/>
              <w:jc w:val="right"/>
            </w:pPr>
            <w:r>
              <w:rPr>
                <w:rFonts w:ascii="Calibri" w:cs="Calibri" w:eastAsia="Calibri" w:hAnsi="Calibri"/>
                <w:b w:val="false"/>
                <w:bCs w:val="false"/>
                <w:color w:val="4a4a4a"/>
                <w:sz w:val="19"/>
                <w:szCs w:val="19"/>
              </w:rPr>
              <w:t xml:space="preserve">2. L'admission</w:t>
            </w:r>
          </w:p>
        </w:tc>
        <w:tc>
          <w:tcPr>
            <w:tcW w:type="dxa" w:w="2060"/>
            <w:shd w:fill="FAFAFA" w:color="auto" w:val="clear"/>
            <w:tcMar>
              <w:top w:type="dxa" w:w="80"/>
              <w:left w:type="dxa" w:w="110"/>
              <w:bottom w:type="dxa" w:w="80"/>
              <w:right w:type="dxa" w:w="110"/>
            </w:tcMar>
          </w:tcPr>
          <w:p>
            <w:pPr>
              <w:spacing w:after="0" w:line="260"/>
              <w:jc w:val="right"/>
            </w:pPr>
            <w:r>
              <w:rPr>
                <w:rFonts w:ascii="Calibri" w:cs="Calibri" w:eastAsia="Calibri" w:hAnsi="Calibri"/>
                <w:b w:val="false"/>
                <w:bCs w:val="false"/>
                <w:color w:val="4a4a4a"/>
                <w:sz w:val="19"/>
                <w:szCs w:val="19"/>
              </w:rPr>
              <w:t xml:space="preserve">4 – 8</w:t>
            </w:r>
          </w:p>
        </w:tc>
      </w:tr>
      <w:tr>
        <w:tc>
          <w:tcPr>
            <w:tcW w:type="dxa" w:w="1100"/>
            <w:tcMar>
              <w:top w:type="dxa" w:w="80"/>
              <w:left w:type="dxa" w:w="110"/>
              <w:bottom w:type="dxa" w:w="80"/>
              <w:right w:type="dxa" w:w="110"/>
            </w:tcMar>
          </w:tcPr>
          <w:p>
            <w:pPr>
              <w:spacing w:after="0" w:line="260"/>
              <w:jc w:val="left"/>
            </w:pPr>
            <w:r>
              <w:rPr>
                <w:rFonts w:ascii="Calibri" w:cs="Calibri" w:eastAsia="Calibri" w:hAnsi="Calibri"/>
                <w:b w:val="false"/>
                <w:bCs w:val="false"/>
                <w:color w:val="4a4a4a"/>
                <w:sz w:val="19"/>
                <w:szCs w:val="19"/>
              </w:rPr>
              <w:t xml:space="preserve"/>
            </w:r>
          </w:p>
        </w:tc>
        <w:tc>
          <w:tcPr>
            <w:tcW w:type="dxa" w:w="6200"/>
            <w:tcMar>
              <w:top w:type="dxa" w:w="80"/>
              <w:left w:type="dxa" w:w="110"/>
              <w:bottom w:type="dxa" w:w="80"/>
              <w:right w:type="dxa" w:w="110"/>
            </w:tcMar>
          </w:tcPr>
          <w:p>
            <w:pPr>
              <w:spacing w:after="0" w:line="260"/>
              <w:jc w:val="right"/>
            </w:pPr>
            <w:r>
              <w:rPr>
                <w:rFonts w:ascii="Calibri" w:cs="Calibri" w:eastAsia="Calibri" w:hAnsi="Calibri"/>
                <w:b w:val="false"/>
                <w:bCs w:val="false"/>
                <w:color w:val="4a4a4a"/>
                <w:sz w:val="19"/>
                <w:szCs w:val="19"/>
              </w:rPr>
              <w:t xml:space="preserve">3. La place</w:t>
            </w:r>
          </w:p>
        </w:tc>
        <w:tc>
          <w:tcPr>
            <w:tcW w:type="dxa" w:w="2060"/>
            <w:tcMar>
              <w:top w:type="dxa" w:w="80"/>
              <w:left w:type="dxa" w:w="110"/>
              <w:bottom w:type="dxa" w:w="80"/>
              <w:right w:type="dxa" w:w="110"/>
            </w:tcMar>
          </w:tcPr>
          <w:p>
            <w:pPr>
              <w:spacing w:after="0" w:line="260"/>
              <w:jc w:val="right"/>
            </w:pPr>
            <w:r>
              <w:rPr>
                <w:rFonts w:ascii="Calibri" w:cs="Calibri" w:eastAsia="Calibri" w:hAnsi="Calibri"/>
                <w:b w:val="false"/>
                <w:bCs w:val="false"/>
                <w:color w:val="4a4a4a"/>
                <w:sz w:val="19"/>
                <w:szCs w:val="19"/>
              </w:rPr>
              <w:t xml:space="preserve">9 – 12</w:t>
            </w:r>
          </w:p>
        </w:tc>
      </w:tr>
      <w:tr>
        <w:tc>
          <w:tcPr>
            <w:tcW w:type="dxa" w:w="1100"/>
            <w:shd w:fill="FAFAFA" w:color="auto" w:val="clear"/>
            <w:tcMar>
              <w:top w:type="dxa" w:w="80"/>
              <w:left w:type="dxa" w:w="110"/>
              <w:bottom w:type="dxa" w:w="80"/>
              <w:right w:type="dxa" w:w="110"/>
            </w:tcMar>
          </w:tcPr>
          <w:p>
            <w:pPr>
              <w:spacing w:after="0" w:line="260"/>
              <w:jc w:val="left"/>
            </w:pPr>
            <w:r>
              <w:rPr>
                <w:rFonts w:ascii="Calibri" w:cs="Calibri" w:eastAsia="Calibri" w:hAnsi="Calibri"/>
                <w:b w:val="false"/>
                <w:bCs w:val="false"/>
                <w:color w:val="4a4a4a"/>
                <w:sz w:val="19"/>
                <w:szCs w:val="19"/>
              </w:rPr>
              <w:t xml:space="preserve"/>
            </w:r>
          </w:p>
        </w:tc>
        <w:tc>
          <w:tcPr>
            <w:tcW w:type="dxa" w:w="6200"/>
            <w:shd w:fill="FAFAFA" w:color="auto" w:val="clear"/>
            <w:tcMar>
              <w:top w:type="dxa" w:w="80"/>
              <w:left w:type="dxa" w:w="110"/>
              <w:bottom w:type="dxa" w:w="80"/>
              <w:right w:type="dxa" w:w="110"/>
            </w:tcMar>
          </w:tcPr>
          <w:p>
            <w:pPr>
              <w:spacing w:after="0" w:line="260"/>
              <w:jc w:val="right"/>
            </w:pPr>
            <w:r>
              <w:rPr>
                <w:rFonts w:ascii="Calibri" w:cs="Calibri" w:eastAsia="Calibri" w:hAnsi="Calibri"/>
                <w:b w:val="false"/>
                <w:bCs w:val="false"/>
                <w:color w:val="4a4a4a"/>
                <w:sz w:val="19"/>
                <w:szCs w:val="19"/>
              </w:rPr>
              <w:t xml:space="preserve">4. Droit d'admission, cotisation et tarifs</w:t>
            </w:r>
          </w:p>
        </w:tc>
        <w:tc>
          <w:tcPr>
            <w:tcW w:type="dxa" w:w="2060"/>
            <w:shd w:fill="FAFAFA" w:color="auto" w:val="clear"/>
            <w:tcMar>
              <w:top w:type="dxa" w:w="80"/>
              <w:left w:type="dxa" w:w="110"/>
              <w:bottom w:type="dxa" w:w="80"/>
              <w:right w:type="dxa" w:w="110"/>
            </w:tcMar>
          </w:tcPr>
          <w:p>
            <w:pPr>
              <w:spacing w:after="0" w:line="260"/>
              <w:jc w:val="right"/>
            </w:pPr>
            <w:r>
              <w:rPr>
                <w:rFonts w:ascii="Calibri" w:cs="Calibri" w:eastAsia="Calibri" w:hAnsi="Calibri"/>
                <w:b w:val="false"/>
                <w:bCs w:val="false"/>
                <w:color w:val="4a4a4a"/>
                <w:sz w:val="19"/>
                <w:szCs w:val="19"/>
              </w:rPr>
              <w:t xml:space="preserve">13 – 18</w:t>
            </w:r>
          </w:p>
        </w:tc>
      </w:tr>
      <w:tr>
        <w:tc>
          <w:tcPr>
            <w:tcW w:type="dxa" w:w="1100"/>
            <w:tcMar>
              <w:top w:type="dxa" w:w="80"/>
              <w:left w:type="dxa" w:w="110"/>
              <w:bottom w:type="dxa" w:w="80"/>
              <w:right w:type="dxa" w:w="110"/>
            </w:tcMar>
          </w:tcPr>
          <w:p>
            <w:pPr>
              <w:spacing w:after="0" w:line="260"/>
              <w:jc w:val="left"/>
            </w:pPr>
            <w:r>
              <w:rPr>
                <w:rFonts w:ascii="Calibri" w:cs="Calibri" w:eastAsia="Calibri" w:hAnsi="Calibri"/>
                <w:b w:val="false"/>
                <w:bCs w:val="false"/>
                <w:color w:val="4a4a4a"/>
                <w:sz w:val="19"/>
                <w:szCs w:val="19"/>
              </w:rPr>
              <w:t xml:space="preserve"/>
            </w:r>
          </w:p>
        </w:tc>
        <w:tc>
          <w:tcPr>
            <w:tcW w:type="dxa" w:w="6200"/>
            <w:tcMar>
              <w:top w:type="dxa" w:w="80"/>
              <w:left w:type="dxa" w:w="110"/>
              <w:bottom w:type="dxa" w:w="80"/>
              <w:right w:type="dxa" w:w="110"/>
            </w:tcMar>
          </w:tcPr>
          <w:p>
            <w:pPr>
              <w:spacing w:after="0" w:line="260"/>
              <w:jc w:val="right"/>
            </w:pPr>
            <w:r>
              <w:rPr>
                <w:rFonts w:ascii="Calibri" w:cs="Calibri" w:eastAsia="Calibri" w:hAnsi="Calibri"/>
                <w:b w:val="false"/>
                <w:bCs w:val="false"/>
                <w:color w:val="4a4a4a"/>
                <w:sz w:val="19"/>
                <w:szCs w:val="19"/>
              </w:rPr>
              <w:t xml:space="preserve">5. Démission et radiation</w:t>
            </w:r>
          </w:p>
        </w:tc>
        <w:tc>
          <w:tcPr>
            <w:tcW w:type="dxa" w:w="2060"/>
            <w:tcMar>
              <w:top w:type="dxa" w:w="80"/>
              <w:left w:type="dxa" w:w="110"/>
              <w:bottom w:type="dxa" w:w="80"/>
              <w:right w:type="dxa" w:w="110"/>
            </w:tcMar>
          </w:tcPr>
          <w:p>
            <w:pPr>
              <w:spacing w:after="0" w:line="260"/>
              <w:jc w:val="right"/>
            </w:pPr>
            <w:r>
              <w:rPr>
                <w:rFonts w:ascii="Calibri" w:cs="Calibri" w:eastAsia="Calibri" w:hAnsi="Calibri"/>
                <w:b w:val="false"/>
                <w:bCs w:val="false"/>
                <w:color w:val="4a4a4a"/>
                <w:sz w:val="19"/>
                <w:szCs w:val="19"/>
              </w:rPr>
              <w:t xml:space="preserve">19 – 21</w:t>
            </w:r>
          </w:p>
        </w:tc>
      </w:tr>
      <w:tr>
        <w:tc>
          <w:tcPr>
            <w:tcW w:type="dxa" w:w="1100"/>
            <w:shd w:fill="F8F5F0" w:color="auto" w:val="clear"/>
            <w:tcMar>
              <w:top w:type="dxa" w:w="80"/>
              <w:left w:type="dxa" w:w="110"/>
              <w:bottom w:type="dxa" w:w="80"/>
              <w:right w:type="dxa" w:w="110"/>
            </w:tcMar>
          </w:tcPr>
          <w:p>
            <w:pPr>
              <w:spacing w:after="0" w:line="260"/>
              <w:jc w:val="left"/>
            </w:pPr>
            <w:r>
              <w:rPr>
                <w:rFonts w:ascii="Calibri" w:cs="Calibri" w:eastAsia="Calibri" w:hAnsi="Calibri"/>
                <w:b/>
                <w:bCs/>
                <w:color w:val="4a4a4a"/>
                <w:sz w:val="19"/>
                <w:szCs w:val="19"/>
              </w:rPr>
              <w:t xml:space="preserve">II</w:t>
            </w:r>
          </w:p>
        </w:tc>
        <w:tc>
          <w:tcPr>
            <w:tcW w:type="dxa" w:w="6200"/>
            <w:shd w:fill="F8F5F0" w:color="auto" w:val="clear"/>
            <w:tcMar>
              <w:top w:type="dxa" w:w="80"/>
              <w:left w:type="dxa" w:w="110"/>
              <w:bottom w:type="dxa" w:w="80"/>
              <w:right w:type="dxa" w:w="110"/>
            </w:tcMar>
          </w:tcPr>
          <w:p>
            <w:pPr>
              <w:spacing w:after="0" w:line="260"/>
              <w:jc w:val="right"/>
            </w:pPr>
            <w:r>
              <w:rPr>
                <w:rFonts w:ascii="Calibri" w:cs="Calibri" w:eastAsia="Calibri" w:hAnsi="Calibri"/>
                <w:b/>
                <w:bCs/>
                <w:color w:val="4a4a4a"/>
                <w:sz w:val="19"/>
                <w:szCs w:val="19"/>
              </w:rPr>
              <w:t xml:space="preserve">6. Le seuil</w:t>
            </w:r>
          </w:p>
        </w:tc>
        <w:tc>
          <w:tcPr>
            <w:tcW w:type="dxa" w:w="2060"/>
            <w:shd w:fill="F8F5F0" w:color="auto" w:val="clear"/>
            <w:tcMar>
              <w:top w:type="dxa" w:w="80"/>
              <w:left w:type="dxa" w:w="110"/>
              <w:bottom w:type="dxa" w:w="80"/>
              <w:right w:type="dxa" w:w="110"/>
            </w:tcMar>
          </w:tcPr>
          <w:p>
            <w:pPr>
              <w:spacing w:after="0" w:line="260"/>
              <w:jc w:val="right"/>
            </w:pPr>
            <w:r>
              <w:rPr>
                <w:rFonts w:ascii="Calibri" w:cs="Calibri" w:eastAsia="Calibri" w:hAnsi="Calibri"/>
                <w:b/>
                <w:bCs/>
                <w:color w:val="4a4a4a"/>
                <w:sz w:val="19"/>
                <w:szCs w:val="19"/>
              </w:rPr>
              <w:t xml:space="preserve">22 – 28</w:t>
            </w:r>
          </w:p>
        </w:tc>
      </w:tr>
      <w:tr>
        <w:tc>
          <w:tcPr>
            <w:tcW w:type="dxa" w:w="1100"/>
            <w:shd w:fill="F8F5F0" w:color="auto" w:val="clear"/>
            <w:tcMar>
              <w:top w:type="dxa" w:w="80"/>
              <w:left w:type="dxa" w:w="110"/>
              <w:bottom w:type="dxa" w:w="80"/>
              <w:right w:type="dxa" w:w="110"/>
            </w:tcMar>
          </w:tcPr>
          <w:p>
            <w:pPr>
              <w:spacing w:after="0" w:line="260"/>
              <w:jc w:val="left"/>
            </w:pPr>
            <w:r>
              <w:rPr>
                <w:rFonts w:ascii="Calibri" w:cs="Calibri" w:eastAsia="Calibri" w:hAnsi="Calibri"/>
                <w:b/>
                <w:bCs/>
                <w:color w:val="4a4a4a"/>
                <w:sz w:val="19"/>
                <w:szCs w:val="19"/>
              </w:rPr>
              <w:t xml:space="preserve"/>
            </w:r>
          </w:p>
        </w:tc>
        <w:tc>
          <w:tcPr>
            <w:tcW w:type="dxa" w:w="6200"/>
            <w:shd w:fill="F8F5F0" w:color="auto" w:val="clear"/>
            <w:tcMar>
              <w:top w:type="dxa" w:w="80"/>
              <w:left w:type="dxa" w:w="110"/>
              <w:bottom w:type="dxa" w:w="80"/>
              <w:right w:type="dxa" w:w="110"/>
            </w:tcMar>
          </w:tcPr>
          <w:p>
            <w:pPr>
              <w:spacing w:after="0" w:line="260"/>
              <w:jc w:val="right"/>
            </w:pPr>
            <w:r>
              <w:rPr>
                <w:rFonts w:ascii="Calibri" w:cs="Calibri" w:eastAsia="Calibri" w:hAnsi="Calibri"/>
                <w:b/>
                <w:bCs/>
                <w:color w:val="4a4a4a"/>
                <w:sz w:val="19"/>
                <w:szCs w:val="19"/>
              </w:rPr>
              <w:t xml:space="preserve">7. Ahl ad-Dār — ceux de la maison</w:t>
            </w:r>
          </w:p>
        </w:tc>
        <w:tc>
          <w:tcPr>
            <w:tcW w:type="dxa" w:w="2060"/>
            <w:shd w:fill="F8F5F0" w:color="auto" w:val="clear"/>
            <w:tcMar>
              <w:top w:type="dxa" w:w="80"/>
              <w:left w:type="dxa" w:w="110"/>
              <w:bottom w:type="dxa" w:w="80"/>
              <w:right w:type="dxa" w:w="110"/>
            </w:tcMar>
          </w:tcPr>
          <w:p>
            <w:pPr>
              <w:spacing w:after="0" w:line="260"/>
              <w:jc w:val="right"/>
            </w:pPr>
            <w:r>
              <w:rPr>
                <w:rFonts w:ascii="Calibri" w:cs="Calibri" w:eastAsia="Calibri" w:hAnsi="Calibri"/>
                <w:b/>
                <w:bCs/>
                <w:color w:val="4a4a4a"/>
                <w:sz w:val="19"/>
                <w:szCs w:val="19"/>
              </w:rPr>
              <w:t xml:space="preserve">29 – 38</w:t>
            </w:r>
          </w:p>
        </w:tc>
      </w:tr>
      <w:tr>
        <w:tc>
          <w:tcPr>
            <w:tcW w:type="dxa" w:w="1100"/>
            <w:shd w:fill="F8F5F0" w:color="auto" w:val="clear"/>
            <w:tcMar>
              <w:top w:type="dxa" w:w="80"/>
              <w:left w:type="dxa" w:w="110"/>
              <w:bottom w:type="dxa" w:w="80"/>
              <w:right w:type="dxa" w:w="110"/>
            </w:tcMar>
          </w:tcPr>
          <w:p>
            <w:pPr>
              <w:spacing w:after="0" w:line="260"/>
              <w:jc w:val="left"/>
            </w:pPr>
            <w:r>
              <w:rPr>
                <w:rFonts w:ascii="Calibri" w:cs="Calibri" w:eastAsia="Calibri" w:hAnsi="Calibri"/>
                <w:b/>
                <w:bCs/>
                <w:color w:val="4a4a4a"/>
                <w:sz w:val="19"/>
                <w:szCs w:val="19"/>
              </w:rPr>
              <w:t xml:space="preserve"/>
            </w:r>
          </w:p>
        </w:tc>
        <w:tc>
          <w:tcPr>
            <w:tcW w:type="dxa" w:w="6200"/>
            <w:shd w:fill="F8F5F0" w:color="auto" w:val="clear"/>
            <w:tcMar>
              <w:top w:type="dxa" w:w="80"/>
              <w:left w:type="dxa" w:w="110"/>
              <w:bottom w:type="dxa" w:w="80"/>
              <w:right w:type="dxa" w:w="110"/>
            </w:tcMar>
          </w:tcPr>
          <w:p>
            <w:pPr>
              <w:spacing w:after="0" w:line="260"/>
              <w:jc w:val="right"/>
            </w:pPr>
            <w:r>
              <w:rPr>
                <w:rFonts w:ascii="Calibri" w:cs="Calibri" w:eastAsia="Calibri" w:hAnsi="Calibri"/>
                <w:b/>
                <w:bCs/>
                <w:color w:val="4a4a4a"/>
                <w:sz w:val="19"/>
                <w:szCs w:val="19"/>
              </w:rPr>
              <w:t xml:space="preserve">8. Ce que la table peut défaire</w:t>
            </w:r>
          </w:p>
        </w:tc>
        <w:tc>
          <w:tcPr>
            <w:tcW w:type="dxa" w:w="2060"/>
            <w:shd w:fill="F8F5F0" w:color="auto" w:val="clear"/>
            <w:tcMar>
              <w:top w:type="dxa" w:w="80"/>
              <w:left w:type="dxa" w:w="110"/>
              <w:bottom w:type="dxa" w:w="80"/>
              <w:right w:type="dxa" w:w="110"/>
            </w:tcMar>
          </w:tcPr>
          <w:p>
            <w:pPr>
              <w:spacing w:after="0" w:line="260"/>
              <w:jc w:val="right"/>
            </w:pPr>
            <w:r>
              <w:rPr>
                <w:rFonts w:ascii="Calibri" w:cs="Calibri" w:eastAsia="Calibri" w:hAnsi="Calibri"/>
                <w:b/>
                <w:bCs/>
                <w:color w:val="4a4a4a"/>
                <w:sz w:val="19"/>
                <w:szCs w:val="19"/>
              </w:rPr>
              <w:t xml:space="preserve">39 – 46</w:t>
            </w:r>
          </w:p>
        </w:tc>
      </w:tr>
      <w:tr>
        <w:tc>
          <w:tcPr>
            <w:tcW w:type="dxa" w:w="1100"/>
            <w:tcMar>
              <w:top w:type="dxa" w:w="80"/>
              <w:left w:type="dxa" w:w="110"/>
              <w:bottom w:type="dxa" w:w="80"/>
              <w:right w:type="dxa" w:w="110"/>
            </w:tcMar>
          </w:tcPr>
          <w:p>
            <w:pPr>
              <w:spacing w:after="0" w:line="260"/>
              <w:jc w:val="left"/>
            </w:pPr>
            <w:r>
              <w:rPr>
                <w:rFonts w:ascii="Calibri" w:cs="Calibri" w:eastAsia="Calibri" w:hAnsi="Calibri"/>
                <w:b w:val="false"/>
                <w:bCs w:val="false"/>
                <w:color w:val="4a4a4a"/>
                <w:sz w:val="19"/>
                <w:szCs w:val="19"/>
              </w:rPr>
              <w:t xml:space="preserve"/>
            </w:r>
          </w:p>
        </w:tc>
        <w:tc>
          <w:tcPr>
            <w:tcW w:type="dxa" w:w="6200"/>
            <w:tcMar>
              <w:top w:type="dxa" w:w="80"/>
              <w:left w:type="dxa" w:w="110"/>
              <w:bottom w:type="dxa" w:w="80"/>
              <w:right w:type="dxa" w:w="110"/>
            </w:tcMar>
          </w:tcPr>
          <w:p>
            <w:pPr>
              <w:spacing w:after="0" w:line="260"/>
              <w:jc w:val="right"/>
            </w:pPr>
            <w:r>
              <w:rPr>
                <w:rFonts w:ascii="Calibri" w:cs="Calibri" w:eastAsia="Calibri" w:hAnsi="Calibri"/>
                <w:b w:val="false"/>
                <w:bCs w:val="false"/>
                <w:color w:val="4a4a4a"/>
                <w:sz w:val="19"/>
                <w:szCs w:val="19"/>
              </w:rPr>
              <w:t xml:space="preserve">9. Le rythme</w:t>
            </w:r>
          </w:p>
        </w:tc>
        <w:tc>
          <w:tcPr>
            <w:tcW w:type="dxa" w:w="2060"/>
            <w:tcMar>
              <w:top w:type="dxa" w:w="80"/>
              <w:left w:type="dxa" w:w="110"/>
              <w:bottom w:type="dxa" w:w="80"/>
              <w:right w:type="dxa" w:w="110"/>
            </w:tcMar>
          </w:tcPr>
          <w:p>
            <w:pPr>
              <w:spacing w:after="0" w:line="260"/>
              <w:jc w:val="right"/>
            </w:pPr>
            <w:r>
              <w:rPr>
                <w:rFonts w:ascii="Calibri" w:cs="Calibri" w:eastAsia="Calibri" w:hAnsi="Calibri"/>
                <w:b w:val="false"/>
                <w:bCs w:val="false"/>
                <w:color w:val="4a4a4a"/>
                <w:sz w:val="19"/>
                <w:szCs w:val="19"/>
              </w:rPr>
              <w:t xml:space="preserve">47 – 51</w:t>
            </w:r>
          </w:p>
        </w:tc>
      </w:tr>
      <w:tr>
        <w:tc>
          <w:tcPr>
            <w:tcW w:type="dxa" w:w="1100"/>
            <w:shd w:fill="FAFAFA" w:color="auto" w:val="clear"/>
            <w:tcMar>
              <w:top w:type="dxa" w:w="80"/>
              <w:left w:type="dxa" w:w="110"/>
              <w:bottom w:type="dxa" w:w="80"/>
              <w:right w:type="dxa" w:w="110"/>
            </w:tcMar>
          </w:tcPr>
          <w:p>
            <w:pPr>
              <w:spacing w:after="0" w:line="260"/>
              <w:jc w:val="left"/>
            </w:pPr>
            <w:r>
              <w:rPr>
                <w:rFonts w:ascii="Calibri" w:cs="Calibri" w:eastAsia="Calibri" w:hAnsi="Calibri"/>
                <w:b w:val="false"/>
                <w:bCs w:val="false"/>
                <w:color w:val="4a4a4a"/>
                <w:sz w:val="19"/>
                <w:szCs w:val="19"/>
              </w:rPr>
              <w:t xml:space="preserve"/>
            </w:r>
          </w:p>
        </w:tc>
        <w:tc>
          <w:tcPr>
            <w:tcW w:type="dxa" w:w="6200"/>
            <w:shd w:fill="FAFAFA" w:color="auto" w:val="clear"/>
            <w:tcMar>
              <w:top w:type="dxa" w:w="80"/>
              <w:left w:type="dxa" w:w="110"/>
              <w:bottom w:type="dxa" w:w="80"/>
              <w:right w:type="dxa" w:w="110"/>
            </w:tcMar>
          </w:tcPr>
          <w:p>
            <w:pPr>
              <w:spacing w:after="0" w:line="260"/>
              <w:jc w:val="right"/>
            </w:pPr>
            <w:r>
              <w:rPr>
                <w:rFonts w:ascii="Calibri" w:cs="Calibri" w:eastAsia="Calibri" w:hAnsi="Calibri"/>
                <w:b w:val="false"/>
                <w:bCs w:val="false"/>
                <w:color w:val="4a4a4a"/>
                <w:sz w:val="19"/>
                <w:szCs w:val="19"/>
              </w:rPr>
              <w:t xml:space="preserve">10. Le coffret</w:t>
            </w:r>
          </w:p>
        </w:tc>
        <w:tc>
          <w:tcPr>
            <w:tcW w:type="dxa" w:w="2060"/>
            <w:shd w:fill="FAFAFA" w:color="auto" w:val="clear"/>
            <w:tcMar>
              <w:top w:type="dxa" w:w="80"/>
              <w:left w:type="dxa" w:w="110"/>
              <w:bottom w:type="dxa" w:w="80"/>
              <w:right w:type="dxa" w:w="110"/>
            </w:tcMar>
          </w:tcPr>
          <w:p>
            <w:pPr>
              <w:spacing w:after="0" w:line="260"/>
              <w:jc w:val="right"/>
            </w:pPr>
            <w:r>
              <w:rPr>
                <w:rFonts w:ascii="Calibri" w:cs="Calibri" w:eastAsia="Calibri" w:hAnsi="Calibri"/>
                <w:b w:val="false"/>
                <w:bCs w:val="false"/>
                <w:color w:val="4a4a4a"/>
                <w:sz w:val="19"/>
                <w:szCs w:val="19"/>
              </w:rPr>
              <w:t xml:space="preserve">52 – 55</w:t>
            </w:r>
          </w:p>
        </w:tc>
      </w:tr>
      <w:tr>
        <w:tc>
          <w:tcPr>
            <w:tcW w:type="dxa" w:w="1100"/>
            <w:tcMar>
              <w:top w:type="dxa" w:w="80"/>
              <w:left w:type="dxa" w:w="110"/>
              <w:bottom w:type="dxa" w:w="80"/>
              <w:right w:type="dxa" w:w="110"/>
            </w:tcMar>
          </w:tcPr>
          <w:p>
            <w:pPr>
              <w:spacing w:after="0" w:line="260"/>
              <w:jc w:val="left"/>
            </w:pPr>
            <w:r>
              <w:rPr>
                <w:rFonts w:ascii="Calibri" w:cs="Calibri" w:eastAsia="Calibri" w:hAnsi="Calibri"/>
                <w:b w:val="false"/>
                <w:bCs w:val="false"/>
                <w:color w:val="4a4a4a"/>
                <w:sz w:val="19"/>
                <w:szCs w:val="19"/>
              </w:rPr>
              <w:t xml:space="preserve"/>
            </w:r>
          </w:p>
        </w:tc>
        <w:tc>
          <w:tcPr>
            <w:tcW w:type="dxa" w:w="6200"/>
            <w:tcMar>
              <w:top w:type="dxa" w:w="80"/>
              <w:left w:type="dxa" w:w="110"/>
              <w:bottom w:type="dxa" w:w="80"/>
              <w:right w:type="dxa" w:w="110"/>
            </w:tcMar>
          </w:tcPr>
          <w:p>
            <w:pPr>
              <w:spacing w:after="0" w:line="260"/>
              <w:jc w:val="right"/>
            </w:pPr>
            <w:r>
              <w:rPr>
                <w:rFonts w:ascii="Calibri" w:cs="Calibri" w:eastAsia="Calibri" w:hAnsi="Calibri"/>
                <w:b w:val="false"/>
                <w:bCs w:val="false"/>
                <w:color w:val="4a4a4a"/>
                <w:sz w:val="19"/>
                <w:szCs w:val="19"/>
              </w:rPr>
              <w:t xml:space="preserve">11. La discrétion</w:t>
            </w:r>
          </w:p>
        </w:tc>
        <w:tc>
          <w:tcPr>
            <w:tcW w:type="dxa" w:w="2060"/>
            <w:tcMar>
              <w:top w:type="dxa" w:w="80"/>
              <w:left w:type="dxa" w:w="110"/>
              <w:bottom w:type="dxa" w:w="80"/>
              <w:right w:type="dxa" w:w="110"/>
            </w:tcMar>
          </w:tcPr>
          <w:p>
            <w:pPr>
              <w:spacing w:after="0" w:line="260"/>
              <w:jc w:val="right"/>
            </w:pPr>
            <w:r>
              <w:rPr>
                <w:rFonts w:ascii="Calibri" w:cs="Calibri" w:eastAsia="Calibri" w:hAnsi="Calibri"/>
                <w:b w:val="false"/>
                <w:bCs w:val="false"/>
                <w:color w:val="4a4a4a"/>
                <w:sz w:val="19"/>
                <w:szCs w:val="19"/>
              </w:rPr>
              <w:t xml:space="preserve">56 – 60</w:t>
            </w:r>
          </w:p>
        </w:tc>
      </w:tr>
      <w:tr>
        <w:tc>
          <w:tcPr>
            <w:tcW w:type="dxa" w:w="1100"/>
            <w:shd w:fill="FAFAFA" w:color="auto" w:val="clear"/>
            <w:tcMar>
              <w:top w:type="dxa" w:w="80"/>
              <w:left w:type="dxa" w:w="110"/>
              <w:bottom w:type="dxa" w:w="80"/>
              <w:right w:type="dxa" w:w="110"/>
            </w:tcMar>
          </w:tcPr>
          <w:p>
            <w:pPr>
              <w:spacing w:after="0" w:line="260"/>
              <w:jc w:val="left"/>
            </w:pPr>
            <w:r>
              <w:rPr>
                <w:rFonts w:ascii="Calibri" w:cs="Calibri" w:eastAsia="Calibri" w:hAnsi="Calibri"/>
                <w:b w:val="false"/>
                <w:bCs w:val="false"/>
                <w:color w:val="4a4a4a"/>
                <w:sz w:val="19"/>
                <w:szCs w:val="19"/>
              </w:rPr>
              <w:t xml:space="preserve"/>
            </w:r>
          </w:p>
        </w:tc>
        <w:tc>
          <w:tcPr>
            <w:tcW w:type="dxa" w:w="6200"/>
            <w:shd w:fill="FAFAFA" w:color="auto" w:val="clear"/>
            <w:tcMar>
              <w:top w:type="dxa" w:w="80"/>
              <w:left w:type="dxa" w:w="110"/>
              <w:bottom w:type="dxa" w:w="80"/>
              <w:right w:type="dxa" w:w="110"/>
            </w:tcMar>
          </w:tcPr>
          <w:p>
            <w:pPr>
              <w:spacing w:after="0" w:line="260"/>
              <w:jc w:val="right"/>
            </w:pPr>
            <w:r>
              <w:rPr>
                <w:rFonts w:ascii="Calibri" w:cs="Calibri" w:eastAsia="Calibri" w:hAnsi="Calibri"/>
                <w:b w:val="false"/>
                <w:bCs w:val="false"/>
                <w:color w:val="4a4a4a"/>
                <w:sz w:val="19"/>
                <w:szCs w:val="19"/>
              </w:rPr>
              <w:t xml:space="preserve">12. La tenue</w:t>
            </w:r>
          </w:p>
        </w:tc>
        <w:tc>
          <w:tcPr>
            <w:tcW w:type="dxa" w:w="2060"/>
            <w:shd w:fill="FAFAFA" w:color="auto" w:val="clear"/>
            <w:tcMar>
              <w:top w:type="dxa" w:w="80"/>
              <w:left w:type="dxa" w:w="110"/>
              <w:bottom w:type="dxa" w:w="80"/>
              <w:right w:type="dxa" w:w="110"/>
            </w:tcMar>
          </w:tcPr>
          <w:p>
            <w:pPr>
              <w:spacing w:after="0" w:line="260"/>
              <w:jc w:val="right"/>
            </w:pPr>
            <w:r>
              <w:rPr>
                <w:rFonts w:ascii="Calibri" w:cs="Calibri" w:eastAsia="Calibri" w:hAnsi="Calibri"/>
                <w:b w:val="false"/>
                <w:bCs w:val="false"/>
                <w:color w:val="4a4a4a"/>
                <w:sz w:val="19"/>
                <w:szCs w:val="19"/>
              </w:rPr>
              <w:t xml:space="preserve">61 – 66</w:t>
            </w:r>
          </w:p>
        </w:tc>
      </w:tr>
      <w:tr>
        <w:tc>
          <w:tcPr>
            <w:tcW w:type="dxa" w:w="1100"/>
            <w:tcMar>
              <w:top w:type="dxa" w:w="80"/>
              <w:left w:type="dxa" w:w="110"/>
              <w:bottom w:type="dxa" w:w="80"/>
              <w:right w:type="dxa" w:w="110"/>
            </w:tcMar>
          </w:tcPr>
          <w:p>
            <w:pPr>
              <w:spacing w:after="0" w:line="260"/>
              <w:jc w:val="left"/>
            </w:pPr>
            <w:r>
              <w:rPr>
                <w:rFonts w:ascii="Calibri" w:cs="Calibri" w:eastAsia="Calibri" w:hAnsi="Calibri"/>
                <w:b w:val="false"/>
                <w:bCs w:val="false"/>
                <w:color w:val="4a4a4a"/>
                <w:sz w:val="19"/>
                <w:szCs w:val="19"/>
              </w:rPr>
              <w:t xml:space="preserve"/>
            </w:r>
          </w:p>
        </w:tc>
        <w:tc>
          <w:tcPr>
            <w:tcW w:type="dxa" w:w="6200"/>
            <w:tcMar>
              <w:top w:type="dxa" w:w="80"/>
              <w:left w:type="dxa" w:w="110"/>
              <w:bottom w:type="dxa" w:w="80"/>
              <w:right w:type="dxa" w:w="110"/>
            </w:tcMar>
          </w:tcPr>
          <w:p>
            <w:pPr>
              <w:spacing w:after="0" w:line="260"/>
              <w:jc w:val="right"/>
            </w:pPr>
            <w:r>
              <w:rPr>
                <w:rFonts w:ascii="Calibri" w:cs="Calibri" w:eastAsia="Calibri" w:hAnsi="Calibri"/>
                <w:b w:val="false"/>
                <w:bCs w:val="false"/>
                <w:color w:val="4a4a4a"/>
                <w:sz w:val="19"/>
                <w:szCs w:val="19"/>
              </w:rPr>
              <w:t xml:space="preserve">13. Le comportement</w:t>
            </w:r>
          </w:p>
        </w:tc>
        <w:tc>
          <w:tcPr>
            <w:tcW w:type="dxa" w:w="2060"/>
            <w:tcMar>
              <w:top w:type="dxa" w:w="80"/>
              <w:left w:type="dxa" w:w="110"/>
              <w:bottom w:type="dxa" w:w="80"/>
              <w:right w:type="dxa" w:w="110"/>
            </w:tcMar>
          </w:tcPr>
          <w:p>
            <w:pPr>
              <w:spacing w:after="0" w:line="260"/>
              <w:jc w:val="right"/>
            </w:pPr>
            <w:r>
              <w:rPr>
                <w:rFonts w:ascii="Calibri" w:cs="Calibri" w:eastAsia="Calibri" w:hAnsi="Calibri"/>
                <w:b w:val="false"/>
                <w:bCs w:val="false"/>
                <w:color w:val="4a4a4a"/>
                <w:sz w:val="19"/>
                <w:szCs w:val="19"/>
              </w:rPr>
              <w:t xml:space="preserve">67 – 69</w:t>
            </w:r>
          </w:p>
        </w:tc>
      </w:tr>
      <w:tr>
        <w:tc>
          <w:tcPr>
            <w:tcW w:type="dxa" w:w="1100"/>
            <w:shd w:fill="FAFAFA" w:color="auto" w:val="clear"/>
            <w:tcMar>
              <w:top w:type="dxa" w:w="80"/>
              <w:left w:type="dxa" w:w="110"/>
              <w:bottom w:type="dxa" w:w="80"/>
              <w:right w:type="dxa" w:w="110"/>
            </w:tcMar>
          </w:tcPr>
          <w:p>
            <w:pPr>
              <w:spacing w:after="0" w:line="260"/>
              <w:jc w:val="left"/>
            </w:pPr>
            <w:r>
              <w:rPr>
                <w:rFonts w:ascii="Calibri" w:cs="Calibri" w:eastAsia="Calibri" w:hAnsi="Calibri"/>
                <w:b w:val="false"/>
                <w:bCs w:val="false"/>
                <w:color w:val="4a4a4a"/>
                <w:sz w:val="19"/>
                <w:szCs w:val="19"/>
              </w:rPr>
              <w:t xml:space="preserve"/>
            </w:r>
          </w:p>
        </w:tc>
        <w:tc>
          <w:tcPr>
            <w:tcW w:type="dxa" w:w="6200"/>
            <w:shd w:fill="FAFAFA" w:color="auto" w:val="clear"/>
            <w:tcMar>
              <w:top w:type="dxa" w:w="80"/>
              <w:left w:type="dxa" w:w="110"/>
              <w:bottom w:type="dxa" w:w="80"/>
              <w:right w:type="dxa" w:w="110"/>
            </w:tcMar>
          </w:tcPr>
          <w:p>
            <w:pPr>
              <w:spacing w:after="0" w:line="260"/>
              <w:jc w:val="right"/>
            </w:pPr>
            <w:r>
              <w:rPr>
                <w:rFonts w:ascii="Calibri" w:cs="Calibri" w:eastAsia="Calibri" w:hAnsi="Calibri"/>
                <w:b w:val="false"/>
                <w:bCs w:val="false"/>
                <w:color w:val="4a4a4a"/>
                <w:sz w:val="19"/>
                <w:szCs w:val="19"/>
              </w:rPr>
              <w:t xml:space="preserve">14. Les invités</w:t>
            </w:r>
          </w:p>
        </w:tc>
        <w:tc>
          <w:tcPr>
            <w:tcW w:type="dxa" w:w="2060"/>
            <w:shd w:fill="FAFAFA" w:color="auto" w:val="clear"/>
            <w:tcMar>
              <w:top w:type="dxa" w:w="80"/>
              <w:left w:type="dxa" w:w="110"/>
              <w:bottom w:type="dxa" w:w="80"/>
              <w:right w:type="dxa" w:w="110"/>
            </w:tcMar>
          </w:tcPr>
          <w:p>
            <w:pPr>
              <w:spacing w:after="0" w:line="260"/>
              <w:jc w:val="right"/>
            </w:pPr>
            <w:r>
              <w:rPr>
                <w:rFonts w:ascii="Calibri" w:cs="Calibri" w:eastAsia="Calibri" w:hAnsi="Calibri"/>
                <w:b w:val="false"/>
                <w:bCs w:val="false"/>
                <w:color w:val="4a4a4a"/>
                <w:sz w:val="19"/>
                <w:szCs w:val="19"/>
              </w:rPr>
              <w:t xml:space="preserve">70 – 73</w:t>
            </w:r>
          </w:p>
        </w:tc>
      </w:tr>
      <w:tr>
        <w:tc>
          <w:tcPr>
            <w:tcW w:type="dxa" w:w="1100"/>
            <w:tcMar>
              <w:top w:type="dxa" w:w="80"/>
              <w:left w:type="dxa" w:w="110"/>
              <w:bottom w:type="dxa" w:w="80"/>
              <w:right w:type="dxa" w:w="110"/>
            </w:tcMar>
          </w:tcPr>
          <w:p>
            <w:pPr>
              <w:spacing w:after="0" w:line="260"/>
              <w:jc w:val="left"/>
            </w:pPr>
            <w:r>
              <w:rPr>
                <w:rFonts w:ascii="Calibri" w:cs="Calibri" w:eastAsia="Calibri" w:hAnsi="Calibri"/>
                <w:b w:val="false"/>
                <w:bCs w:val="false"/>
                <w:color w:val="4a4a4a"/>
                <w:sz w:val="19"/>
                <w:szCs w:val="19"/>
              </w:rPr>
              <w:t xml:space="preserve"/>
            </w:r>
          </w:p>
        </w:tc>
        <w:tc>
          <w:tcPr>
            <w:tcW w:type="dxa" w:w="6200"/>
            <w:tcMar>
              <w:top w:type="dxa" w:w="80"/>
              <w:left w:type="dxa" w:w="110"/>
              <w:bottom w:type="dxa" w:w="80"/>
              <w:right w:type="dxa" w:w="110"/>
            </w:tcMar>
          </w:tcPr>
          <w:p>
            <w:pPr>
              <w:spacing w:after="0" w:line="260"/>
              <w:jc w:val="right"/>
            </w:pPr>
            <w:r>
              <w:rPr>
                <w:rFonts w:ascii="Calibri" w:cs="Calibri" w:eastAsia="Calibri" w:hAnsi="Calibri"/>
                <w:b w:val="false"/>
                <w:bCs w:val="false"/>
                <w:color w:val="4a4a4a"/>
                <w:sz w:val="19"/>
                <w:szCs w:val="19"/>
              </w:rPr>
              <w:t xml:space="preserve">15. Ce que la maison ne fait pas</w:t>
            </w:r>
          </w:p>
        </w:tc>
        <w:tc>
          <w:tcPr>
            <w:tcW w:type="dxa" w:w="2060"/>
            <w:tcMar>
              <w:top w:type="dxa" w:w="80"/>
              <w:left w:type="dxa" w:w="110"/>
              <w:bottom w:type="dxa" w:w="80"/>
              <w:right w:type="dxa" w:w="110"/>
            </w:tcMar>
          </w:tcPr>
          <w:p>
            <w:pPr>
              <w:spacing w:after="0" w:line="260"/>
              <w:jc w:val="right"/>
            </w:pPr>
            <w:r>
              <w:rPr>
                <w:rFonts w:ascii="Calibri" w:cs="Calibri" w:eastAsia="Calibri" w:hAnsi="Calibri"/>
                <w:b w:val="false"/>
                <w:bCs w:val="false"/>
                <w:color w:val="4a4a4a"/>
                <w:sz w:val="19"/>
                <w:szCs w:val="19"/>
              </w:rPr>
              <w:t xml:space="preserve">74 – 77</w:t>
            </w:r>
          </w:p>
        </w:tc>
      </w:tr>
      <w:tr>
        <w:tc>
          <w:tcPr>
            <w:tcW w:type="dxa" w:w="1100"/>
            <w:shd w:fill="FAFAFA" w:color="auto" w:val="clear"/>
            <w:tcMar>
              <w:top w:type="dxa" w:w="80"/>
              <w:left w:type="dxa" w:w="110"/>
              <w:bottom w:type="dxa" w:w="80"/>
              <w:right w:type="dxa" w:w="110"/>
            </w:tcMar>
          </w:tcPr>
          <w:p>
            <w:pPr>
              <w:spacing w:after="0" w:line="260"/>
              <w:jc w:val="left"/>
            </w:pPr>
            <w:r>
              <w:rPr>
                <w:rFonts w:ascii="Calibri" w:cs="Calibri" w:eastAsia="Calibri" w:hAnsi="Calibri"/>
                <w:b w:val="false"/>
                <w:bCs w:val="false"/>
                <w:color w:val="4a4a4a"/>
                <w:sz w:val="19"/>
                <w:szCs w:val="19"/>
              </w:rPr>
              <w:t xml:space="preserve"/>
            </w:r>
          </w:p>
        </w:tc>
        <w:tc>
          <w:tcPr>
            <w:tcW w:type="dxa" w:w="6200"/>
            <w:shd w:fill="FAFAFA" w:color="auto" w:val="clear"/>
            <w:tcMar>
              <w:top w:type="dxa" w:w="80"/>
              <w:left w:type="dxa" w:w="110"/>
              <w:bottom w:type="dxa" w:w="80"/>
              <w:right w:type="dxa" w:w="110"/>
            </w:tcMar>
          </w:tcPr>
          <w:p>
            <w:pPr>
              <w:spacing w:after="0" w:line="260"/>
              <w:jc w:val="right"/>
            </w:pPr>
            <w:r>
              <w:rPr>
                <w:rFonts w:ascii="Calibri" w:cs="Calibri" w:eastAsia="Calibri" w:hAnsi="Calibri"/>
                <w:b w:val="false"/>
                <w:bCs w:val="false"/>
                <w:color w:val="4a4a4a"/>
                <w:sz w:val="19"/>
                <w:szCs w:val="19"/>
              </w:rPr>
              <w:t xml:space="preserve">16. La clause de fermeture</w:t>
            </w:r>
          </w:p>
        </w:tc>
        <w:tc>
          <w:tcPr>
            <w:tcW w:type="dxa" w:w="2060"/>
            <w:shd w:fill="FAFAFA" w:color="auto" w:val="clear"/>
            <w:tcMar>
              <w:top w:type="dxa" w:w="80"/>
              <w:left w:type="dxa" w:w="110"/>
              <w:bottom w:type="dxa" w:w="80"/>
              <w:right w:type="dxa" w:w="110"/>
            </w:tcMar>
          </w:tcPr>
          <w:p>
            <w:pPr>
              <w:spacing w:after="0" w:line="260"/>
              <w:jc w:val="right"/>
            </w:pPr>
            <w:r>
              <w:rPr>
                <w:rFonts w:ascii="Calibri" w:cs="Calibri" w:eastAsia="Calibri" w:hAnsi="Calibri"/>
                <w:b w:val="false"/>
                <w:bCs w:val="false"/>
                <w:color w:val="4a4a4a"/>
                <w:sz w:val="19"/>
                <w:szCs w:val="19"/>
              </w:rPr>
              <w:t xml:space="preserve">78 – 80</w:t>
            </w:r>
          </w:p>
        </w:tc>
      </w:tr>
      <w:tr>
        <w:tc>
          <w:tcPr>
            <w:tcW w:type="dxa" w:w="1100"/>
            <w:tcMar>
              <w:top w:type="dxa" w:w="80"/>
              <w:left w:type="dxa" w:w="110"/>
              <w:bottom w:type="dxa" w:w="80"/>
              <w:right w:type="dxa" w:w="110"/>
            </w:tcMar>
          </w:tcPr>
          <w:p>
            <w:pPr>
              <w:spacing w:after="0" w:line="260"/>
              <w:jc w:val="left"/>
            </w:pPr>
            <w:r>
              <w:rPr>
                <w:rFonts w:ascii="Calibri" w:cs="Calibri" w:eastAsia="Calibri" w:hAnsi="Calibri"/>
                <w:b w:val="false"/>
                <w:bCs w:val="false"/>
                <w:color w:val="4a4a4a"/>
                <w:sz w:val="19"/>
                <w:szCs w:val="19"/>
              </w:rPr>
              <w:t xml:space="preserve">III</w:t>
            </w:r>
          </w:p>
        </w:tc>
        <w:tc>
          <w:tcPr>
            <w:tcW w:type="dxa" w:w="6200"/>
            <w:tcMar>
              <w:top w:type="dxa" w:w="80"/>
              <w:left w:type="dxa" w:w="110"/>
              <w:bottom w:type="dxa" w:w="80"/>
              <w:right w:type="dxa" w:w="110"/>
            </w:tcMar>
          </w:tcPr>
          <w:p>
            <w:pPr>
              <w:spacing w:after="0" w:line="260"/>
              <w:jc w:val="right"/>
            </w:pPr>
            <w:r>
              <w:rPr>
                <w:rFonts w:ascii="Calibri" w:cs="Calibri" w:eastAsia="Calibri" w:hAnsi="Calibri"/>
                <w:b w:val="false"/>
                <w:bCs w:val="false"/>
                <w:color w:val="4a4a4a"/>
                <w:sz w:val="19"/>
                <w:szCs w:val="19"/>
              </w:rPr>
              <w:t xml:space="preserve">17. Le registre</w:t>
            </w:r>
          </w:p>
        </w:tc>
        <w:tc>
          <w:tcPr>
            <w:tcW w:type="dxa" w:w="2060"/>
            <w:tcMar>
              <w:top w:type="dxa" w:w="80"/>
              <w:left w:type="dxa" w:w="110"/>
              <w:bottom w:type="dxa" w:w="80"/>
              <w:right w:type="dxa" w:w="110"/>
            </w:tcMar>
          </w:tcPr>
          <w:p>
            <w:pPr>
              <w:spacing w:after="0" w:line="260"/>
              <w:jc w:val="right"/>
            </w:pPr>
            <w:r>
              <w:rPr>
                <w:rFonts w:ascii="Calibri" w:cs="Calibri" w:eastAsia="Calibri" w:hAnsi="Calibri"/>
                <w:b w:val="false"/>
                <w:bCs w:val="false"/>
                <w:color w:val="4a4a4a"/>
                <w:sz w:val="19"/>
                <w:szCs w:val="19"/>
              </w:rPr>
              <w:t xml:space="preserve">81 – 84</w:t>
            </w:r>
          </w:p>
        </w:tc>
      </w:tr>
      <w:tr>
        <w:tc>
          <w:tcPr>
            <w:tcW w:type="dxa" w:w="1100"/>
            <w:shd w:fill="FAFAFA" w:color="auto" w:val="clear"/>
            <w:tcMar>
              <w:top w:type="dxa" w:w="80"/>
              <w:left w:type="dxa" w:w="110"/>
              <w:bottom w:type="dxa" w:w="80"/>
              <w:right w:type="dxa" w:w="110"/>
            </w:tcMar>
          </w:tcPr>
          <w:p>
            <w:pPr>
              <w:spacing w:after="0" w:line="260"/>
              <w:jc w:val="left"/>
            </w:pPr>
            <w:r>
              <w:rPr>
                <w:rFonts w:ascii="Calibri" w:cs="Calibri" w:eastAsia="Calibri" w:hAnsi="Calibri"/>
                <w:b w:val="false"/>
                <w:bCs w:val="false"/>
                <w:color w:val="4a4a4a"/>
                <w:sz w:val="19"/>
                <w:szCs w:val="19"/>
              </w:rPr>
              <w:t xml:space="preserve"/>
            </w:r>
          </w:p>
        </w:tc>
        <w:tc>
          <w:tcPr>
            <w:tcW w:type="dxa" w:w="6200"/>
            <w:shd w:fill="FAFAFA" w:color="auto" w:val="clear"/>
            <w:tcMar>
              <w:top w:type="dxa" w:w="80"/>
              <w:left w:type="dxa" w:w="110"/>
              <w:bottom w:type="dxa" w:w="80"/>
              <w:right w:type="dxa" w:w="110"/>
            </w:tcMar>
          </w:tcPr>
          <w:p>
            <w:pPr>
              <w:spacing w:after="0" w:line="260"/>
              <w:jc w:val="right"/>
            </w:pPr>
            <w:r>
              <w:rPr>
                <w:rFonts w:ascii="Calibri" w:cs="Calibri" w:eastAsia="Calibri" w:hAnsi="Calibri"/>
                <w:b w:val="false"/>
                <w:bCs w:val="false"/>
                <w:color w:val="4a4a4a"/>
                <w:sz w:val="19"/>
                <w:szCs w:val="19"/>
              </w:rPr>
              <w:t xml:space="preserve">18. Ce que soutient la cotisation</w:t>
            </w:r>
          </w:p>
        </w:tc>
        <w:tc>
          <w:tcPr>
            <w:tcW w:type="dxa" w:w="2060"/>
            <w:shd w:fill="FAFAFA" w:color="auto" w:val="clear"/>
            <w:tcMar>
              <w:top w:type="dxa" w:w="80"/>
              <w:left w:type="dxa" w:w="110"/>
              <w:bottom w:type="dxa" w:w="80"/>
              <w:right w:type="dxa" w:w="110"/>
            </w:tcMar>
          </w:tcPr>
          <w:p>
            <w:pPr>
              <w:spacing w:after="0" w:line="260"/>
              <w:jc w:val="right"/>
            </w:pPr>
            <w:r>
              <w:rPr>
                <w:rFonts w:ascii="Calibri" w:cs="Calibri" w:eastAsia="Calibri" w:hAnsi="Calibri"/>
                <w:b w:val="false"/>
                <w:bCs w:val="false"/>
                <w:color w:val="4a4a4a"/>
                <w:sz w:val="19"/>
                <w:szCs w:val="19"/>
              </w:rPr>
              <w:t xml:space="preserve">85 – 88</w:t>
            </w:r>
          </w:p>
        </w:tc>
      </w:tr>
      <w:tr>
        <w:tc>
          <w:tcPr>
            <w:tcW w:type="dxa" w:w="1100"/>
            <w:tcMar>
              <w:top w:type="dxa" w:w="80"/>
              <w:left w:type="dxa" w:w="110"/>
              <w:bottom w:type="dxa" w:w="80"/>
              <w:right w:type="dxa" w:w="110"/>
            </w:tcMar>
          </w:tcPr>
          <w:p>
            <w:pPr>
              <w:spacing w:after="0" w:line="260"/>
              <w:jc w:val="left"/>
            </w:pPr>
            <w:r>
              <w:rPr>
                <w:rFonts w:ascii="Calibri" w:cs="Calibri" w:eastAsia="Calibri" w:hAnsi="Calibri"/>
                <w:b w:val="false"/>
                <w:bCs w:val="false"/>
                <w:color w:val="4a4a4a"/>
                <w:sz w:val="19"/>
                <w:szCs w:val="19"/>
              </w:rPr>
              <w:t xml:space="preserve"/>
            </w:r>
          </w:p>
        </w:tc>
        <w:tc>
          <w:tcPr>
            <w:tcW w:type="dxa" w:w="6200"/>
            <w:tcMar>
              <w:top w:type="dxa" w:w="80"/>
              <w:left w:type="dxa" w:w="110"/>
              <w:bottom w:type="dxa" w:w="80"/>
              <w:right w:type="dxa" w:w="110"/>
            </w:tcMar>
          </w:tcPr>
          <w:p>
            <w:pPr>
              <w:spacing w:after="0" w:line="260"/>
              <w:jc w:val="right"/>
            </w:pPr>
            <w:r>
              <w:rPr>
                <w:rFonts w:ascii="Calibri" w:cs="Calibri" w:eastAsia="Calibri" w:hAnsi="Calibri"/>
                <w:b w:val="false"/>
                <w:bCs w:val="false"/>
                <w:color w:val="4a4a4a"/>
                <w:sz w:val="19"/>
                <w:szCs w:val="19"/>
              </w:rPr>
              <w:t xml:space="preserve">19. Manquements et procédure</w:t>
            </w:r>
          </w:p>
        </w:tc>
        <w:tc>
          <w:tcPr>
            <w:tcW w:type="dxa" w:w="2060"/>
            <w:tcMar>
              <w:top w:type="dxa" w:w="80"/>
              <w:left w:type="dxa" w:w="110"/>
              <w:bottom w:type="dxa" w:w="80"/>
              <w:right w:type="dxa" w:w="110"/>
            </w:tcMar>
          </w:tcPr>
          <w:p>
            <w:pPr>
              <w:spacing w:after="0" w:line="260"/>
              <w:jc w:val="right"/>
            </w:pPr>
            <w:r>
              <w:rPr>
                <w:rFonts w:ascii="Calibri" w:cs="Calibri" w:eastAsia="Calibri" w:hAnsi="Calibri"/>
                <w:b w:val="false"/>
                <w:bCs w:val="false"/>
                <w:color w:val="4a4a4a"/>
                <w:sz w:val="19"/>
                <w:szCs w:val="19"/>
              </w:rPr>
              <w:t xml:space="preserve">89 – 94</w:t>
            </w:r>
          </w:p>
        </w:tc>
      </w:tr>
      <w:tr>
        <w:tc>
          <w:tcPr>
            <w:tcW w:type="dxa" w:w="1100"/>
            <w:shd w:fill="FAFAFA" w:color="auto" w:val="clear"/>
            <w:tcMar>
              <w:top w:type="dxa" w:w="80"/>
              <w:left w:type="dxa" w:w="110"/>
              <w:bottom w:type="dxa" w:w="80"/>
              <w:right w:type="dxa" w:w="110"/>
            </w:tcMar>
          </w:tcPr>
          <w:p>
            <w:pPr>
              <w:spacing w:after="0" w:line="260"/>
              <w:jc w:val="left"/>
            </w:pPr>
            <w:r>
              <w:rPr>
                <w:rFonts w:ascii="Calibri" w:cs="Calibri" w:eastAsia="Calibri" w:hAnsi="Calibri"/>
                <w:b w:val="false"/>
                <w:bCs w:val="false"/>
                <w:color w:val="4a4a4a"/>
                <w:sz w:val="19"/>
                <w:szCs w:val="19"/>
              </w:rPr>
              <w:t xml:space="preserve"/>
            </w:r>
          </w:p>
        </w:tc>
        <w:tc>
          <w:tcPr>
            <w:tcW w:type="dxa" w:w="6200"/>
            <w:shd w:fill="FAFAFA" w:color="auto" w:val="clear"/>
            <w:tcMar>
              <w:top w:type="dxa" w:w="80"/>
              <w:left w:type="dxa" w:w="110"/>
              <w:bottom w:type="dxa" w:w="80"/>
              <w:right w:type="dxa" w:w="110"/>
            </w:tcMar>
          </w:tcPr>
          <w:p>
            <w:pPr>
              <w:spacing w:after="0" w:line="260"/>
              <w:jc w:val="right"/>
            </w:pPr>
            <w:r>
              <w:rPr>
                <w:rFonts w:ascii="Calibri" w:cs="Calibri" w:eastAsia="Calibri" w:hAnsi="Calibri"/>
                <w:b w:val="false"/>
                <w:bCs w:val="false"/>
                <w:color w:val="4a4a4a"/>
                <w:sz w:val="19"/>
                <w:szCs w:val="19"/>
              </w:rPr>
              <w:t xml:space="preserve">20. Dispositions finales</w:t>
            </w:r>
          </w:p>
        </w:tc>
        <w:tc>
          <w:tcPr>
            <w:tcW w:type="dxa" w:w="2060"/>
            <w:shd w:fill="FAFAFA" w:color="auto" w:val="clear"/>
            <w:tcMar>
              <w:top w:type="dxa" w:w="80"/>
              <w:left w:type="dxa" w:w="110"/>
              <w:bottom w:type="dxa" w:w="80"/>
              <w:right w:type="dxa" w:w="110"/>
            </w:tcMar>
          </w:tcPr>
          <w:p>
            <w:pPr>
              <w:spacing w:after="0" w:line="260"/>
              <w:jc w:val="right"/>
            </w:pPr>
            <w:r>
              <w:rPr>
                <w:rFonts w:ascii="Calibri" w:cs="Calibri" w:eastAsia="Calibri" w:hAnsi="Calibri"/>
                <w:b w:val="false"/>
                <w:bCs w:val="false"/>
                <w:color w:val="4a4a4a"/>
                <w:sz w:val="19"/>
                <w:szCs w:val="19"/>
              </w:rPr>
              <w:t xml:space="preserve">95 – 98</w:t>
            </w:r>
          </w:p>
        </w:tc>
      </w:tr>
    </w:tbl>
    <w:p>
      <w:pPr>
        <w:spacing w:after="220"/>
      </w:pPr>
    </w:p>
    <w:p>
      <w:pPr>
        <w:spacing w:after="140" w:line="300"/>
      </w:pPr>
      <w:r>
        <w:rPr>
          <w:rFonts w:ascii="Calibri" w:cs="Calibri" w:eastAsia="Calibri" w:hAnsi="Calibri"/>
          <w:i/>
          <w:iCs/>
          <w:color w:val="4a4a4a"/>
          <w:sz w:val="19"/>
          <w:szCs w:val="19"/>
        </w:rPr>
        <w:t xml:space="preserve">La section 6 — le seuil — prime sur toutes les autres et ne peut être modifiée sans l'accord de la maison voisine (art. 96). La section 7 ne relève pas du cercle : elle constate une décision qui appartient à la maison voisine seule.</w:t>
      </w:r>
    </w:p>
    <w:p>
      <w:pPr>
        <w:pStyle w:val="Heading1"/>
        <w:spacing w:after="200" w:before="400"/>
      </w:pPr>
      <w:r>
        <w:rPr>
          <w:rFonts w:ascii="Calibri" w:cs="Calibri" w:eastAsia="Calibri" w:hAnsi="Calibri"/>
          <w:b/>
          <w:bCs/>
          <w:color w:val="c8872f"/>
          <w:spacing w:val="20"/>
          <w:sz w:val="26"/>
          <w:szCs w:val="26"/>
        </w:rPr>
        <w:t xml:space="preserve">Titre I — Le cercle</w:t>
      </w:r>
    </w:p>
    <w:p>
      <w:pPr>
        <w:pStyle w:val="Heading2"/>
        <w:spacing w:after="140" w:before="300"/>
      </w:pPr>
      <w:r>
        <w:rPr>
          <w:rFonts w:ascii="Calibri" w:cs="Calibri" w:eastAsia="Calibri" w:hAnsi="Calibri"/>
          <w:b/>
          <w:bCs/>
          <w:color w:val="1f1f1f"/>
          <w:sz w:val="23"/>
          <w:szCs w:val="23"/>
        </w:rPr>
        <w:t xml:space="preserve">1. Objet et nombre</w:t>
      </w:r>
    </w:p>
    <w:p>
      <w:pPr>
        <w:spacing w:after="150" w:line="300"/>
      </w:pPr>
      <w:r>
        <w:rPr>
          <w:rFonts w:ascii="Calibri" w:cs="Calibri" w:eastAsia="Calibri" w:hAnsi="Calibri"/>
          <w:b/>
          <w:bCs/>
          <w:color w:val="c8872f"/>
          <w:sz w:val="21"/>
          <w:szCs w:val="21"/>
        </w:rPr>
        <w:t xml:space="preserve">Art. 1. </w:t>
      </w:r>
      <w:r>
        <w:rPr>
          <w:rFonts w:ascii="Calibri" w:cs="Calibri" w:eastAsia="Calibri" w:hAnsi="Calibri"/>
          <w:b/>
          <w:bCs/>
          <w:color w:val="1f1f1f"/>
          <w:sz w:val="21"/>
          <w:szCs w:val="21"/>
        </w:rPr>
        <w:t xml:space="preserve">Objet — </w:t>
      </w:r>
      <w:r>
        <w:rPr>
          <w:rFonts w:ascii="Calibri" w:cs="Calibri" w:eastAsia="Calibri" w:hAnsi="Calibri"/>
          <w:color w:val="4a4a4a"/>
          <w:sz w:val="21"/>
          <w:szCs w:val="21"/>
        </w:rPr>
        <w:t xml:space="preserve">An-Nudamāʾ a pour objet de recevoir ses membres à Al-Munya, d'y maintenir le rythme et la règle de la maison, et de soutenir, par une part statutaire de son résultat, les bourses de formation de la maison voisine.</w:t>
      </w:r>
    </w:p>
    <w:p>
      <w:pPr>
        <w:spacing w:after="150" w:line="300"/>
      </w:pPr>
      <w:r>
        <w:rPr>
          <w:rFonts w:ascii="Calibri" w:cs="Calibri" w:eastAsia="Calibri" w:hAnsi="Calibri"/>
          <w:b/>
          <w:bCs/>
          <w:color w:val="c8872f"/>
          <w:sz w:val="21"/>
          <w:szCs w:val="21"/>
        </w:rPr>
        <w:t xml:space="preserve">Art. 2. </w:t>
      </w:r>
      <w:r>
        <w:rPr>
          <w:rFonts w:ascii="Calibri" w:cs="Calibri" w:eastAsia="Calibri" w:hAnsi="Calibri"/>
          <w:b/>
          <w:bCs/>
          <w:color w:val="1f1f1f"/>
          <w:sz w:val="21"/>
          <w:szCs w:val="21"/>
        </w:rPr>
        <w:t xml:space="preserve">Nombre — </w:t>
      </w:r>
      <w:r>
        <w:rPr>
          <w:rFonts w:ascii="Calibri" w:cs="Calibri" w:eastAsia="Calibri" w:hAnsi="Calibri"/>
          <w:color w:val="4a4a4a"/>
          <w:sz w:val="21"/>
          <w:szCs w:val="21"/>
        </w:rPr>
        <w:t xml:space="preserve">Le cercle compte au plus cent vingt membres. Ce nombre est publié et ne peut être dépassé. Il ne peut être relevé que par une modification des statuts approuvée à la majorité des deux tiers des membres.</w:t>
      </w:r>
    </w:p>
    <w:p>
      <w:pPr>
        <w:spacing w:after="150" w:line="300"/>
      </w:pPr>
      <w:r>
        <w:rPr>
          <w:rFonts w:ascii="Calibri" w:cs="Calibri" w:eastAsia="Calibri" w:hAnsi="Calibri"/>
          <w:b/>
          <w:bCs/>
          <w:color w:val="c8872f"/>
          <w:sz w:val="21"/>
          <w:szCs w:val="21"/>
        </w:rPr>
        <w:t xml:space="preserve">Art. 3. </w:t>
      </w:r>
      <w:r>
        <w:rPr>
          <w:rFonts w:ascii="Calibri" w:cs="Calibri" w:eastAsia="Calibri" w:hAnsi="Calibri"/>
          <w:b/>
          <w:bCs/>
          <w:color w:val="1f1f1f"/>
          <w:sz w:val="21"/>
          <w:szCs w:val="21"/>
        </w:rPr>
        <w:t xml:space="preserve">Composition — </w:t>
      </w:r>
      <w:r>
        <w:rPr>
          <w:rFonts w:ascii="Calibri" w:cs="Calibri" w:eastAsia="Calibri" w:hAnsi="Calibri"/>
          <w:color w:val="4a4a4a"/>
          <w:sz w:val="21"/>
          <w:szCs w:val="21"/>
        </w:rPr>
        <w:t xml:space="preserve">Le cercle est composé d'hommes majeurs. L'âge à l'admission n'excède pas quarante-cinq ans.</w:t>
      </w:r>
    </w:p>
    <w:p>
      <w:pPr>
        <w:pStyle w:val="Heading2"/>
        <w:spacing w:after="140" w:before="300"/>
      </w:pPr>
      <w:r>
        <w:rPr>
          <w:rFonts w:ascii="Calibri" w:cs="Calibri" w:eastAsia="Calibri" w:hAnsi="Calibri"/>
          <w:b/>
          <w:bCs/>
          <w:color w:val="1f1f1f"/>
          <w:sz w:val="23"/>
          <w:szCs w:val="23"/>
        </w:rPr>
        <w:t xml:space="preserve">2. L'admission</w:t>
      </w:r>
    </w:p>
    <w:p>
      <w:pPr>
        <w:spacing w:after="150" w:line="300"/>
      </w:pPr>
      <w:r>
        <w:rPr>
          <w:rFonts w:ascii="Calibri" w:cs="Calibri" w:eastAsia="Calibri" w:hAnsi="Calibri"/>
          <w:b/>
          <w:bCs/>
          <w:color w:val="c8872f"/>
          <w:sz w:val="21"/>
          <w:szCs w:val="21"/>
        </w:rPr>
        <w:t xml:space="preserve">Art. 4. </w:t>
      </w:r>
      <w:r>
        <w:rPr>
          <w:rFonts w:ascii="Calibri" w:cs="Calibri" w:eastAsia="Calibri" w:hAnsi="Calibri"/>
          <w:b/>
          <w:bCs/>
          <w:color w:val="1f1f1f"/>
          <w:sz w:val="21"/>
          <w:szCs w:val="21"/>
        </w:rPr>
        <w:t xml:space="preserve">Présentation — </w:t>
      </w:r>
      <w:r>
        <w:rPr>
          <w:rFonts w:ascii="Calibri" w:cs="Calibri" w:eastAsia="Calibri" w:hAnsi="Calibri"/>
          <w:color w:val="4a4a4a"/>
          <w:sz w:val="21"/>
          <w:szCs w:val="21"/>
        </w:rPr>
        <w:t xml:space="preserve">On ne se propose pas : on est présenté. Aucun formulaire de candidature n'existe, et il n'en sera pas créé.</w:t>
      </w:r>
    </w:p>
    <w:p>
      <w:pPr>
        <w:spacing w:after="150" w:line="300"/>
      </w:pPr>
      <w:r>
        <w:rPr>
          <w:rFonts w:ascii="Calibri" w:cs="Calibri" w:eastAsia="Calibri" w:hAnsi="Calibri"/>
          <w:b/>
          <w:bCs/>
          <w:color w:val="c8872f"/>
          <w:sz w:val="21"/>
          <w:szCs w:val="21"/>
        </w:rPr>
        <w:t xml:space="preserve">Art. 5. </w:t>
      </w:r>
      <w:r>
        <w:rPr>
          <w:rFonts w:ascii="Calibri" w:cs="Calibri" w:eastAsia="Calibri" w:hAnsi="Calibri"/>
          <w:b/>
          <w:bCs/>
          <w:color w:val="1f1f1f"/>
          <w:sz w:val="21"/>
          <w:szCs w:val="21"/>
        </w:rPr>
        <w:t xml:space="preserve">Les parrains — </w:t>
      </w:r>
      <w:r>
        <w:rPr>
          <w:rFonts w:ascii="Calibri" w:cs="Calibri" w:eastAsia="Calibri" w:hAnsi="Calibri"/>
          <w:color w:val="4a4a4a"/>
          <w:sz w:val="21"/>
          <w:szCs w:val="21"/>
        </w:rPr>
        <w:t xml:space="preserve">Deux membres présentent ensemble un candidat, par écrit adressé au responsable de la maison. Ils engagent leur nom et répondent de lui.</w:t>
      </w:r>
    </w:p>
    <w:p>
      <w:pPr>
        <w:spacing w:after="150" w:line="300"/>
      </w:pPr>
      <w:r>
        <w:rPr>
          <w:rFonts w:ascii="Calibri" w:cs="Calibri" w:eastAsia="Calibri" w:hAnsi="Calibri"/>
          <w:b/>
          <w:bCs/>
          <w:color w:val="c8872f"/>
          <w:sz w:val="21"/>
          <w:szCs w:val="21"/>
        </w:rPr>
        <w:t xml:space="preserve">Art. 6. </w:t>
      </w:r>
      <w:r>
        <w:rPr>
          <w:rFonts w:ascii="Calibri" w:cs="Calibri" w:eastAsia="Calibri" w:hAnsi="Calibri"/>
          <w:b/>
          <w:bCs/>
          <w:color w:val="1f1f1f"/>
          <w:sz w:val="21"/>
          <w:szCs w:val="21"/>
        </w:rPr>
        <w:t xml:space="preserve">L'entretien — </w:t>
      </w:r>
      <w:r>
        <w:rPr>
          <w:rFonts w:ascii="Calibri" w:cs="Calibri" w:eastAsia="Calibri" w:hAnsi="Calibri"/>
          <w:color w:val="4a4a4a"/>
          <w:sz w:val="21"/>
          <w:szCs w:val="21"/>
        </w:rPr>
        <w:t xml:space="preserve">Le candidat est reçu une fois. Il partage un repas </w:t>
      </w:r>
      <w:r>
        <w:rPr>
          <w:rFonts w:ascii="Calibri" w:cs="Calibri" w:eastAsia="Calibri" w:hAnsi="Calibri"/>
          <w:b/>
          <w:bCs/>
          <w:color w:val="4a4a4a"/>
          <w:sz w:val="21"/>
          <w:szCs w:val="21"/>
        </w:rPr>
        <w:t xml:space="preserve">à la table commune de la maison voisine</w:t>
      </w:r>
      <w:r>
        <w:rPr>
          <w:rFonts w:ascii="Calibri" w:cs="Calibri" w:eastAsia="Calibri" w:hAnsi="Calibri"/>
          <w:color w:val="4a4a4a"/>
          <w:sz w:val="21"/>
          <w:szCs w:val="21"/>
        </w:rPr>
        <w:t xml:space="preserve">, comme n'importe quel hôte : sans titre, sans être présenté, sans que personne ne sache pourquoi il est là.</w:t>
      </w:r>
    </w:p>
    <w:p>
      <w:pPr>
        <w:spacing w:after="150" w:line="300"/>
      </w:pPr>
      <w:r>
        <w:rPr>
          <w:rFonts w:ascii="Calibri" w:cs="Calibri" w:eastAsia="Calibri" w:hAnsi="Calibri"/>
          <w:b/>
          <w:bCs/>
          <w:color w:val="c8872f"/>
          <w:sz w:val="21"/>
          <w:szCs w:val="21"/>
        </w:rPr>
        <w:t xml:space="preserve">Art. 7. </w:t>
      </w:r>
      <w:r>
        <w:rPr>
          <w:rFonts w:ascii="Calibri" w:cs="Calibri" w:eastAsia="Calibri" w:hAnsi="Calibri"/>
          <w:b/>
          <w:bCs/>
          <w:color w:val="1f1f1f"/>
          <w:sz w:val="21"/>
          <w:szCs w:val="21"/>
        </w:rPr>
        <w:t xml:space="preserve">L'avis de la table — </w:t>
      </w:r>
      <w:r>
        <w:rPr>
          <w:rFonts w:ascii="Calibri" w:cs="Calibri" w:eastAsia="Calibri" w:hAnsi="Calibri"/>
          <w:color w:val="4a4a4a"/>
          <w:sz w:val="21"/>
          <w:szCs w:val="21"/>
        </w:rPr>
        <w:t xml:space="preserve">Le lendemain, le responsable de la maison demande son avis à la table. Il ne s'agit ni d'un vote ni d'un procès-verbal. Une réserve suffit à écarter la candidature, et celui qui l'exprime n'a pas à la motiver.</w:t>
      </w:r>
    </w:p>
    <w:p>
      <w:pPr>
        <w:pBdr>
          <w:left w:val="single" w:color="c8872f" w:sz="12" w:space="14"/>
        </w:pBdr>
        <w:spacing w:after="160" w:before="120" w:line="300"/>
        <w:ind w:left="400"/>
      </w:pPr>
      <w:r>
        <w:rPr>
          <w:rFonts w:ascii="Calibri" w:cs="Calibri" w:eastAsia="Calibri" w:hAnsi="Calibri"/>
          <w:i/>
          <w:iCs/>
          <w:color w:val="1f1f1f"/>
          <w:sz w:val="21"/>
          <w:szCs w:val="21"/>
        </w:rPr>
        <w:t xml:space="preserve">L'admission requiert l'avis favorable de la table.</w:t>
      </w:r>
    </w:p>
    <w:p>
      <w:pPr>
        <w:spacing w:after="150" w:line="300"/>
      </w:pPr>
      <w:r>
        <w:rPr>
          <w:rFonts w:ascii="Calibri" w:cs="Calibri" w:eastAsia="Calibri" w:hAnsi="Calibri"/>
          <w:b/>
          <w:bCs/>
          <w:color w:val="c8872f"/>
          <w:sz w:val="21"/>
          <w:szCs w:val="21"/>
        </w:rPr>
        <w:t xml:space="preserve">Art. 8. </w:t>
      </w:r>
      <w:r>
        <w:rPr>
          <w:rFonts w:ascii="Calibri" w:cs="Calibri" w:eastAsia="Calibri" w:hAnsi="Calibri"/>
          <w:b/>
          <w:bCs/>
          <w:color w:val="1f1f1f"/>
          <w:sz w:val="21"/>
          <w:szCs w:val="21"/>
        </w:rPr>
        <w:t xml:space="preserve">La décision — </w:t>
      </w:r>
      <w:r>
        <w:rPr>
          <w:rFonts w:ascii="Calibri" w:cs="Calibri" w:eastAsia="Calibri" w:hAnsi="Calibri"/>
          <w:color w:val="4a4a4a"/>
          <w:sz w:val="21"/>
          <w:szCs w:val="21"/>
        </w:rPr>
        <w:t xml:space="preserve">La décision est notifiée aux parrains. Elle n'est jamais motivée, ni à eux ni au candidat. Un refus n'interdit pas une présentation ultérieure, au plus tôt après trois ans.</w:t>
      </w:r>
    </w:p>
    <w:p>
      <w:pPr>
        <w:pStyle w:val="Heading2"/>
        <w:spacing w:after="140" w:before="300"/>
      </w:pPr>
      <w:r>
        <w:rPr>
          <w:rFonts w:ascii="Calibri" w:cs="Calibri" w:eastAsia="Calibri" w:hAnsi="Calibri"/>
          <w:b/>
          <w:bCs/>
          <w:color w:val="1f1f1f"/>
          <w:sz w:val="23"/>
          <w:szCs w:val="23"/>
        </w:rPr>
        <w:t xml:space="preserve">3. La place</w:t>
      </w:r>
    </w:p>
    <w:p>
      <w:pPr>
        <w:spacing w:after="150" w:line="300"/>
      </w:pPr>
      <w:r>
        <w:rPr>
          <w:rFonts w:ascii="Calibri" w:cs="Calibri" w:eastAsia="Calibri" w:hAnsi="Calibri"/>
          <w:b/>
          <w:bCs/>
          <w:color w:val="c8872f"/>
          <w:sz w:val="21"/>
          <w:szCs w:val="21"/>
        </w:rPr>
        <w:t xml:space="preserve">Art. 9. </w:t>
      </w:r>
      <w:r>
        <w:rPr>
          <w:rFonts w:ascii="Calibri" w:cs="Calibri" w:eastAsia="Calibri" w:hAnsi="Calibri"/>
          <w:b/>
          <w:bCs/>
          <w:color w:val="1f1f1f"/>
          <w:sz w:val="21"/>
          <w:szCs w:val="21"/>
        </w:rPr>
        <w:t xml:space="preserve">Caractère personnel — </w:t>
      </w:r>
      <w:r>
        <w:rPr>
          <w:rFonts w:ascii="Calibri" w:cs="Calibri" w:eastAsia="Calibri" w:hAnsi="Calibri"/>
          <w:color w:val="4a4a4a"/>
          <w:sz w:val="21"/>
          <w:szCs w:val="21"/>
        </w:rPr>
        <w:t xml:space="preserve">La place est personnelle. Elle n'est ni prêtée, ni partagée, ni exercée par autrui.</w:t>
      </w:r>
    </w:p>
    <w:p>
      <w:pPr>
        <w:spacing w:after="150" w:line="300"/>
      </w:pPr>
      <w:r>
        <w:rPr>
          <w:rFonts w:ascii="Calibri" w:cs="Calibri" w:eastAsia="Calibri" w:hAnsi="Calibri"/>
          <w:b/>
          <w:bCs/>
          <w:color w:val="c8872f"/>
          <w:sz w:val="21"/>
          <w:szCs w:val="21"/>
        </w:rPr>
        <w:t xml:space="preserve">Art. 10. </w:t>
      </w:r>
      <w:r>
        <w:rPr>
          <w:rFonts w:ascii="Calibri" w:cs="Calibri" w:eastAsia="Calibri" w:hAnsi="Calibri"/>
          <w:b/>
          <w:bCs/>
          <w:color w:val="1f1f1f"/>
          <w:sz w:val="21"/>
          <w:szCs w:val="21"/>
        </w:rPr>
        <w:t xml:space="preserve">Incessibilité — </w:t>
      </w:r>
      <w:r>
        <w:rPr>
          <w:rFonts w:ascii="Calibri" w:cs="Calibri" w:eastAsia="Calibri" w:hAnsi="Calibri"/>
          <w:color w:val="4a4a4a"/>
          <w:sz w:val="21"/>
          <w:szCs w:val="21"/>
        </w:rPr>
        <w:t xml:space="preserve">La place ne se vend jamais : ni à un membre, ni à un tiers, ni à titre onéreux sous quelque forme ou dénomination que ce soit. Le membre qui tente de la céder contre valeur perd sa place et les sommes versées.</w:t>
      </w:r>
    </w:p>
    <w:p>
      <w:pPr>
        <w:spacing w:after="150" w:line="300"/>
      </w:pPr>
      <w:r>
        <w:rPr>
          <w:rFonts w:ascii="Calibri" w:cs="Calibri" w:eastAsia="Calibri" w:hAnsi="Calibri"/>
          <w:b/>
          <w:bCs/>
          <w:color w:val="c8872f"/>
          <w:sz w:val="21"/>
          <w:szCs w:val="21"/>
        </w:rPr>
        <w:t xml:space="preserve">Art. 11. </w:t>
      </w:r>
      <w:r>
        <w:rPr>
          <w:rFonts w:ascii="Calibri" w:cs="Calibri" w:eastAsia="Calibri" w:hAnsi="Calibri"/>
          <w:b/>
          <w:bCs/>
          <w:color w:val="1f1f1f"/>
          <w:sz w:val="21"/>
          <w:szCs w:val="21"/>
        </w:rPr>
        <w:t xml:space="preserve">Place ordinaire — </w:t>
      </w:r>
      <w:r>
        <w:rPr>
          <w:rFonts w:ascii="Calibri" w:cs="Calibri" w:eastAsia="Calibri" w:hAnsi="Calibri"/>
          <w:color w:val="4a4a4a"/>
          <w:sz w:val="21"/>
          <w:szCs w:val="21"/>
        </w:rPr>
        <w:t xml:space="preserve">La place ordinaire ne se transmet pas. Au décès ou à la démission, elle revient au cercle.</w:t>
      </w:r>
    </w:p>
    <w:p>
      <w:pPr>
        <w:spacing w:after="150" w:line="300"/>
      </w:pPr>
      <w:r>
        <w:rPr>
          <w:rFonts w:ascii="Calibri" w:cs="Calibri" w:eastAsia="Calibri" w:hAnsi="Calibri"/>
          <w:b/>
          <w:bCs/>
          <w:color w:val="c8872f"/>
          <w:sz w:val="21"/>
          <w:szCs w:val="21"/>
        </w:rPr>
        <w:t xml:space="preserve">Art. 12. </w:t>
      </w:r>
      <w:r>
        <w:rPr>
          <w:rFonts w:ascii="Calibri" w:cs="Calibri" w:eastAsia="Calibri" w:hAnsi="Calibri"/>
          <w:b/>
          <w:bCs/>
          <w:color w:val="1f1f1f"/>
          <w:sz w:val="21"/>
          <w:szCs w:val="21"/>
        </w:rPr>
        <w:t xml:space="preserve">Les fondateurs — </w:t>
      </w:r>
      <w:r>
        <w:rPr>
          <w:rFonts w:ascii="Calibri" w:cs="Calibri" w:eastAsia="Calibri" w:hAnsi="Calibri"/>
          <w:color w:val="4a4a4a"/>
          <w:sz w:val="21"/>
          <w:szCs w:val="21"/>
        </w:rPr>
        <w:t xml:space="preserve">Les quarante membres fondateurs font exception. Chacun peut désigner son successeur — un fils, un frère cadet, ou un homme qui n'est pas de sa famille — par écrit déposé au registre, ou par disposition testamentaire.</w:t>
      </w:r>
    </w:p>
    <w:p>
      <w:pPr>
        <w:spacing w:after="110" w:line="300"/>
        <w:ind w:left="340"/>
      </w:pPr>
      <w:r>
        <w:rPr>
          <w:rFonts w:ascii="Calibri" w:cs="Calibri" w:eastAsia="Calibri" w:hAnsi="Calibri"/>
          <w:color w:val="4a4a4a"/>
          <w:sz w:val="20"/>
          <w:szCs w:val="20"/>
        </w:rPr>
        <w:t xml:space="preserve">— La désignation est un droit de présentation, non d'admission : le désigné se soumet au même entretien, au même repas et au même avis de la table, et remplit les mêmes conditions, âge compris. Le cercle peut refuser sans motiver ; la place revient alors au cercle.</w:t>
      </w:r>
    </w:p>
    <w:p>
      <w:pPr>
        <w:spacing w:after="110" w:line="300"/>
        <w:ind w:left="340"/>
      </w:pPr>
      <w:r>
        <w:rPr>
          <w:rFonts w:ascii="Calibri" w:cs="Calibri" w:eastAsia="Calibri" w:hAnsi="Calibri"/>
          <w:color w:val="4a4a4a"/>
          <w:sz w:val="20"/>
          <w:szCs w:val="20"/>
        </w:rPr>
        <w:t xml:space="preserve">— Le successeur admis ne verse pas le droit d'admission. Il verse la cotisation annuelle.</w:t>
      </w:r>
    </w:p>
    <w:p>
      <w:pPr>
        <w:spacing w:after="110" w:line="300"/>
        <w:ind w:left="340"/>
      </w:pPr>
      <w:r>
        <w:rPr>
          <w:rFonts w:ascii="Calibri" w:cs="Calibri" w:eastAsia="Calibri" w:hAnsi="Calibri"/>
          <w:color w:val="4a4a4a"/>
          <w:sz w:val="20"/>
          <w:szCs w:val="20"/>
        </w:rPr>
        <w:t xml:space="preserve">— Aucune somme ne peut être échangée entre le fondateur et son successeur à raison de la désignation. S'il apparaît qu'elle a été payée, elle est caduque et la place revient au cercle.</w:t>
      </w:r>
    </w:p>
    <w:p>
      <w:pPr>
        <w:spacing w:after="110" w:line="300"/>
        <w:ind w:left="340"/>
      </w:pPr>
      <w:r>
        <w:rPr>
          <w:rFonts w:ascii="Calibri" w:cs="Calibri" w:eastAsia="Calibri" w:hAnsi="Calibri"/>
          <w:color w:val="4a4a4a"/>
          <w:sz w:val="20"/>
          <w:szCs w:val="20"/>
        </w:rPr>
        <w:t xml:space="preserve">— Le nombre de transmissions successives n'est pas limité.</w:t>
      </w:r>
    </w:p>
    <w:p>
      <w:pPr>
        <w:pStyle w:val="Heading2"/>
        <w:spacing w:after="140" w:before="300"/>
      </w:pPr>
      <w:r>
        <w:rPr>
          <w:rFonts w:ascii="Calibri" w:cs="Calibri" w:eastAsia="Calibri" w:hAnsi="Calibri"/>
          <w:b/>
          <w:bCs/>
          <w:color w:val="1f1f1f"/>
          <w:sz w:val="23"/>
          <w:szCs w:val="23"/>
        </w:rPr>
        <w:t xml:space="preserve">4. Droit d'admission, cotisation et tarifs</w:t>
      </w:r>
    </w:p>
    <w:p>
      <w:pPr>
        <w:spacing w:after="150" w:line="300"/>
      </w:pPr>
      <w:r>
        <w:rPr>
          <w:rFonts w:ascii="Calibri" w:cs="Calibri" w:eastAsia="Calibri" w:hAnsi="Calibri"/>
          <w:b/>
          <w:bCs/>
          <w:color w:val="c8872f"/>
          <w:sz w:val="21"/>
          <w:szCs w:val="21"/>
        </w:rPr>
        <w:t xml:space="preserve">Art. 13. </w:t>
      </w:r>
      <w:r>
        <w:rPr>
          <w:rFonts w:ascii="Calibri" w:cs="Calibri" w:eastAsia="Calibri" w:hAnsi="Calibri"/>
          <w:b/>
          <w:bCs/>
          <w:color w:val="1f1f1f"/>
          <w:sz w:val="21"/>
          <w:szCs w:val="21"/>
        </w:rPr>
        <w:t xml:space="preserve">Droit d'admission — </w:t>
      </w:r>
      <w:r>
        <w:rPr>
          <w:rFonts w:ascii="Calibri" w:cs="Calibri" w:eastAsia="Calibri" w:hAnsi="Calibri"/>
          <w:color w:val="4a4a4a"/>
          <w:sz w:val="21"/>
          <w:szCs w:val="21"/>
        </w:rPr>
        <w:t xml:space="preserve">Le droit d'admission est versé une fois, à l'admission. Il n'est remboursable en aucun cas, y compris en cas de démission ou de radiation.</w:t>
      </w:r>
    </w:p>
    <w:p>
      <w:pPr>
        <w:spacing w:after="150" w:line="300"/>
      </w:pPr>
      <w:r>
        <w:rPr>
          <w:rFonts w:ascii="Calibri" w:cs="Calibri" w:eastAsia="Calibri" w:hAnsi="Calibri"/>
          <w:b/>
          <w:bCs/>
          <w:color w:val="c8872f"/>
          <w:sz w:val="21"/>
          <w:szCs w:val="21"/>
        </w:rPr>
        <w:t xml:space="preserve">Art. 14. </w:t>
      </w:r>
      <w:r>
        <w:rPr>
          <w:rFonts w:ascii="Calibri" w:cs="Calibri" w:eastAsia="Calibri" w:hAnsi="Calibri"/>
          <w:b/>
          <w:bCs/>
          <w:color w:val="1f1f1f"/>
          <w:sz w:val="21"/>
          <w:szCs w:val="21"/>
        </w:rPr>
        <w:t xml:space="preserve">Barème — </w:t>
      </w:r>
      <w:r>
        <w:rPr>
          <w:rFonts w:ascii="Calibri" w:cs="Calibri" w:eastAsia="Calibri" w:hAnsi="Calibri"/>
          <w:color w:val="4a4a4a"/>
          <w:sz w:val="21"/>
          <w:szCs w:val="21"/>
        </w:rPr>
        <w:t xml:space="preserve">Le droit d'admission ordinaire est relevé selon un barème publié, à mesure que le cercle se complète.</w:t>
      </w:r>
    </w:p>
    <w:p>
      <w:pPr>
        <w:spacing w:after="150" w:line="300"/>
      </w:pPr>
      <w:r>
        <w:rPr>
          <w:rFonts w:ascii="Calibri" w:cs="Calibri" w:eastAsia="Calibri" w:hAnsi="Calibri"/>
          <w:b/>
          <w:bCs/>
          <w:color w:val="c8872f"/>
          <w:sz w:val="21"/>
          <w:szCs w:val="21"/>
        </w:rPr>
        <w:t xml:space="preserve">Art. 15. </w:t>
      </w:r>
      <w:r>
        <w:rPr>
          <w:rFonts w:ascii="Calibri" w:cs="Calibri" w:eastAsia="Calibri" w:hAnsi="Calibri"/>
          <w:b/>
          <w:bCs/>
          <w:color w:val="1f1f1f"/>
          <w:sz w:val="21"/>
          <w:szCs w:val="21"/>
        </w:rPr>
        <w:t xml:space="preserve">Cotisation — </w:t>
      </w:r>
      <w:r>
        <w:rPr>
          <w:rFonts w:ascii="Calibri" w:cs="Calibri" w:eastAsia="Calibri" w:hAnsi="Calibri"/>
          <w:color w:val="4a4a4a"/>
          <w:sz w:val="21"/>
          <w:szCs w:val="21"/>
        </w:rPr>
        <w:t xml:space="preserve">La cotisation annuelle est due au premier jour de l'exercice, que le membre séjourne ou non. Elle comprend un contingent de nuits ; au-delà, le tarif de nuit s'applique.</w:t>
      </w:r>
    </w:p>
    <w:p>
      <w:pPr>
        <w:spacing w:after="150" w:line="300"/>
      </w:pPr>
      <w:r>
        <w:rPr>
          <w:rFonts w:ascii="Calibri" w:cs="Calibri" w:eastAsia="Calibri" w:hAnsi="Calibri"/>
          <w:b/>
          <w:bCs/>
          <w:color w:val="c8872f"/>
          <w:sz w:val="21"/>
          <w:szCs w:val="21"/>
        </w:rPr>
        <w:t xml:space="preserve">Art. 16. </w:t>
      </w:r>
      <w:r>
        <w:rPr>
          <w:rFonts w:ascii="Calibri" w:cs="Calibri" w:eastAsia="Calibri" w:hAnsi="Calibri"/>
          <w:b/>
          <w:bCs/>
          <w:color w:val="1f1f1f"/>
          <w:sz w:val="21"/>
          <w:szCs w:val="21"/>
        </w:rPr>
        <w:t xml:space="preserve">Non-publication — </w:t>
      </w:r>
      <w:r>
        <w:rPr>
          <w:rFonts w:ascii="Calibri" w:cs="Calibri" w:eastAsia="Calibri" w:hAnsi="Calibri"/>
          <w:color w:val="4a4a4a"/>
          <w:sz w:val="21"/>
          <w:szCs w:val="21"/>
        </w:rPr>
        <w:t xml:space="preserve">Aucun tarif n'est publié. Les montants sont communiqués au candidat lors de l'entretien d'admission.</w:t>
      </w:r>
    </w:p>
    <w:p>
      <w:pPr>
        <w:spacing w:after="150" w:line="300"/>
      </w:pPr>
      <w:r>
        <w:rPr>
          <w:rFonts w:ascii="Calibri" w:cs="Calibri" w:eastAsia="Calibri" w:hAnsi="Calibri"/>
          <w:b/>
          <w:bCs/>
          <w:color w:val="c8872f"/>
          <w:sz w:val="21"/>
          <w:szCs w:val="21"/>
        </w:rPr>
        <w:t xml:space="preserve">Art. 17. </w:t>
      </w:r>
      <w:r>
        <w:rPr>
          <w:rFonts w:ascii="Calibri" w:cs="Calibri" w:eastAsia="Calibri" w:hAnsi="Calibri"/>
          <w:b/>
          <w:bCs/>
          <w:color w:val="1f1f1f"/>
          <w:sz w:val="21"/>
          <w:szCs w:val="21"/>
        </w:rPr>
        <w:t xml:space="preserve">Règlement — </w:t>
      </w:r>
      <w:r>
        <w:rPr>
          <w:rFonts w:ascii="Calibri" w:cs="Calibri" w:eastAsia="Calibri" w:hAnsi="Calibri"/>
          <w:color w:val="4a4a4a"/>
          <w:sz w:val="21"/>
          <w:szCs w:val="21"/>
        </w:rPr>
        <w:t xml:space="preserve">Aucun compte n'est présenté dans la maison. Rien ne se règle sur place : tout est réglé entre le cercle et le membre, ailleurs.</w:t>
      </w:r>
    </w:p>
    <w:p>
      <w:pPr>
        <w:spacing w:after="150" w:line="300"/>
      </w:pPr>
      <w:r>
        <w:rPr>
          <w:rFonts w:ascii="Calibri" w:cs="Calibri" w:eastAsia="Calibri" w:hAnsi="Calibri"/>
          <w:b/>
          <w:bCs/>
          <w:color w:val="c8872f"/>
          <w:sz w:val="21"/>
          <w:szCs w:val="21"/>
        </w:rPr>
        <w:t xml:space="preserve">Art. 18. </w:t>
      </w:r>
      <w:r>
        <w:rPr>
          <w:rFonts w:ascii="Calibri" w:cs="Calibri" w:eastAsia="Calibri" w:hAnsi="Calibri"/>
          <w:b/>
          <w:bCs/>
          <w:color w:val="1f1f1f"/>
          <w:sz w:val="21"/>
          <w:szCs w:val="21"/>
        </w:rPr>
        <w:t xml:space="preserve">Défaut — </w:t>
      </w:r>
      <w:r>
        <w:rPr>
          <w:rFonts w:ascii="Calibri" w:cs="Calibri" w:eastAsia="Calibri" w:hAnsi="Calibri"/>
          <w:color w:val="4a4a4a"/>
          <w:sz w:val="21"/>
          <w:szCs w:val="21"/>
        </w:rPr>
        <w:t xml:space="preserve">Le défaut de paiement de la cotisation, après un rappel écrit et un délai de soixante jours, emporte suspension de plein droit, puis radiation.</w:t>
      </w:r>
    </w:p>
    <w:p>
      <w:pPr>
        <w:pStyle w:val="Heading2"/>
        <w:spacing w:after="140" w:before="300"/>
      </w:pPr>
      <w:r>
        <w:rPr>
          <w:rFonts w:ascii="Calibri" w:cs="Calibri" w:eastAsia="Calibri" w:hAnsi="Calibri"/>
          <w:b/>
          <w:bCs/>
          <w:color w:val="1f1f1f"/>
          <w:sz w:val="23"/>
          <w:szCs w:val="23"/>
        </w:rPr>
        <w:t xml:space="preserve">5. Démission et radiation</w:t>
      </w:r>
    </w:p>
    <w:p>
      <w:pPr>
        <w:spacing w:after="150" w:line="300"/>
      </w:pPr>
      <w:r>
        <w:rPr>
          <w:rFonts w:ascii="Calibri" w:cs="Calibri" w:eastAsia="Calibri" w:hAnsi="Calibri"/>
          <w:b/>
          <w:bCs/>
          <w:color w:val="c8872f"/>
          <w:sz w:val="21"/>
          <w:szCs w:val="21"/>
        </w:rPr>
        <w:t xml:space="preserve">Art. 19. </w:t>
      </w:r>
      <w:r>
        <w:rPr>
          <w:rFonts w:ascii="Calibri" w:cs="Calibri" w:eastAsia="Calibri" w:hAnsi="Calibri"/>
          <w:b/>
          <w:bCs/>
          <w:color w:val="1f1f1f"/>
          <w:sz w:val="21"/>
          <w:szCs w:val="21"/>
        </w:rPr>
        <w:t xml:space="preserve">Démission — </w:t>
      </w:r>
      <w:r>
        <w:rPr>
          <w:rFonts w:ascii="Calibri" w:cs="Calibri" w:eastAsia="Calibri" w:hAnsi="Calibri"/>
          <w:color w:val="4a4a4a"/>
          <w:sz w:val="21"/>
          <w:szCs w:val="21"/>
        </w:rPr>
        <w:t xml:space="preserve">Tout membre peut se retirer à tout moment, par écrit. Aucune somme ne lui est restituée.</w:t>
      </w:r>
    </w:p>
    <w:p>
      <w:pPr>
        <w:spacing w:after="150" w:line="300"/>
      </w:pPr>
      <w:r>
        <w:rPr>
          <w:rFonts w:ascii="Calibri" w:cs="Calibri" w:eastAsia="Calibri" w:hAnsi="Calibri"/>
          <w:b/>
          <w:bCs/>
          <w:color w:val="c8872f"/>
          <w:sz w:val="21"/>
          <w:szCs w:val="21"/>
        </w:rPr>
        <w:t xml:space="preserve">Art. 20. </w:t>
      </w:r>
      <w:r>
        <w:rPr>
          <w:rFonts w:ascii="Calibri" w:cs="Calibri" w:eastAsia="Calibri" w:hAnsi="Calibri"/>
          <w:b/>
          <w:bCs/>
          <w:color w:val="1f1f1f"/>
          <w:sz w:val="21"/>
          <w:szCs w:val="21"/>
        </w:rPr>
        <w:t xml:space="preserve">Radiation — </w:t>
      </w:r>
      <w:r>
        <w:rPr>
          <w:rFonts w:ascii="Calibri" w:cs="Calibri" w:eastAsia="Calibri" w:hAnsi="Calibri"/>
          <w:color w:val="4a4a4a"/>
          <w:sz w:val="21"/>
          <w:szCs w:val="21"/>
        </w:rPr>
        <w:t xml:space="preserve">La radiation est prononcée par le conseil de la maison, composé du responsable de la maison et de deux membres désignés pour trois ans, dont l'un par la maison voisine. Le membre est entendu, sauf urgence tenant à la sécurité ou à la réputation de la maison.</w:t>
      </w:r>
    </w:p>
    <w:p>
      <w:pPr>
        <w:spacing w:after="150" w:line="300"/>
      </w:pPr>
      <w:r>
        <w:rPr>
          <w:rFonts w:ascii="Calibri" w:cs="Calibri" w:eastAsia="Calibri" w:hAnsi="Calibri"/>
          <w:b/>
          <w:bCs/>
          <w:color w:val="c8872f"/>
          <w:sz w:val="21"/>
          <w:szCs w:val="21"/>
        </w:rPr>
        <w:t xml:space="preserve">Art. 21. </w:t>
      </w:r>
      <w:r>
        <w:rPr>
          <w:rFonts w:ascii="Calibri" w:cs="Calibri" w:eastAsia="Calibri" w:hAnsi="Calibri"/>
          <w:b/>
          <w:bCs/>
          <w:color w:val="1f1f1f"/>
          <w:sz w:val="21"/>
          <w:szCs w:val="21"/>
        </w:rPr>
        <w:t xml:space="preserve">Effets — </w:t>
      </w:r>
      <w:r>
        <w:rPr>
          <w:rFonts w:ascii="Calibri" w:cs="Calibri" w:eastAsia="Calibri" w:hAnsi="Calibri"/>
          <w:color w:val="4a4a4a"/>
          <w:sz w:val="21"/>
          <w:szCs w:val="21"/>
        </w:rPr>
        <w:t xml:space="preserve">La radiation n'ouvre droit à aucun remboursement, ni du droit d'admission, ni de la cotisation en cours, ni des nuits non consommées.</w:t>
      </w:r>
    </w:p>
    <w:p>
      <w:r>
        <w:br w:type="page"/>
      </w:r>
    </w:p>
    <w:p>
      <w:pPr>
        <w:pStyle w:val="Heading1"/>
        <w:spacing w:after="200" w:before="400"/>
      </w:pPr>
      <w:r>
        <w:rPr>
          <w:rFonts w:ascii="Calibri" w:cs="Calibri" w:eastAsia="Calibri" w:hAnsi="Calibri"/>
          <w:b/>
          <w:bCs/>
          <w:color w:val="c8872f"/>
          <w:spacing w:val="20"/>
          <w:sz w:val="26"/>
          <w:szCs w:val="26"/>
        </w:rPr>
        <w:t xml:space="preserve">Titre II — La maison</w:t>
      </w:r>
    </w:p>
    <w:p>
      <w:pPr>
        <w:pStyle w:val="Heading2"/>
        <w:spacing w:after="140" w:before="300"/>
      </w:pPr>
      <w:r>
        <w:rPr>
          <w:rFonts w:ascii="Calibri" w:cs="Calibri" w:eastAsia="Calibri" w:hAnsi="Calibri"/>
          <w:b/>
          <w:bCs/>
          <w:color w:val="1f1f1f"/>
          <w:sz w:val="23"/>
          <w:szCs w:val="23"/>
        </w:rPr>
        <w:t xml:space="preserve">6. Le seuil</w:t>
      </w:r>
    </w:p>
    <w:p>
      <w:pPr>
        <w:spacing w:after="140" w:line="300"/>
      </w:pPr>
      <w:r>
        <w:rPr>
          <w:rFonts w:ascii="Calibri" w:cs="Calibri" w:eastAsia="Calibri" w:hAnsi="Calibri"/>
          <w:i/>
          <w:iCs/>
          <w:color w:val="4a4a4a"/>
          <w:sz w:val="19"/>
          <w:szCs w:val="19"/>
        </w:rPr>
        <w:t xml:space="preserve">Les articles de cette section priment sur tous les autres. Leur violation est une faute grave au sens de l'article 92.</w:t>
      </w:r>
    </w:p>
    <w:p>
      <w:pPr>
        <w:spacing w:after="150" w:line="300"/>
      </w:pPr>
      <w:r>
        <w:rPr>
          <w:rFonts w:ascii="Calibri" w:cs="Calibri" w:eastAsia="Calibri" w:hAnsi="Calibri"/>
          <w:b/>
          <w:bCs/>
          <w:color w:val="c8872f"/>
          <w:sz w:val="21"/>
          <w:szCs w:val="21"/>
        </w:rPr>
        <w:t xml:space="preserve">Art. 22. </w:t>
      </w:r>
      <w:r>
        <w:rPr>
          <w:rFonts w:ascii="Calibri" w:cs="Calibri" w:eastAsia="Calibri" w:hAnsi="Calibri"/>
          <w:b/>
          <w:bCs/>
          <w:color w:val="1f1f1f"/>
          <w:sz w:val="21"/>
          <w:szCs w:val="21"/>
        </w:rPr>
        <w:t xml:space="preserve">La maison voisine — </w:t>
      </w:r>
      <w:r>
        <w:rPr>
          <w:rFonts w:ascii="Calibri" w:cs="Calibri" w:eastAsia="Calibri" w:hAnsi="Calibri"/>
          <w:color w:val="4a4a4a"/>
          <w:sz w:val="21"/>
          <w:szCs w:val="21"/>
        </w:rPr>
        <w:t xml:space="preserve">La maison voisine n'est pas un lieu d'agrément, n'appartient pas au cercle et n'est liée à lui que par une convention d'accès. Elle existerait à l'identique si Al-Munya n'existait pas.</w:t>
      </w:r>
    </w:p>
    <w:p>
      <w:pPr>
        <w:spacing w:after="150" w:line="300"/>
      </w:pPr>
      <w:r>
        <w:rPr>
          <w:rFonts w:ascii="Calibri" w:cs="Calibri" w:eastAsia="Calibri" w:hAnsi="Calibri"/>
          <w:b/>
          <w:bCs/>
          <w:color w:val="c8872f"/>
          <w:sz w:val="21"/>
          <w:szCs w:val="21"/>
        </w:rPr>
        <w:t xml:space="preserve">Art. 23. </w:t>
      </w:r>
      <w:r>
        <w:rPr>
          <w:rFonts w:ascii="Calibri" w:cs="Calibri" w:eastAsia="Calibri" w:hAnsi="Calibri"/>
          <w:b/>
          <w:bCs/>
          <w:color w:val="1f1f1f"/>
          <w:sz w:val="21"/>
          <w:szCs w:val="21"/>
        </w:rPr>
        <w:t xml:space="preserve">Ce qu'ils ne sont pas — </w:t>
      </w:r>
      <w:r>
        <w:rPr>
          <w:rFonts w:ascii="Calibri" w:cs="Calibri" w:eastAsia="Calibri" w:hAnsi="Calibri"/>
          <w:color w:val="4a4a4a"/>
          <w:sz w:val="21"/>
          <w:szCs w:val="21"/>
        </w:rPr>
        <w:t xml:space="preserve">Ses habitants ne sont pas du personnel. Ils ne reçoivent aucun pourboire, ne sont pas photographiés, ne font aucune démonstration, ne sont pas priés de recevoir, de guider ni de distraire.</w:t>
      </w:r>
    </w:p>
    <w:p>
      <w:pPr>
        <w:spacing w:after="150" w:line="300"/>
      </w:pPr>
      <w:r>
        <w:rPr>
          <w:rFonts w:ascii="Calibri" w:cs="Calibri" w:eastAsia="Calibri" w:hAnsi="Calibri"/>
          <w:b/>
          <w:bCs/>
          <w:color w:val="c8872f"/>
          <w:sz w:val="21"/>
          <w:szCs w:val="21"/>
        </w:rPr>
        <w:t xml:space="preserve">Art. 24. </w:t>
      </w:r>
      <w:r>
        <w:rPr>
          <w:rFonts w:ascii="Calibri" w:cs="Calibri" w:eastAsia="Calibri" w:hAnsi="Calibri"/>
          <w:b/>
          <w:bCs/>
          <w:color w:val="1f1f1f"/>
          <w:sz w:val="21"/>
          <w:szCs w:val="21"/>
        </w:rPr>
        <w:t xml:space="preserve">Ce qui reste fermé — </w:t>
      </w:r>
      <w:r>
        <w:rPr>
          <w:rFonts w:ascii="Calibri" w:cs="Calibri" w:eastAsia="Calibri" w:hAnsi="Calibri"/>
          <w:color w:val="4a4a4a"/>
          <w:sz w:val="21"/>
          <w:szCs w:val="21"/>
        </w:rPr>
        <w:t xml:space="preserve">Le membre n'y loge pas, n'entre pas dans les quartiers d'habitation, n'assiste pas à la prière et n'est présent à aucun moment intérieur de la communauté.</w:t>
      </w:r>
    </w:p>
    <w:p>
      <w:pPr>
        <w:spacing w:after="150" w:line="300"/>
      </w:pPr>
      <w:r>
        <w:rPr>
          <w:rFonts w:ascii="Calibri" w:cs="Calibri" w:eastAsia="Calibri" w:hAnsi="Calibri"/>
          <w:b/>
          <w:bCs/>
          <w:color w:val="c8872f"/>
          <w:sz w:val="21"/>
          <w:szCs w:val="21"/>
        </w:rPr>
        <w:t xml:space="preserve">Art. 25. </w:t>
      </w:r>
      <w:r>
        <w:rPr>
          <w:rFonts w:ascii="Calibri" w:cs="Calibri" w:eastAsia="Calibri" w:hAnsi="Calibri"/>
          <w:b/>
          <w:bCs/>
          <w:color w:val="1f1f1f"/>
          <w:sz w:val="21"/>
          <w:szCs w:val="21"/>
        </w:rPr>
        <w:t xml:space="preserve">Ce qui peut être accordé — </w:t>
      </w:r>
      <w:r>
        <w:rPr>
          <w:rFonts w:ascii="Calibri" w:cs="Calibri" w:eastAsia="Calibri" w:hAnsi="Calibri"/>
          <w:color w:val="4a4a4a"/>
          <w:sz w:val="21"/>
          <w:szCs w:val="21"/>
        </w:rPr>
        <w:t xml:space="preserve">Ce qui peut être accordé — une heure à l'établi d'un maître, un repas à la table commune, une soirée de chant, le champ de tir à l'aube, le hammam à une heure réservée — l'est au cas par cas, à la discrétion de la maison voisine. Cela ne figure sur aucune liste, n'est compris dans aucun prix, ne peut être demandé comme un dû, et peut être refusé sans que la raison en soit donnée.</w:t>
      </w:r>
    </w:p>
    <w:p>
      <w:pPr>
        <w:spacing w:after="150" w:line="300"/>
      </w:pPr>
      <w:r>
        <w:rPr>
          <w:rFonts w:ascii="Calibri" w:cs="Calibri" w:eastAsia="Calibri" w:hAnsi="Calibri"/>
          <w:b/>
          <w:bCs/>
          <w:color w:val="c8872f"/>
          <w:sz w:val="21"/>
          <w:szCs w:val="21"/>
        </w:rPr>
        <w:t xml:space="preserve">Art. 26. </w:t>
      </w:r>
      <w:r>
        <w:rPr>
          <w:rFonts w:ascii="Calibri" w:cs="Calibri" w:eastAsia="Calibri" w:hAnsi="Calibri"/>
          <w:b/>
          <w:bCs/>
          <w:color w:val="1f1f1f"/>
          <w:sz w:val="21"/>
          <w:szCs w:val="21"/>
        </w:rPr>
        <w:t xml:space="preserve">La porte — </w:t>
      </w:r>
      <w:r>
        <w:rPr>
          <w:rFonts w:ascii="Calibri" w:cs="Calibri" w:eastAsia="Calibri" w:hAnsi="Calibri"/>
          <w:color w:val="4a4a4a"/>
          <w:sz w:val="21"/>
          <w:szCs w:val="21"/>
        </w:rPr>
        <w:t xml:space="preserve">Le mur mitoyen comporte une seule porte. Elle s'ouvre du côté de la maison voisine. Aucun membre n'en détient la clé. Le passage est ouvert par un habitant de cette maison et refermé derrière lui ; le membre admis est accompagné pendant toute la durée de sa présence et ressort par la même porte.</w:t>
      </w:r>
    </w:p>
    <w:p>
      <w:pPr>
        <w:spacing w:after="150" w:line="300"/>
      </w:pPr>
      <w:r>
        <w:rPr>
          <w:rFonts w:ascii="Calibri" w:cs="Calibri" w:eastAsia="Calibri" w:hAnsi="Calibri"/>
          <w:b/>
          <w:bCs/>
          <w:color w:val="c8872f"/>
          <w:sz w:val="21"/>
          <w:szCs w:val="21"/>
        </w:rPr>
        <w:t xml:space="preserve">Art. 27. </w:t>
      </w:r>
      <w:r>
        <w:rPr>
          <w:rFonts w:ascii="Calibri" w:cs="Calibri" w:eastAsia="Calibri" w:hAnsi="Calibri"/>
          <w:b/>
          <w:bCs/>
          <w:color w:val="1f1f1f"/>
          <w:sz w:val="21"/>
          <w:szCs w:val="21"/>
        </w:rPr>
        <w:t xml:space="preserve">Suspension — </w:t>
      </w:r>
      <w:r>
        <w:rPr>
          <w:rFonts w:ascii="Calibri" w:cs="Calibri" w:eastAsia="Calibri" w:hAnsi="Calibri"/>
          <w:color w:val="4a4a4a"/>
          <w:sz w:val="21"/>
          <w:szCs w:val="21"/>
        </w:rPr>
        <w:t xml:space="preserve">La maison voisine peut suspendre l'accès à tout moment, en tout ou en partie, sans motif et sans préavis. Le membre ne peut s'en prévaloir d'aucune manière : ni réclamation, ni indemnité, ni réduction.</w:t>
      </w:r>
    </w:p>
    <w:p>
      <w:pPr>
        <w:spacing w:after="150" w:line="300"/>
      </w:pPr>
      <w:r>
        <w:rPr>
          <w:rFonts w:ascii="Calibri" w:cs="Calibri" w:eastAsia="Calibri" w:hAnsi="Calibri"/>
          <w:b/>
          <w:bCs/>
          <w:color w:val="c8872f"/>
          <w:sz w:val="21"/>
          <w:szCs w:val="21"/>
        </w:rPr>
        <w:t xml:space="preserve">Art. 28. </w:t>
      </w:r>
      <w:r>
        <w:rPr>
          <w:rFonts w:ascii="Calibri" w:cs="Calibri" w:eastAsia="Calibri" w:hAnsi="Calibri"/>
          <w:b/>
          <w:bCs/>
          <w:color w:val="1f1f1f"/>
          <w:sz w:val="21"/>
          <w:szCs w:val="21"/>
        </w:rPr>
        <w:t xml:space="preserve">Sanction immédiate — </w:t>
      </w:r>
      <w:r>
        <w:rPr>
          <w:rFonts w:ascii="Calibri" w:cs="Calibri" w:eastAsia="Calibri" w:hAnsi="Calibri"/>
          <w:color w:val="4a4a4a"/>
          <w:sz w:val="21"/>
          <w:szCs w:val="21"/>
        </w:rPr>
        <w:t xml:space="preserve">Le membre qui traite un habitant de la maison voisine comme un employé, lui offre de l'argent, le photographie, l'interroge sur la maison ou tente de le rencontrer hors du cadre accordé, voit son séjour prendre fin le jour même. La radiation est prononcée ensuite selon l'article 20.</w:t>
      </w:r>
    </w:p>
    <w:p>
      <w:pPr>
        <w:pStyle w:val="Heading2"/>
        <w:spacing w:after="140" w:before="300"/>
      </w:pPr>
      <w:r>
        <w:rPr>
          <w:rFonts w:ascii="Calibri" w:cs="Calibri" w:eastAsia="Calibri" w:hAnsi="Calibri"/>
          <w:b/>
          <w:bCs/>
          <w:color w:val="1f1f1f"/>
          <w:sz w:val="23"/>
          <w:szCs w:val="23"/>
        </w:rPr>
        <w:t xml:space="preserve">7. Ahl ad-Dār — ceux de la maison</w:t>
      </w:r>
    </w:p>
    <w:p>
      <w:pPr>
        <w:spacing w:after="140" w:line="300"/>
      </w:pPr>
      <w:r>
        <w:rPr>
          <w:rFonts w:ascii="Calibri" w:cs="Calibri" w:eastAsia="Calibri" w:hAnsi="Calibri"/>
          <w:i/>
          <w:iCs/>
          <w:color w:val="4a4a4a"/>
          <w:sz w:val="19"/>
          <w:szCs w:val="19"/>
        </w:rPr>
        <w:t xml:space="preserve">Cette section ne crée pas un rang du cercle. Elle constate une chose qui se passe de l'autre côté du mur, et sur laquelle le cercle n'a aucun pouvoir.</w:t>
      </w:r>
    </w:p>
    <w:p>
      <w:pPr>
        <w:spacing w:after="150" w:line="300"/>
      </w:pPr>
      <w:r>
        <w:rPr>
          <w:rFonts w:ascii="Calibri" w:cs="Calibri" w:eastAsia="Calibri" w:hAnsi="Calibri"/>
          <w:b/>
          <w:bCs/>
          <w:color w:val="c8872f"/>
          <w:sz w:val="21"/>
          <w:szCs w:val="21"/>
        </w:rPr>
        <w:t xml:space="preserve">Art. 29. </w:t>
      </w:r>
      <w:r>
        <w:rPr>
          <w:rFonts w:ascii="Calibri" w:cs="Calibri" w:eastAsia="Calibri" w:hAnsi="Calibri"/>
          <w:b/>
          <w:bCs/>
          <w:color w:val="1f1f1f"/>
          <w:sz w:val="21"/>
          <w:szCs w:val="21"/>
        </w:rPr>
        <w:t xml:space="preserve">Principe — </w:t>
      </w:r>
      <w:r>
        <w:rPr>
          <w:rFonts w:ascii="Calibri" w:cs="Calibri" w:eastAsia="Calibri" w:hAnsi="Calibri"/>
          <w:color w:val="4a4a4a"/>
          <w:sz w:val="21"/>
          <w:szCs w:val="21"/>
        </w:rPr>
        <w:t xml:space="preserve">La maison voisine peut considérer certains membres comme siens et les appeler Ahl ad-Dār — ceux de la maison. Elle seule en décide. Le cercle, son responsable et son conseil n'y ont aucune part.</w:t>
      </w:r>
    </w:p>
    <w:p>
      <w:pPr>
        <w:spacing w:after="150" w:line="300"/>
      </w:pPr>
      <w:r>
        <w:rPr>
          <w:rFonts w:ascii="Calibri" w:cs="Calibri" w:eastAsia="Calibri" w:hAnsi="Calibri"/>
          <w:b/>
          <w:bCs/>
          <w:color w:val="c8872f"/>
          <w:sz w:val="21"/>
          <w:szCs w:val="21"/>
        </w:rPr>
        <w:t xml:space="preserve">Art. 30. </w:t>
      </w:r>
      <w:r>
        <w:rPr>
          <w:rFonts w:ascii="Calibri" w:cs="Calibri" w:eastAsia="Calibri" w:hAnsi="Calibri"/>
          <w:b/>
          <w:bCs/>
          <w:color w:val="1f1f1f"/>
          <w:sz w:val="21"/>
          <w:szCs w:val="21"/>
        </w:rPr>
        <w:t xml:space="preserve">Désignation — </w:t>
      </w:r>
      <w:r>
        <w:rPr>
          <w:rFonts w:ascii="Calibri" w:cs="Calibri" w:eastAsia="Calibri" w:hAnsi="Calibri"/>
          <w:color w:val="4a4a4a"/>
          <w:sz w:val="21"/>
          <w:szCs w:val="21"/>
        </w:rPr>
        <w:t xml:space="preserve">La désignation naît de la table et est confirmée par le responsable de la maison voisine. Elle ne se demande pas, ne se sollicite pas, ne se recommande pas et ne s'obtient par aucun versement, aucune donation ni aucun service rendu. Toute démarche en ce sens l'écarte définitivement.</w:t>
      </w:r>
    </w:p>
    <w:p>
      <w:pPr>
        <w:spacing w:after="150" w:line="300"/>
      </w:pPr>
      <w:r>
        <w:rPr>
          <w:rFonts w:ascii="Calibri" w:cs="Calibri" w:eastAsia="Calibri" w:hAnsi="Calibri"/>
          <w:b/>
          <w:bCs/>
          <w:color w:val="c8872f"/>
          <w:sz w:val="21"/>
          <w:szCs w:val="21"/>
        </w:rPr>
        <w:t xml:space="preserve">Art. 31. </w:t>
      </w:r>
      <w:r>
        <w:rPr>
          <w:rFonts w:ascii="Calibri" w:cs="Calibri" w:eastAsia="Calibri" w:hAnsi="Calibri"/>
          <w:b/>
          <w:bCs/>
          <w:color w:val="1f1f1f"/>
          <w:sz w:val="21"/>
          <w:szCs w:val="21"/>
        </w:rPr>
        <w:t xml:space="preserve">Discrétion — </w:t>
      </w:r>
      <w:r>
        <w:rPr>
          <w:rFonts w:ascii="Calibri" w:cs="Calibri" w:eastAsia="Calibri" w:hAnsi="Calibri"/>
          <w:color w:val="4a4a4a"/>
          <w:sz w:val="21"/>
          <w:szCs w:val="21"/>
        </w:rPr>
        <w:t xml:space="preserve">Elle n'est pas annoncée. Les membres ne sont pas informés de qui en est et de qui n'en est pas, et il n'en est pas parlé dans la maison.</w:t>
      </w:r>
    </w:p>
    <w:p>
      <w:pPr>
        <w:spacing w:after="150" w:line="300"/>
      </w:pPr>
      <w:r>
        <w:rPr>
          <w:rFonts w:ascii="Calibri" w:cs="Calibri" w:eastAsia="Calibri" w:hAnsi="Calibri"/>
          <w:b/>
          <w:bCs/>
          <w:color w:val="c8872f"/>
          <w:sz w:val="21"/>
          <w:szCs w:val="21"/>
        </w:rPr>
        <w:t xml:space="preserve">Art. 32. </w:t>
      </w:r>
      <w:r>
        <w:rPr>
          <w:rFonts w:ascii="Calibri" w:cs="Calibri" w:eastAsia="Calibri" w:hAnsi="Calibri"/>
          <w:b/>
          <w:bCs/>
          <w:color w:val="1f1f1f"/>
          <w:sz w:val="21"/>
          <w:szCs w:val="21"/>
        </w:rPr>
        <w:t xml:space="preserve">Révocabilité — </w:t>
      </w:r>
      <w:r>
        <w:rPr>
          <w:rFonts w:ascii="Calibri" w:cs="Calibri" w:eastAsia="Calibri" w:hAnsi="Calibri"/>
          <w:color w:val="4a4a4a"/>
          <w:sz w:val="21"/>
          <w:szCs w:val="21"/>
        </w:rPr>
        <w:t xml:space="preserve">Elle est révocable à tout moment, sans motif et sans préavis, comme tout ce qui se trouve au-delà de la porte.</w:t>
      </w:r>
    </w:p>
    <w:p>
      <w:pPr>
        <w:spacing w:after="150" w:line="300"/>
      </w:pPr>
      <w:r>
        <w:rPr>
          <w:rFonts w:ascii="Calibri" w:cs="Calibri" w:eastAsia="Calibri" w:hAnsi="Calibri"/>
          <w:b/>
          <w:bCs/>
          <w:color w:val="c8872f"/>
          <w:sz w:val="21"/>
          <w:szCs w:val="21"/>
        </w:rPr>
        <w:t xml:space="preserve">Art. 33. </w:t>
      </w:r>
      <w:r>
        <w:rPr>
          <w:rFonts w:ascii="Calibri" w:cs="Calibri" w:eastAsia="Calibri" w:hAnsi="Calibri"/>
          <w:b/>
          <w:bCs/>
          <w:color w:val="1f1f1f"/>
          <w:sz w:val="21"/>
          <w:szCs w:val="21"/>
        </w:rPr>
        <w:t xml:space="preserve">Nombre — </w:t>
      </w:r>
      <w:r>
        <w:rPr>
          <w:rFonts w:ascii="Calibri" w:cs="Calibri" w:eastAsia="Calibri" w:hAnsi="Calibri"/>
          <w:color w:val="4a4a4a"/>
          <w:sz w:val="21"/>
          <w:szCs w:val="21"/>
        </w:rPr>
        <w:t xml:space="preserve">Le nombre de Ahl ad-Dār ne dépasse pas douze à la fois. La maison voisine n'est jamais tenue d'en désigner aucun.</w:t>
      </w:r>
    </w:p>
    <w:p>
      <w:pPr>
        <w:spacing w:after="150" w:line="300"/>
      </w:pPr>
      <w:r>
        <w:rPr>
          <w:rFonts w:ascii="Calibri" w:cs="Calibri" w:eastAsia="Calibri" w:hAnsi="Calibri"/>
          <w:b/>
          <w:bCs/>
          <w:color w:val="c8872f"/>
          <w:sz w:val="21"/>
          <w:szCs w:val="21"/>
        </w:rPr>
        <w:t xml:space="preserve">Art. 34. </w:t>
      </w:r>
      <w:r>
        <w:rPr>
          <w:rFonts w:ascii="Calibri" w:cs="Calibri" w:eastAsia="Calibri" w:hAnsi="Calibri"/>
          <w:b/>
          <w:bCs/>
          <w:color w:val="1f1f1f"/>
          <w:sz w:val="21"/>
          <w:szCs w:val="21"/>
        </w:rPr>
        <w:t xml:space="preserve">Étendue — </w:t>
      </w:r>
      <w:r>
        <w:rPr>
          <w:rFonts w:ascii="Calibri" w:cs="Calibri" w:eastAsia="Calibri" w:hAnsi="Calibri"/>
          <w:color w:val="4a4a4a"/>
          <w:sz w:val="21"/>
          <w:szCs w:val="21"/>
        </w:rPr>
        <w:t xml:space="preserve">Ce que la désignation permet, dans la mesure que la maison voisine fixe au cas par cas :</w:t>
      </w:r>
    </w:p>
    <w:p>
      <w:pPr>
        <w:spacing w:after="110" w:line="300"/>
        <w:ind w:left="340"/>
      </w:pPr>
      <w:r>
        <w:rPr>
          <w:rFonts w:ascii="Calibri" w:cs="Calibri" w:eastAsia="Calibri" w:hAnsi="Calibri"/>
          <w:color w:val="4a4a4a"/>
          <w:sz w:val="20"/>
          <w:szCs w:val="20"/>
        </w:rPr>
        <w:t xml:space="preserve">— travailler régulièrement à l'établi d'un même maître, dans la durée, et non le temps d'une heure ;</w:t>
      </w:r>
    </w:p>
    <w:p>
      <w:pPr>
        <w:spacing w:after="110" w:line="300"/>
        <w:ind w:left="340"/>
      </w:pPr>
      <w:r>
        <w:rPr>
          <w:rFonts w:ascii="Calibri" w:cs="Calibri" w:eastAsia="Calibri" w:hAnsi="Calibri"/>
          <w:color w:val="4a4a4a"/>
          <w:sz w:val="20"/>
          <w:szCs w:val="20"/>
        </w:rPr>
        <w:t xml:space="preserve">— prendre place à la table commune lorsqu'il est à Fès, sans que chaque venue soit accordée séparément ;</w:t>
      </w:r>
    </w:p>
    <w:p>
      <w:pPr>
        <w:spacing w:after="110" w:line="300"/>
        <w:ind w:left="340"/>
      </w:pPr>
      <w:r>
        <w:rPr>
          <w:rFonts w:ascii="Calibri" w:cs="Calibri" w:eastAsia="Calibri" w:hAnsi="Calibri"/>
          <w:color w:val="4a4a4a"/>
          <w:sz w:val="20"/>
          <w:szCs w:val="20"/>
        </w:rPr>
        <w:t xml:space="preserve">— franchir la porte même lorsqu'il ne séjourne pas à Al-Munya ;</w:t>
      </w:r>
    </w:p>
    <w:p>
      <w:pPr>
        <w:spacing w:after="110" w:line="300"/>
        <w:ind w:left="340"/>
      </w:pPr>
      <w:r>
        <w:rPr>
          <w:rFonts w:ascii="Calibri" w:cs="Calibri" w:eastAsia="Calibri" w:hAnsi="Calibri"/>
          <w:color w:val="4a4a4a"/>
          <w:sz w:val="20"/>
          <w:szCs w:val="20"/>
        </w:rPr>
        <w:t xml:space="preserve">— assister, comme témoin et jamais comme invité d'honneur, à des moments ordinairement fermés.</w:t>
      </w:r>
    </w:p>
    <w:p>
      <w:pPr>
        <w:spacing w:after="150" w:line="300"/>
      </w:pPr>
      <w:r>
        <w:rPr>
          <w:rFonts w:ascii="Calibri" w:cs="Calibri" w:eastAsia="Calibri" w:hAnsi="Calibri"/>
          <w:b/>
          <w:bCs/>
          <w:color w:val="c8872f"/>
          <w:sz w:val="21"/>
          <w:szCs w:val="21"/>
        </w:rPr>
        <w:t xml:space="preserve">Art. 35. </w:t>
      </w:r>
      <w:r>
        <w:rPr>
          <w:rFonts w:ascii="Calibri" w:cs="Calibri" w:eastAsia="Calibri" w:hAnsi="Calibri"/>
          <w:b/>
          <w:bCs/>
          <w:color w:val="1f1f1f"/>
          <w:sz w:val="21"/>
          <w:szCs w:val="21"/>
        </w:rPr>
        <w:t xml:space="preserve">Aucun effet dans le cercle — </w:t>
      </w:r>
      <w:r>
        <w:rPr>
          <w:rFonts w:ascii="Calibri" w:cs="Calibri" w:eastAsia="Calibri" w:hAnsi="Calibri"/>
          <w:color w:val="4a4a4a"/>
          <w:sz w:val="21"/>
          <w:szCs w:val="21"/>
        </w:rPr>
        <w:t xml:space="preserve">La désignation n'ouvre aucun droit dans le cercle : ni réduction, ni préférence, ni chambre, ni préséance, ni voix. Le prix, la règle et les sanctions demeurent les mêmes pour tous.</w:t>
      </w:r>
    </w:p>
    <w:p>
      <w:pPr>
        <w:spacing w:after="150" w:line="300"/>
      </w:pPr>
      <w:r>
        <w:rPr>
          <w:rFonts w:ascii="Calibri" w:cs="Calibri" w:eastAsia="Calibri" w:hAnsi="Calibri"/>
          <w:b/>
          <w:bCs/>
          <w:color w:val="c8872f"/>
          <w:sz w:val="21"/>
          <w:szCs w:val="21"/>
        </w:rPr>
        <w:t xml:space="preserve">Art. 36. </w:t>
      </w:r>
      <w:r>
        <w:rPr>
          <w:rFonts w:ascii="Calibri" w:cs="Calibri" w:eastAsia="Calibri" w:hAnsi="Calibri"/>
          <w:b/>
          <w:bCs/>
          <w:color w:val="1f1f1f"/>
          <w:sz w:val="21"/>
          <w:szCs w:val="21"/>
        </w:rPr>
        <w:t xml:space="preserve">Ce qu'elle exige — </w:t>
      </w:r>
      <w:r>
        <w:rPr>
          <w:rFonts w:ascii="Calibri" w:cs="Calibri" w:eastAsia="Calibri" w:hAnsi="Calibri"/>
          <w:color w:val="4a4a4a"/>
          <w:sz w:val="21"/>
          <w:szCs w:val="21"/>
        </w:rPr>
        <w:t xml:space="preserve">Au-delà de la porte, celui qui en est se conforme à la règle de la maison voisine comme ceux qui y vivent : les heures, le silence, le travail des mains, l'absence d'argent et l'interdiction absolue de l'image. Ses obligations augmentent ; elles ne diminuent pas.</w:t>
      </w:r>
    </w:p>
    <w:p>
      <w:pPr>
        <w:spacing w:after="150" w:line="300"/>
      </w:pPr>
      <w:r>
        <w:rPr>
          <w:rFonts w:ascii="Calibri" w:cs="Calibri" w:eastAsia="Calibri" w:hAnsi="Calibri"/>
          <w:b/>
          <w:bCs/>
          <w:color w:val="c8872f"/>
          <w:sz w:val="21"/>
          <w:szCs w:val="21"/>
        </w:rPr>
        <w:t xml:space="preserve">Art. 37. </w:t>
      </w:r>
      <w:r>
        <w:rPr>
          <w:rFonts w:ascii="Calibri" w:cs="Calibri" w:eastAsia="Calibri" w:hAnsi="Calibri"/>
          <w:b/>
          <w:bCs/>
          <w:color w:val="1f1f1f"/>
          <w:sz w:val="21"/>
          <w:szCs w:val="21"/>
        </w:rPr>
        <w:t xml:space="preserve">Réciprocité — </w:t>
      </w:r>
      <w:r>
        <w:rPr>
          <w:rFonts w:ascii="Calibri" w:cs="Calibri" w:eastAsia="Calibri" w:hAnsi="Calibri"/>
          <w:color w:val="4a4a4a"/>
          <w:sz w:val="21"/>
          <w:szCs w:val="21"/>
        </w:rPr>
        <w:t xml:space="preserve">Celui qui en est peut être sollicité par la maison voisine — un conseil, une démarche, une intervention, une compétence. Il est libre de refuser, et son refus est sans conséquence. C'est à cela, et non à ce qu'il reçoit, que se reconnaît celui qui est des nôtres.</w:t>
      </w:r>
    </w:p>
    <w:p>
      <w:pPr>
        <w:spacing w:after="150" w:line="300"/>
      </w:pPr>
      <w:r>
        <w:rPr>
          <w:rFonts w:ascii="Calibri" w:cs="Calibri" w:eastAsia="Calibri" w:hAnsi="Calibri"/>
          <w:b/>
          <w:bCs/>
          <w:color w:val="c8872f"/>
          <w:sz w:val="21"/>
          <w:szCs w:val="21"/>
        </w:rPr>
        <w:t xml:space="preserve">Art. 38. </w:t>
      </w:r>
      <w:r>
        <w:rPr>
          <w:rFonts w:ascii="Calibri" w:cs="Calibri" w:eastAsia="Calibri" w:hAnsi="Calibri"/>
          <w:b/>
          <w:bCs/>
          <w:color w:val="1f1f1f"/>
          <w:sz w:val="21"/>
          <w:szCs w:val="21"/>
        </w:rPr>
        <w:t xml:space="preserve">Ce qu'elle ne confère jamais — </w:t>
      </w:r>
      <w:r>
        <w:rPr>
          <w:rFonts w:ascii="Calibri" w:cs="Calibri" w:eastAsia="Calibri" w:hAnsi="Calibri"/>
          <w:color w:val="4a4a4a"/>
          <w:sz w:val="21"/>
          <w:szCs w:val="21"/>
        </w:rPr>
        <w:t xml:space="preserve">La désignation ne confère jamais un signe du vêtement, un degré, un métier, une ijāza ni le droit de laisser une œuvre dans les murs. Ces choses attestent une formation vécue sous la règle de la maison, et elles demeurent à ceux qui l'ont vécue. Celui qui en est peut apprendre et bien faire ; il n'est pas attesté.</w:t>
      </w:r>
    </w:p>
    <w:p>
      <w:pPr>
        <w:pStyle w:val="Heading2"/>
        <w:spacing w:after="140" w:before="300"/>
      </w:pPr>
      <w:r>
        <w:rPr>
          <w:rFonts w:ascii="Calibri" w:cs="Calibri" w:eastAsia="Calibri" w:hAnsi="Calibri"/>
          <w:b/>
          <w:bCs/>
          <w:color w:val="1f1f1f"/>
          <w:sz w:val="23"/>
          <w:szCs w:val="23"/>
        </w:rPr>
        <w:t xml:space="preserve">8. Ce que la table peut défaire</w:t>
      </w:r>
    </w:p>
    <w:p>
      <w:pPr>
        <w:spacing w:after="140" w:line="300"/>
      </w:pPr>
      <w:r>
        <w:rPr>
          <w:rFonts w:ascii="Calibri" w:cs="Calibri" w:eastAsia="Calibri" w:hAnsi="Calibri"/>
          <w:i/>
          <w:iCs/>
          <w:color w:val="4a4a4a"/>
          <w:sz w:val="19"/>
          <w:szCs w:val="19"/>
        </w:rPr>
        <w:t xml:space="preserve">Cette section donne à la table de la maison voisine le pouvoir d'écarter la règle pour un homme qu'elle a fait sien. Elle en fixe aussi les bornes, sans lesquelles le présent règlement ne serait qu'une liste de souhaits.</w:t>
      </w:r>
    </w:p>
    <w:p>
      <w:pPr>
        <w:spacing w:after="150" w:line="300"/>
      </w:pPr>
      <w:r>
        <w:rPr>
          <w:rFonts w:ascii="Calibri" w:cs="Calibri" w:eastAsia="Calibri" w:hAnsi="Calibri"/>
          <w:b/>
          <w:bCs/>
          <w:color w:val="c8872f"/>
          <w:sz w:val="21"/>
          <w:szCs w:val="21"/>
        </w:rPr>
        <w:t xml:space="preserve">Art. 39. </w:t>
      </w:r>
      <w:r>
        <w:rPr>
          <w:rFonts w:ascii="Calibri" w:cs="Calibri" w:eastAsia="Calibri" w:hAnsi="Calibri"/>
          <w:b/>
          <w:bCs/>
          <w:color w:val="1f1f1f"/>
          <w:sz w:val="21"/>
          <w:szCs w:val="21"/>
        </w:rPr>
        <w:t xml:space="preserve">Principe — </w:t>
      </w:r>
      <w:r>
        <w:rPr>
          <w:rFonts w:ascii="Calibri" w:cs="Calibri" w:eastAsia="Calibri" w:hAnsi="Calibri"/>
          <w:color w:val="4a4a4a"/>
          <w:sz w:val="21"/>
          <w:szCs w:val="21"/>
        </w:rPr>
        <w:t xml:space="preserve">La table peut écarter l'application d'une règle du présent règlement en faveur d'un membre qu'elle a fait sien. Ce pouvoir lui appartient en propre. Il ne se demande pas, ne se négocie pas et ne se motive pas.</w:t>
      </w:r>
    </w:p>
    <w:p>
      <w:pPr>
        <w:spacing w:after="150" w:line="300"/>
      </w:pPr>
      <w:r>
        <w:rPr>
          <w:rFonts w:ascii="Calibri" w:cs="Calibri" w:eastAsia="Calibri" w:hAnsi="Calibri"/>
          <w:b/>
          <w:bCs/>
          <w:color w:val="c8872f"/>
          <w:sz w:val="21"/>
          <w:szCs w:val="21"/>
        </w:rPr>
        <w:t xml:space="preserve">Art. 40. </w:t>
      </w:r>
      <w:r>
        <w:rPr>
          <w:rFonts w:ascii="Calibri" w:cs="Calibri" w:eastAsia="Calibri" w:hAnsi="Calibri"/>
          <w:b/>
          <w:bCs/>
          <w:color w:val="1f1f1f"/>
          <w:sz w:val="21"/>
          <w:szCs w:val="21"/>
        </w:rPr>
        <w:t xml:space="preserve">Au-delà de la porte — </w:t>
      </w:r>
      <w:r>
        <w:rPr>
          <w:rFonts w:ascii="Calibri" w:cs="Calibri" w:eastAsia="Calibri" w:hAnsi="Calibri"/>
          <w:color w:val="4a4a4a"/>
          <w:sz w:val="21"/>
          <w:szCs w:val="21"/>
        </w:rPr>
        <w:t xml:space="preserve">Sur ce qui relève de la maison voisine — le temps qu'il y passe, les lieux où il entre, les heures, les travaux qu'il partage, la présence à ce qui est ordinairement fermé — la table décide sans limite, sans liste et sans plafond, y compris pour ce que le présent règlement n'a pas prévu. L'énumération de la section 7 n'est pas restrictive.</w:t>
      </w:r>
    </w:p>
    <w:p>
      <w:pPr>
        <w:spacing w:after="150" w:line="300"/>
      </w:pPr>
      <w:r>
        <w:rPr>
          <w:rFonts w:ascii="Calibri" w:cs="Calibri" w:eastAsia="Calibri" w:hAnsi="Calibri"/>
          <w:b/>
          <w:bCs/>
          <w:color w:val="c8872f"/>
          <w:sz w:val="21"/>
          <w:szCs w:val="21"/>
        </w:rPr>
        <w:t xml:space="preserve">Art. 41. </w:t>
      </w:r>
      <w:r>
        <w:rPr>
          <w:rFonts w:ascii="Calibri" w:cs="Calibri" w:eastAsia="Calibri" w:hAnsi="Calibri"/>
          <w:b/>
          <w:bCs/>
          <w:color w:val="1f1f1f"/>
          <w:sz w:val="21"/>
          <w:szCs w:val="21"/>
        </w:rPr>
        <w:t xml:space="preserve">La durée — </w:t>
      </w:r>
      <w:r>
        <w:rPr>
          <w:rFonts w:ascii="Calibri" w:cs="Calibri" w:eastAsia="Calibri" w:hAnsi="Calibri"/>
          <w:color w:val="4a4a4a"/>
          <w:sz w:val="21"/>
          <w:szCs w:val="21"/>
        </w:rPr>
        <w:t xml:space="preserve">La table peut prolonger le séjour d'un membre au-delà des quinze nuits, sans terme fixé.</w:t>
      </w:r>
    </w:p>
    <w:p>
      <w:pPr>
        <w:spacing w:after="150" w:line="300"/>
      </w:pPr>
      <w:r>
        <w:rPr>
          <w:rFonts w:ascii="Calibri" w:cs="Calibri" w:eastAsia="Calibri" w:hAnsi="Calibri"/>
          <w:b/>
          <w:bCs/>
          <w:color w:val="c8872f"/>
          <w:sz w:val="21"/>
          <w:szCs w:val="21"/>
        </w:rPr>
        <w:t xml:space="preserve">Art. 42. </w:t>
      </w:r>
      <w:r>
        <w:rPr>
          <w:rFonts w:ascii="Calibri" w:cs="Calibri" w:eastAsia="Calibri" w:hAnsi="Calibri"/>
          <w:b/>
          <w:bCs/>
          <w:color w:val="1f1f1f"/>
          <w:sz w:val="21"/>
          <w:szCs w:val="21"/>
        </w:rPr>
        <w:t xml:space="preserve">Les autres règles — </w:t>
      </w:r>
      <w:r>
        <w:rPr>
          <w:rFonts w:ascii="Calibri" w:cs="Calibri" w:eastAsia="Calibri" w:hAnsi="Calibri"/>
          <w:color w:val="4a4a4a"/>
          <w:sz w:val="21"/>
          <w:szCs w:val="21"/>
        </w:rPr>
        <w:t xml:space="preserve">Pour toute autre disposition du présent règlement, la table saisit le conseil de la maison, qui décide seul. Un refus n'est pas motivé. La table n'a pas à connaître des affaires du cercle, et le cercle n'a pas à connaître de ce que la table accorde chez elle.</w:t>
      </w:r>
    </w:p>
    <w:p>
      <w:pPr>
        <w:spacing w:after="150" w:line="300"/>
      </w:pPr>
      <w:r>
        <w:rPr>
          <w:rFonts w:ascii="Calibri" w:cs="Calibri" w:eastAsia="Calibri" w:hAnsi="Calibri"/>
          <w:b/>
          <w:bCs/>
          <w:color w:val="c8872f"/>
          <w:sz w:val="21"/>
          <w:szCs w:val="21"/>
        </w:rPr>
        <w:t xml:space="preserve">Art. 43. </w:t>
      </w:r>
      <w:r>
        <w:rPr>
          <w:rFonts w:ascii="Calibri" w:cs="Calibri" w:eastAsia="Calibri" w:hAnsi="Calibri"/>
          <w:b/>
          <w:bCs/>
          <w:color w:val="1f1f1f"/>
          <w:sz w:val="21"/>
          <w:szCs w:val="21"/>
        </w:rPr>
        <w:t xml:space="preserve">Le noyau — </w:t>
      </w:r>
      <w:r>
        <w:rPr>
          <w:rFonts w:ascii="Calibri" w:cs="Calibri" w:eastAsia="Calibri" w:hAnsi="Calibri"/>
          <w:color w:val="4a4a4a"/>
          <w:sz w:val="21"/>
          <w:szCs w:val="21"/>
        </w:rPr>
        <w:t xml:space="preserve">Ne peuvent être écartés, par la table, par le conseil ni par personne, en aucune circonstance et pour aucun homme :</w:t>
      </w:r>
    </w:p>
    <w:p>
      <w:pPr>
        <w:spacing w:after="110" w:line="300"/>
        <w:ind w:left="340"/>
      </w:pPr>
      <w:r>
        <w:rPr>
          <w:rFonts w:ascii="Calibri" w:cs="Calibri" w:eastAsia="Calibri" w:hAnsi="Calibri"/>
          <w:color w:val="4a4a4a"/>
          <w:sz w:val="20"/>
          <w:szCs w:val="20"/>
        </w:rPr>
        <w:t xml:space="preserve">— l'interdiction de l'alcool (art. 74) ;</w:t>
      </w:r>
    </w:p>
    <w:p>
      <w:pPr>
        <w:spacing w:after="110" w:line="300"/>
        <w:ind w:left="340"/>
      </w:pPr>
      <w:r>
        <w:rPr>
          <w:rFonts w:ascii="Calibri" w:cs="Calibri" w:eastAsia="Calibri" w:hAnsi="Calibri"/>
          <w:color w:val="4a4a4a"/>
          <w:sz w:val="20"/>
          <w:szCs w:val="20"/>
        </w:rPr>
        <w:t xml:space="preserve">— les personnes dont la présence est exclue (art. 75) ;</w:t>
      </w:r>
    </w:p>
    <w:p>
      <w:pPr>
        <w:spacing w:after="110" w:line="300"/>
        <w:ind w:left="340"/>
      </w:pPr>
      <w:r>
        <w:rPr>
          <w:rFonts w:ascii="Calibri" w:cs="Calibri" w:eastAsia="Calibri" w:hAnsi="Calibri"/>
          <w:color w:val="4a4a4a"/>
          <w:sz w:val="20"/>
          <w:szCs w:val="20"/>
        </w:rPr>
        <w:t xml:space="preserve">— l'interdiction de l'image, de la publication et de la presse (section 11) ;</w:t>
      </w:r>
    </w:p>
    <w:p>
      <w:pPr>
        <w:spacing w:after="110" w:line="300"/>
        <w:ind w:left="340"/>
      </w:pPr>
      <w:r>
        <w:rPr>
          <w:rFonts w:ascii="Calibri" w:cs="Calibri" w:eastAsia="Calibri" w:hAnsi="Calibri"/>
          <w:color w:val="4a4a4a"/>
          <w:sz w:val="20"/>
          <w:szCs w:val="20"/>
        </w:rPr>
        <w:t xml:space="preserve">— l'interdiction de traiter des affaires (art. 67) ;</w:t>
      </w:r>
    </w:p>
    <w:p>
      <w:pPr>
        <w:spacing w:after="110" w:line="300"/>
        <w:ind w:left="340"/>
      </w:pPr>
      <w:r>
        <w:rPr>
          <w:rFonts w:ascii="Calibri" w:cs="Calibri" w:eastAsia="Calibri" w:hAnsi="Calibri"/>
          <w:color w:val="4a4a4a"/>
          <w:sz w:val="20"/>
          <w:szCs w:val="20"/>
        </w:rPr>
        <w:t xml:space="preserve">— l'interdiction de porter un signe du vêtement de la maison voisine (art. 66) ;</w:t>
      </w:r>
    </w:p>
    <w:p>
      <w:pPr>
        <w:spacing w:after="110" w:line="300"/>
        <w:ind w:left="340"/>
      </w:pPr>
      <w:r>
        <w:rPr>
          <w:rFonts w:ascii="Calibri" w:cs="Calibri" w:eastAsia="Calibri" w:hAnsi="Calibri"/>
          <w:color w:val="4a4a4a"/>
          <w:sz w:val="20"/>
          <w:szCs w:val="20"/>
        </w:rPr>
        <w:t xml:space="preserve">— l'incessibilité de la place (art. 10) ;</w:t>
      </w:r>
    </w:p>
    <w:p>
      <w:pPr>
        <w:spacing w:after="110" w:line="300"/>
        <w:ind w:left="340"/>
      </w:pPr>
      <w:r>
        <w:rPr>
          <w:rFonts w:ascii="Calibri" w:cs="Calibri" w:eastAsia="Calibri" w:hAnsi="Calibri"/>
          <w:color w:val="4a4a4a"/>
          <w:sz w:val="20"/>
          <w:szCs w:val="20"/>
        </w:rPr>
        <w:t xml:space="preserve">— l'anonymat de l'apprenti (art. 87) ;</w:t>
      </w:r>
    </w:p>
    <w:p>
      <w:pPr>
        <w:spacing w:after="110" w:line="300"/>
        <w:ind w:left="340"/>
      </w:pPr>
      <w:r>
        <w:rPr>
          <w:rFonts w:ascii="Calibri" w:cs="Calibri" w:eastAsia="Calibri" w:hAnsi="Calibri"/>
          <w:color w:val="4a4a4a"/>
          <w:sz w:val="20"/>
          <w:szCs w:val="20"/>
        </w:rPr>
        <w:t xml:space="preserve">— l'impossibilité d'obtenir quoi que ce soit par un versement (art. 30) ;</w:t>
      </w:r>
    </w:p>
    <w:p>
      <w:pPr>
        <w:spacing w:after="110" w:line="300"/>
        <w:ind w:left="340"/>
      </w:pPr>
      <w:r>
        <w:rPr>
          <w:rFonts w:ascii="Calibri" w:cs="Calibri" w:eastAsia="Calibri" w:hAnsi="Calibri"/>
          <w:color w:val="4a4a4a"/>
          <w:sz w:val="20"/>
          <w:szCs w:val="20"/>
        </w:rPr>
        <w:t xml:space="preserve">— le paiement de la cotisation (art. 15).</w:t>
      </w:r>
    </w:p>
    <w:p>
      <w:pPr>
        <w:spacing w:after="150" w:line="300"/>
      </w:pPr>
      <w:r>
        <w:rPr>
          <w:rFonts w:ascii="Calibri" w:cs="Calibri" w:eastAsia="Calibri" w:hAnsi="Calibri"/>
          <w:b/>
          <w:bCs/>
          <w:color w:val="c8872f"/>
          <w:sz w:val="21"/>
          <w:szCs w:val="21"/>
        </w:rPr>
        <w:t xml:space="preserve">Art. 44. </w:t>
      </w:r>
      <w:r>
        <w:rPr>
          <w:rFonts w:ascii="Calibri" w:cs="Calibri" w:eastAsia="Calibri" w:hAnsi="Calibri"/>
          <w:b/>
          <w:bCs/>
          <w:color w:val="1f1f1f"/>
          <w:sz w:val="21"/>
          <w:szCs w:val="21"/>
        </w:rPr>
        <w:t xml:space="preserve">Rien ne se demande — </w:t>
      </w:r>
      <w:r>
        <w:rPr>
          <w:rFonts w:ascii="Calibri" w:cs="Calibri" w:eastAsia="Calibri" w:hAnsi="Calibri"/>
          <w:color w:val="4a4a4a"/>
          <w:sz w:val="21"/>
          <w:szCs w:val="21"/>
        </w:rPr>
        <w:t xml:space="preserve">Le membre qui sollicite une dérogation, la fait solliciter par un tiers ou s'en prévaut la perd, et perd avec elle la qualité qui la rendait possible.</w:t>
      </w:r>
    </w:p>
    <w:p>
      <w:pPr>
        <w:spacing w:after="150" w:line="300"/>
      </w:pPr>
      <w:r>
        <w:rPr>
          <w:rFonts w:ascii="Calibri" w:cs="Calibri" w:eastAsia="Calibri" w:hAnsi="Calibri"/>
          <w:b/>
          <w:bCs/>
          <w:color w:val="c8872f"/>
          <w:sz w:val="21"/>
          <w:szCs w:val="21"/>
        </w:rPr>
        <w:t xml:space="preserve">Art. 45. </w:t>
      </w:r>
      <w:r>
        <w:rPr>
          <w:rFonts w:ascii="Calibri" w:cs="Calibri" w:eastAsia="Calibri" w:hAnsi="Calibri"/>
          <w:b/>
          <w:bCs/>
          <w:color w:val="1f1f1f"/>
          <w:sz w:val="21"/>
          <w:szCs w:val="21"/>
        </w:rPr>
        <w:t xml:space="preserve">Aucun précédent — </w:t>
      </w:r>
      <w:r>
        <w:rPr>
          <w:rFonts w:ascii="Calibri" w:cs="Calibri" w:eastAsia="Calibri" w:hAnsi="Calibri"/>
          <w:color w:val="4a4a4a"/>
          <w:sz w:val="21"/>
          <w:szCs w:val="21"/>
        </w:rPr>
        <w:t xml:space="preserve">Une dérogation vaut pour un homme et pour une fois. Elle n'est pas annoncée, n'est pas inscrite au rôle, et ne peut être invoquée comme précédent par quiconque, y compris par celui qui l'a obtenue.</w:t>
      </w:r>
    </w:p>
    <w:p>
      <w:pPr>
        <w:spacing w:after="150" w:line="300"/>
      </w:pPr>
      <w:r>
        <w:rPr>
          <w:rFonts w:ascii="Calibri" w:cs="Calibri" w:eastAsia="Calibri" w:hAnsi="Calibri"/>
          <w:b/>
          <w:bCs/>
          <w:color w:val="c8872f"/>
          <w:sz w:val="21"/>
          <w:szCs w:val="21"/>
        </w:rPr>
        <w:t xml:space="preserve">Art. 46. </w:t>
      </w:r>
      <w:r>
        <w:rPr>
          <w:rFonts w:ascii="Calibri" w:cs="Calibri" w:eastAsia="Calibri" w:hAnsi="Calibri"/>
          <w:b/>
          <w:bCs/>
          <w:color w:val="1f1f1f"/>
          <w:sz w:val="21"/>
          <w:szCs w:val="21"/>
        </w:rPr>
        <w:t xml:space="preserve">Révocation — </w:t>
      </w:r>
      <w:r>
        <w:rPr>
          <w:rFonts w:ascii="Calibri" w:cs="Calibri" w:eastAsia="Calibri" w:hAnsi="Calibri"/>
          <w:color w:val="4a4a4a"/>
          <w:sz w:val="21"/>
          <w:szCs w:val="21"/>
        </w:rPr>
        <w:t xml:space="preserve">Ce que la table a accordé, elle le retire quand elle veut, sans motif et sans préavis. Celui qui a reçu davantage et s'en est montré indigne perd davantage.</w:t>
      </w:r>
    </w:p>
    <w:p>
      <w:pPr>
        <w:pStyle w:val="Heading2"/>
        <w:spacing w:after="140" w:before="300"/>
      </w:pPr>
      <w:r>
        <w:rPr>
          <w:rFonts w:ascii="Calibri" w:cs="Calibri" w:eastAsia="Calibri" w:hAnsi="Calibri"/>
          <w:b/>
          <w:bCs/>
          <w:color w:val="1f1f1f"/>
          <w:sz w:val="23"/>
          <w:szCs w:val="23"/>
        </w:rPr>
        <w:t xml:space="preserve">9. Le rythme</w:t>
      </w:r>
    </w:p>
    <w:p>
      <w:pPr>
        <w:spacing w:after="150" w:line="300"/>
      </w:pPr>
      <w:r>
        <w:rPr>
          <w:rFonts w:ascii="Calibri" w:cs="Calibri" w:eastAsia="Calibri" w:hAnsi="Calibri"/>
          <w:b/>
          <w:bCs/>
          <w:color w:val="c8872f"/>
          <w:sz w:val="21"/>
          <w:szCs w:val="21"/>
        </w:rPr>
        <w:t xml:space="preserve">Art. 47. </w:t>
      </w:r>
      <w:r>
        <w:rPr>
          <w:rFonts w:ascii="Calibri" w:cs="Calibri" w:eastAsia="Calibri" w:hAnsi="Calibri"/>
          <w:b/>
          <w:bCs/>
          <w:color w:val="1f1f1f"/>
          <w:sz w:val="21"/>
          <w:szCs w:val="21"/>
        </w:rPr>
        <w:t xml:space="preserve">Les heures — </w:t>
      </w:r>
      <w:r>
        <w:rPr>
          <w:rFonts w:ascii="Calibri" w:cs="Calibri" w:eastAsia="Calibri" w:hAnsi="Calibri"/>
          <w:color w:val="4a4a4a"/>
          <w:sz w:val="21"/>
          <w:szCs w:val="21"/>
        </w:rPr>
        <w:t xml:space="preserve">La journée suit le rythme des cinq appels. Aucun membre n'est tenu de prier ; chacun est tenu de se taire pendant ces temps et de suspendre toute conversation, tout appel et tout travail dans les espaces communs.</w:t>
      </w:r>
    </w:p>
    <w:p>
      <w:pPr>
        <w:spacing w:after="150" w:line="300"/>
      </w:pPr>
      <w:r>
        <w:rPr>
          <w:rFonts w:ascii="Calibri" w:cs="Calibri" w:eastAsia="Calibri" w:hAnsi="Calibri"/>
          <w:b/>
          <w:bCs/>
          <w:color w:val="c8872f"/>
          <w:sz w:val="21"/>
          <w:szCs w:val="21"/>
        </w:rPr>
        <w:t xml:space="preserve">Art. 48. </w:t>
      </w:r>
      <w:r>
        <w:rPr>
          <w:rFonts w:ascii="Calibri" w:cs="Calibri" w:eastAsia="Calibri" w:hAnsi="Calibri"/>
          <w:b/>
          <w:bCs/>
          <w:color w:val="1f1f1f"/>
          <w:sz w:val="21"/>
          <w:szCs w:val="21"/>
        </w:rPr>
        <w:t xml:space="preserve">Le silence de la nuit — </w:t>
      </w:r>
      <w:r>
        <w:rPr>
          <w:rFonts w:ascii="Calibri" w:cs="Calibri" w:eastAsia="Calibri" w:hAnsi="Calibri"/>
          <w:color w:val="4a4a4a"/>
          <w:sz w:val="21"/>
          <w:szCs w:val="21"/>
        </w:rPr>
        <w:t xml:space="preserve">De l'ʿishāʾ au fajr, la maison est silencieuse. Cette règle ne souffre pas d'exception, y compris dans les chambres et les cours.</w:t>
      </w:r>
    </w:p>
    <w:p>
      <w:pPr>
        <w:spacing w:after="150" w:line="300"/>
      </w:pPr>
      <w:r>
        <w:rPr>
          <w:rFonts w:ascii="Calibri" w:cs="Calibri" w:eastAsia="Calibri" w:hAnsi="Calibri"/>
          <w:b/>
          <w:bCs/>
          <w:color w:val="c8872f"/>
          <w:sz w:val="21"/>
          <w:szCs w:val="21"/>
        </w:rPr>
        <w:t xml:space="preserve">Art. 49. </w:t>
      </w:r>
      <w:r>
        <w:rPr>
          <w:rFonts w:ascii="Calibri" w:cs="Calibri" w:eastAsia="Calibri" w:hAnsi="Calibri"/>
          <w:b/>
          <w:bCs/>
          <w:color w:val="1f1f1f"/>
          <w:sz w:val="21"/>
          <w:szCs w:val="21"/>
        </w:rPr>
        <w:t xml:space="preserve">La table — </w:t>
      </w:r>
      <w:r>
        <w:rPr>
          <w:rFonts w:ascii="Calibri" w:cs="Calibri" w:eastAsia="Calibri" w:hAnsi="Calibri"/>
          <w:color w:val="4a4a4a"/>
          <w:sz w:val="21"/>
          <w:szCs w:val="21"/>
        </w:rPr>
        <w:t xml:space="preserve">La table est unique, le menu est unique, sans choix ni substitution, sous réserve des nécessités médicales signalées à l'avance. Les repas se prennent aux heures de la maison.</w:t>
      </w:r>
    </w:p>
    <w:p>
      <w:pPr>
        <w:spacing w:after="150" w:line="300"/>
      </w:pPr>
      <w:r>
        <w:rPr>
          <w:rFonts w:ascii="Calibri" w:cs="Calibri" w:eastAsia="Calibri" w:hAnsi="Calibri"/>
          <w:b/>
          <w:bCs/>
          <w:color w:val="c8872f"/>
          <w:sz w:val="21"/>
          <w:szCs w:val="21"/>
        </w:rPr>
        <w:t xml:space="preserve">Art. 50. </w:t>
      </w:r>
      <w:r>
        <w:rPr>
          <w:rFonts w:ascii="Calibri" w:cs="Calibri" w:eastAsia="Calibri" w:hAnsi="Calibri"/>
          <w:b/>
          <w:bCs/>
          <w:color w:val="1f1f1f"/>
          <w:sz w:val="21"/>
          <w:szCs w:val="21"/>
        </w:rPr>
        <w:t xml:space="preserve">Durée du séjour — </w:t>
      </w:r>
      <w:r>
        <w:rPr>
          <w:rFonts w:ascii="Calibri" w:cs="Calibri" w:eastAsia="Calibri" w:hAnsi="Calibri"/>
          <w:color w:val="4a4a4a"/>
          <w:sz w:val="21"/>
          <w:szCs w:val="21"/>
        </w:rPr>
        <w:t xml:space="preserve">Le séjour est de trois nuits au moins et de quinze nuits au plus par venue. Au-delà de quinze nuits, la maison s'entretient avec le membre.</w:t>
      </w:r>
    </w:p>
    <w:p>
      <w:pPr>
        <w:spacing w:after="150" w:line="300"/>
      </w:pPr>
      <w:r>
        <w:rPr>
          <w:rFonts w:ascii="Calibri" w:cs="Calibri" w:eastAsia="Calibri" w:hAnsi="Calibri"/>
          <w:b/>
          <w:bCs/>
          <w:color w:val="c8872f"/>
          <w:sz w:val="21"/>
          <w:szCs w:val="21"/>
        </w:rPr>
        <w:t xml:space="preserve">Art. 51. </w:t>
      </w:r>
      <w:r>
        <w:rPr>
          <w:rFonts w:ascii="Calibri" w:cs="Calibri" w:eastAsia="Calibri" w:hAnsi="Calibri"/>
          <w:b/>
          <w:bCs/>
          <w:color w:val="1f1f1f"/>
          <w:sz w:val="21"/>
          <w:szCs w:val="21"/>
        </w:rPr>
        <w:t xml:space="preserve">Usage exclusif — </w:t>
      </w:r>
      <w:r>
        <w:rPr>
          <w:rFonts w:ascii="Calibri" w:cs="Calibri" w:eastAsia="Calibri" w:hAnsi="Calibri"/>
          <w:color w:val="4a4a4a"/>
          <w:sz w:val="21"/>
          <w:szCs w:val="21"/>
        </w:rPr>
        <w:t xml:space="preserve">L'usage exclusif de la maison entière peut être accordé sur demande, selon disponibilité, aux conditions communiquées lors de l'admission.</w:t>
      </w:r>
    </w:p>
    <w:p>
      <w:pPr>
        <w:pStyle w:val="Heading2"/>
        <w:spacing w:after="140" w:before="300"/>
      </w:pPr>
      <w:r>
        <w:rPr>
          <w:rFonts w:ascii="Calibri" w:cs="Calibri" w:eastAsia="Calibri" w:hAnsi="Calibri"/>
          <w:b/>
          <w:bCs/>
          <w:color w:val="1f1f1f"/>
          <w:sz w:val="23"/>
          <w:szCs w:val="23"/>
        </w:rPr>
        <w:t xml:space="preserve">10. Le coffret</w:t>
      </w:r>
    </w:p>
    <w:p>
      <w:pPr>
        <w:spacing w:after="150" w:line="300"/>
      </w:pPr>
      <w:r>
        <w:rPr>
          <w:rFonts w:ascii="Calibri" w:cs="Calibri" w:eastAsia="Calibri" w:hAnsi="Calibri"/>
          <w:b/>
          <w:bCs/>
          <w:color w:val="c8872f"/>
          <w:sz w:val="21"/>
          <w:szCs w:val="21"/>
        </w:rPr>
        <w:t xml:space="preserve">Art. 52. </w:t>
      </w:r>
      <w:r>
        <w:rPr>
          <w:rFonts w:ascii="Calibri" w:cs="Calibri" w:eastAsia="Calibri" w:hAnsi="Calibri"/>
          <w:b/>
          <w:bCs/>
          <w:color w:val="1f1f1f"/>
          <w:sz w:val="21"/>
          <w:szCs w:val="21"/>
        </w:rPr>
        <w:t xml:space="preserve">Le dépôt — </w:t>
      </w:r>
      <w:r>
        <w:rPr>
          <w:rFonts w:ascii="Calibri" w:cs="Calibri" w:eastAsia="Calibri" w:hAnsi="Calibri"/>
          <w:color w:val="4a4a4a"/>
          <w:sz w:val="21"/>
          <w:szCs w:val="21"/>
        </w:rPr>
        <w:t xml:space="preserve">Il est proposé au membre, à son arrivée, de déposer son téléphone. Le dépôt est libre et n'est jamais demandé deux fois.</w:t>
      </w:r>
    </w:p>
    <w:p>
      <w:pPr>
        <w:spacing w:after="150" w:line="300"/>
      </w:pPr>
      <w:r>
        <w:rPr>
          <w:rFonts w:ascii="Calibri" w:cs="Calibri" w:eastAsia="Calibri" w:hAnsi="Calibri"/>
          <w:b/>
          <w:bCs/>
          <w:color w:val="c8872f"/>
          <w:sz w:val="21"/>
          <w:szCs w:val="21"/>
        </w:rPr>
        <w:t xml:space="preserve">Art. 53. </w:t>
      </w:r>
      <w:r>
        <w:rPr>
          <w:rFonts w:ascii="Calibri" w:cs="Calibri" w:eastAsia="Calibri" w:hAnsi="Calibri"/>
          <w:b/>
          <w:bCs/>
          <w:color w:val="1f1f1f"/>
          <w:sz w:val="21"/>
          <w:szCs w:val="21"/>
        </w:rPr>
        <w:t xml:space="preserve">La garde — </w:t>
      </w:r>
      <w:r>
        <w:rPr>
          <w:rFonts w:ascii="Calibri" w:cs="Calibri" w:eastAsia="Calibri" w:hAnsi="Calibri"/>
          <w:color w:val="4a4a4a"/>
          <w:sz w:val="21"/>
          <w:szCs w:val="21"/>
        </w:rPr>
        <w:t xml:space="preserve">Ce qui est déposé est enfermé dans un coffret confié à un homme de la maison voisine. Il ne s'agit pas d'un vestiaire mais d'un dépôt tenu en confiance. L'objet est rendu à qui le demande, sans commentaire et sans question, autant de fois qu'il le demande.</w:t>
      </w:r>
    </w:p>
    <w:p>
      <w:pPr>
        <w:spacing w:after="150" w:line="300"/>
      </w:pPr>
      <w:r>
        <w:rPr>
          <w:rFonts w:ascii="Calibri" w:cs="Calibri" w:eastAsia="Calibri" w:hAnsi="Calibri"/>
          <w:b/>
          <w:bCs/>
          <w:color w:val="c8872f"/>
          <w:sz w:val="21"/>
          <w:szCs w:val="21"/>
        </w:rPr>
        <w:t xml:space="preserve">Art. 54. </w:t>
      </w:r>
      <w:r>
        <w:rPr>
          <w:rFonts w:ascii="Calibri" w:cs="Calibri" w:eastAsia="Calibri" w:hAnsi="Calibri"/>
          <w:b/>
          <w:bCs/>
          <w:color w:val="1f1f1f"/>
          <w:sz w:val="21"/>
          <w:szCs w:val="21"/>
        </w:rPr>
        <w:t xml:space="preserve">Liberté — </w:t>
      </w:r>
      <w:r>
        <w:rPr>
          <w:rFonts w:ascii="Calibri" w:cs="Calibri" w:eastAsia="Calibri" w:hAnsi="Calibri"/>
          <w:color w:val="4a4a4a"/>
          <w:sz w:val="21"/>
          <w:szCs w:val="21"/>
        </w:rPr>
        <w:t xml:space="preserve">Le membre qui conserve son téléphone n'a pas à s'en expliquer et n'en est pas tenu rigueur. Les appels et le travail se font dans le cabinet prévu à cet effet, jamais dans les cours, au jardin, au hammam ni à table.</w:t>
      </w:r>
    </w:p>
    <w:p>
      <w:pPr>
        <w:spacing w:after="150" w:line="300"/>
      </w:pPr>
      <w:r>
        <w:rPr>
          <w:rFonts w:ascii="Calibri" w:cs="Calibri" w:eastAsia="Calibri" w:hAnsi="Calibri"/>
          <w:b/>
          <w:bCs/>
          <w:color w:val="c8872f"/>
          <w:sz w:val="21"/>
          <w:szCs w:val="21"/>
        </w:rPr>
        <w:t xml:space="preserve">Art. 55. </w:t>
      </w:r>
      <w:r>
        <w:rPr>
          <w:rFonts w:ascii="Calibri" w:cs="Calibri" w:eastAsia="Calibri" w:hAnsi="Calibri"/>
          <w:b/>
          <w:bCs/>
          <w:color w:val="1f1f1f"/>
          <w:sz w:val="21"/>
          <w:szCs w:val="21"/>
        </w:rPr>
        <w:t xml:space="preserve">Les écrans — </w:t>
      </w:r>
      <w:r>
        <w:rPr>
          <w:rFonts w:ascii="Calibri" w:cs="Calibri" w:eastAsia="Calibri" w:hAnsi="Calibri"/>
          <w:color w:val="4a4a4a"/>
          <w:sz w:val="21"/>
          <w:szCs w:val="21"/>
        </w:rPr>
        <w:t xml:space="preserve">Aucun écran n'est installé dans les espaces communs. Le réseau n'est accessible que depuis le cabinet de travail.</w:t>
      </w:r>
    </w:p>
    <w:p>
      <w:pPr>
        <w:pStyle w:val="Heading2"/>
        <w:spacing w:after="140" w:before="300"/>
      </w:pPr>
      <w:r>
        <w:rPr>
          <w:rFonts w:ascii="Calibri" w:cs="Calibri" w:eastAsia="Calibri" w:hAnsi="Calibri"/>
          <w:b/>
          <w:bCs/>
          <w:color w:val="1f1f1f"/>
          <w:sz w:val="23"/>
          <w:szCs w:val="23"/>
        </w:rPr>
        <w:t xml:space="preserve">11. La discrétion</w:t>
      </w:r>
    </w:p>
    <w:p>
      <w:pPr>
        <w:spacing w:after="150" w:line="300"/>
      </w:pPr>
      <w:r>
        <w:rPr>
          <w:rFonts w:ascii="Calibri" w:cs="Calibri" w:eastAsia="Calibri" w:hAnsi="Calibri"/>
          <w:b/>
          <w:bCs/>
          <w:color w:val="c8872f"/>
          <w:sz w:val="21"/>
          <w:szCs w:val="21"/>
        </w:rPr>
        <w:t xml:space="preserve">Art. 56. </w:t>
      </w:r>
      <w:r>
        <w:rPr>
          <w:rFonts w:ascii="Calibri" w:cs="Calibri" w:eastAsia="Calibri" w:hAnsi="Calibri"/>
          <w:b/>
          <w:bCs/>
          <w:color w:val="1f1f1f"/>
          <w:sz w:val="21"/>
          <w:szCs w:val="21"/>
        </w:rPr>
        <w:t xml:space="preserve">Principe — </w:t>
      </w:r>
      <w:r>
        <w:rPr>
          <w:rFonts w:ascii="Calibri" w:cs="Calibri" w:eastAsia="Calibri" w:hAnsi="Calibri"/>
          <w:color w:val="4a4a4a"/>
          <w:sz w:val="21"/>
          <w:szCs w:val="21"/>
        </w:rPr>
        <w:t xml:space="preserve">Ce qui est vu et entendu dans la maison ne se rapporte pas au-dehors : ni le nom d'un membre, ni la présence d'un hôte, ni ce qui se dit à table, ni les fermetures de la maison et leurs raisons supposées.</w:t>
      </w:r>
    </w:p>
    <w:p>
      <w:pPr>
        <w:spacing w:after="150" w:line="300"/>
      </w:pPr>
      <w:r>
        <w:rPr>
          <w:rFonts w:ascii="Calibri" w:cs="Calibri" w:eastAsia="Calibri" w:hAnsi="Calibri"/>
          <w:b/>
          <w:bCs/>
          <w:color w:val="c8872f"/>
          <w:sz w:val="21"/>
          <w:szCs w:val="21"/>
        </w:rPr>
        <w:t xml:space="preserve">Art. 57. </w:t>
      </w:r>
      <w:r>
        <w:rPr>
          <w:rFonts w:ascii="Calibri" w:cs="Calibri" w:eastAsia="Calibri" w:hAnsi="Calibri"/>
          <w:b/>
          <w:bCs/>
          <w:color w:val="1f1f1f"/>
          <w:sz w:val="21"/>
          <w:szCs w:val="21"/>
        </w:rPr>
        <w:t xml:space="preserve">Images — </w:t>
      </w:r>
      <w:r>
        <w:rPr>
          <w:rFonts w:ascii="Calibri" w:cs="Calibri" w:eastAsia="Calibri" w:hAnsi="Calibri"/>
          <w:color w:val="4a4a4a"/>
          <w:sz w:val="21"/>
          <w:szCs w:val="21"/>
        </w:rPr>
        <w:t xml:space="preserve">Aucune photographie, aucun enregistrement sonore ou vidéo n'est pris dans la maison ni depuis ses terrasses, en aucune circonstance.</w:t>
      </w:r>
    </w:p>
    <w:p>
      <w:pPr>
        <w:spacing w:after="150" w:line="300"/>
      </w:pPr>
      <w:r>
        <w:rPr>
          <w:rFonts w:ascii="Calibri" w:cs="Calibri" w:eastAsia="Calibri" w:hAnsi="Calibri"/>
          <w:b/>
          <w:bCs/>
          <w:color w:val="c8872f"/>
          <w:sz w:val="21"/>
          <w:szCs w:val="21"/>
        </w:rPr>
        <w:t xml:space="preserve">Art. 58. </w:t>
      </w:r>
      <w:r>
        <w:rPr>
          <w:rFonts w:ascii="Calibri" w:cs="Calibri" w:eastAsia="Calibri" w:hAnsi="Calibri"/>
          <w:b/>
          <w:bCs/>
          <w:color w:val="1f1f1f"/>
          <w:sz w:val="21"/>
          <w:szCs w:val="21"/>
        </w:rPr>
        <w:t xml:space="preserve">Publicité — </w:t>
      </w:r>
      <w:r>
        <w:rPr>
          <w:rFonts w:ascii="Calibri" w:cs="Calibri" w:eastAsia="Calibri" w:hAnsi="Calibri"/>
          <w:color w:val="4a4a4a"/>
          <w:sz w:val="21"/>
          <w:szCs w:val="21"/>
        </w:rPr>
        <w:t xml:space="preserve">Aucune publication, aucun message public, aucune mention sur un réseau, aucun entretien de presse ne fait état de la maison, de son nom, de son adresse ou de l'appartenance du membre.</w:t>
      </w:r>
    </w:p>
    <w:p>
      <w:pPr>
        <w:spacing w:after="150" w:line="300"/>
      </w:pPr>
      <w:r>
        <w:rPr>
          <w:rFonts w:ascii="Calibri" w:cs="Calibri" w:eastAsia="Calibri" w:hAnsi="Calibri"/>
          <w:b/>
          <w:bCs/>
          <w:color w:val="c8872f"/>
          <w:sz w:val="21"/>
          <w:szCs w:val="21"/>
        </w:rPr>
        <w:t xml:space="preserve">Art. 59. </w:t>
      </w:r>
      <w:r>
        <w:rPr>
          <w:rFonts w:ascii="Calibri" w:cs="Calibri" w:eastAsia="Calibri" w:hAnsi="Calibri"/>
          <w:b/>
          <w:bCs/>
          <w:color w:val="1f1f1f"/>
          <w:sz w:val="21"/>
          <w:szCs w:val="21"/>
        </w:rPr>
        <w:t xml:space="preserve">Anonymat — </w:t>
      </w:r>
      <w:r>
        <w:rPr>
          <w:rFonts w:ascii="Calibri" w:cs="Calibri" w:eastAsia="Calibri" w:hAnsi="Calibri"/>
          <w:color w:val="4a4a4a"/>
          <w:sz w:val="21"/>
          <w:szCs w:val="21"/>
        </w:rPr>
        <w:t xml:space="preserve">Aucun nom de membre n'est publié par le cercle, en aucun support. Le membre qui souhaite faire état de son appartenance n'y est pas autorisé.</w:t>
      </w:r>
    </w:p>
    <w:p>
      <w:pPr>
        <w:spacing w:after="150" w:line="300"/>
      </w:pPr>
      <w:r>
        <w:rPr>
          <w:rFonts w:ascii="Calibri" w:cs="Calibri" w:eastAsia="Calibri" w:hAnsi="Calibri"/>
          <w:b/>
          <w:bCs/>
          <w:color w:val="c8872f"/>
          <w:sz w:val="21"/>
          <w:szCs w:val="21"/>
        </w:rPr>
        <w:t xml:space="preserve">Art. 60. </w:t>
      </w:r>
      <w:r>
        <w:rPr>
          <w:rFonts w:ascii="Calibri" w:cs="Calibri" w:eastAsia="Calibri" w:hAnsi="Calibri"/>
          <w:b/>
          <w:bCs/>
          <w:color w:val="1f1f1f"/>
          <w:sz w:val="21"/>
          <w:szCs w:val="21"/>
        </w:rPr>
        <w:t xml:space="preserve">Presse — </w:t>
      </w:r>
      <w:r>
        <w:rPr>
          <w:rFonts w:ascii="Calibri" w:cs="Calibri" w:eastAsia="Calibri" w:hAnsi="Calibri"/>
          <w:color w:val="4a4a4a"/>
          <w:sz w:val="21"/>
          <w:szCs w:val="21"/>
        </w:rPr>
        <w:t xml:space="preserve">La maison est fermée à la presse, aux tournages, aux repérages et à tout partenariat de marque.</w:t>
      </w:r>
    </w:p>
    <w:p>
      <w:pPr>
        <w:pStyle w:val="Heading2"/>
        <w:spacing w:after="140" w:before="300"/>
      </w:pPr>
      <w:r>
        <w:rPr>
          <w:rFonts w:ascii="Calibri" w:cs="Calibri" w:eastAsia="Calibri" w:hAnsi="Calibri"/>
          <w:b/>
          <w:bCs/>
          <w:color w:val="1f1f1f"/>
          <w:sz w:val="23"/>
          <w:szCs w:val="23"/>
        </w:rPr>
        <w:t xml:space="preserve">12. La tenue</w:t>
      </w:r>
    </w:p>
    <w:p>
      <w:pPr>
        <w:spacing w:after="150" w:line="300"/>
      </w:pPr>
      <w:r>
        <w:rPr>
          <w:rFonts w:ascii="Calibri" w:cs="Calibri" w:eastAsia="Calibri" w:hAnsi="Calibri"/>
          <w:b/>
          <w:bCs/>
          <w:color w:val="c8872f"/>
          <w:sz w:val="21"/>
          <w:szCs w:val="21"/>
        </w:rPr>
        <w:t xml:space="preserve">Art. 61. </w:t>
      </w:r>
      <w:r>
        <w:rPr>
          <w:rFonts w:ascii="Calibri" w:cs="Calibri" w:eastAsia="Calibri" w:hAnsi="Calibri"/>
          <w:b/>
          <w:bCs/>
          <w:color w:val="1f1f1f"/>
          <w:sz w:val="21"/>
          <w:szCs w:val="21"/>
        </w:rPr>
        <w:t xml:space="preserve">Principe — </w:t>
      </w:r>
      <w:r>
        <w:rPr>
          <w:rFonts w:ascii="Calibri" w:cs="Calibri" w:eastAsia="Calibri" w:hAnsi="Calibri"/>
          <w:color w:val="4a4a4a"/>
          <w:sz w:val="21"/>
          <w:szCs w:val="21"/>
        </w:rPr>
        <w:t xml:space="preserve">Dans les espaces communs — le seuil, les cours, le jardin, la table, le hammam et, le cas échéant, la maison voisine — le membre porte la tenue de la maison, de son arrivée à son départ. Dans sa chambre il s'habille comme il l'entend ; ses propres vêtements font le trajet de la porte à la chambre et retour.</w:t>
      </w:r>
    </w:p>
    <w:p>
      <w:pPr>
        <w:spacing w:after="150" w:line="300"/>
      </w:pPr>
      <w:r>
        <w:rPr>
          <w:rFonts w:ascii="Calibri" w:cs="Calibri" w:eastAsia="Calibri" w:hAnsi="Calibri"/>
          <w:b/>
          <w:bCs/>
          <w:color w:val="c8872f"/>
          <w:sz w:val="21"/>
          <w:szCs w:val="21"/>
        </w:rPr>
        <w:t xml:space="preserve">Art. 62. </w:t>
      </w:r>
      <w:r>
        <w:rPr>
          <w:rFonts w:ascii="Calibri" w:cs="Calibri" w:eastAsia="Calibri" w:hAnsi="Calibri"/>
          <w:b/>
          <w:bCs/>
          <w:color w:val="1f1f1f"/>
          <w:sz w:val="21"/>
          <w:szCs w:val="21"/>
        </w:rPr>
        <w:t xml:space="preserve">Description — </w:t>
      </w:r>
      <w:r>
        <w:rPr>
          <w:rFonts w:ascii="Calibri" w:cs="Calibri" w:eastAsia="Calibri" w:hAnsi="Calibri"/>
          <w:color w:val="4a4a4a"/>
          <w:sz w:val="21"/>
          <w:szCs w:val="21"/>
        </w:rPr>
        <w:t xml:space="preserve">La tenue se compose d'une tunique longue jusqu'à mi-mollet et d'un serwal ample, en lin ou en chanvre écru non teint, sans broderie ni galon, et de babouches de cuir non teint. Rien à la ceinture. Rien sur la tête.</w:t>
      </w:r>
    </w:p>
    <w:p>
      <w:pPr>
        <w:spacing w:after="150" w:line="300"/>
      </w:pPr>
      <w:r>
        <w:rPr>
          <w:rFonts w:ascii="Calibri" w:cs="Calibri" w:eastAsia="Calibri" w:hAnsi="Calibri"/>
          <w:b/>
          <w:bCs/>
          <w:color w:val="c8872f"/>
          <w:sz w:val="21"/>
          <w:szCs w:val="21"/>
        </w:rPr>
        <w:t xml:space="preserve">Art. 63. </w:t>
      </w:r>
      <w:r>
        <w:rPr>
          <w:rFonts w:ascii="Calibri" w:cs="Calibri" w:eastAsia="Calibri" w:hAnsi="Calibri"/>
          <w:b/>
          <w:bCs/>
          <w:color w:val="1f1f1f"/>
          <w:sz w:val="21"/>
          <w:szCs w:val="21"/>
        </w:rPr>
        <w:t xml:space="preserve">Identité — </w:t>
      </w:r>
      <w:r>
        <w:rPr>
          <w:rFonts w:ascii="Calibri" w:cs="Calibri" w:eastAsia="Calibri" w:hAnsi="Calibri"/>
          <w:color w:val="4a4a4a"/>
          <w:sz w:val="21"/>
          <w:szCs w:val="21"/>
        </w:rPr>
        <w:t xml:space="preserve">La tenue est identique pour tous, sans distinction d'ancienneté, de qualité de fondateur ni de rang. Elle ne porte aucun signe, aucune couleur et aucune marque permettant de distinguer un membre d'un autre, et n'en portera jamais.</w:t>
      </w:r>
    </w:p>
    <w:p>
      <w:pPr>
        <w:spacing w:after="150" w:line="300"/>
      </w:pPr>
      <w:r>
        <w:rPr>
          <w:rFonts w:ascii="Calibri" w:cs="Calibri" w:eastAsia="Calibri" w:hAnsi="Calibri"/>
          <w:b/>
          <w:bCs/>
          <w:color w:val="c8872f"/>
          <w:sz w:val="21"/>
          <w:szCs w:val="21"/>
        </w:rPr>
        <w:t xml:space="preserve">Art. 64. </w:t>
      </w:r>
      <w:r>
        <w:rPr>
          <w:rFonts w:ascii="Calibri" w:cs="Calibri" w:eastAsia="Calibri" w:hAnsi="Calibri"/>
          <w:b/>
          <w:bCs/>
          <w:color w:val="1f1f1f"/>
          <w:sz w:val="21"/>
          <w:szCs w:val="21"/>
        </w:rPr>
        <w:t xml:space="preserve">Fourniture — </w:t>
      </w:r>
      <w:r>
        <w:rPr>
          <w:rFonts w:ascii="Calibri" w:cs="Calibri" w:eastAsia="Calibri" w:hAnsi="Calibri"/>
          <w:color w:val="4a4a4a"/>
          <w:sz w:val="21"/>
          <w:szCs w:val="21"/>
        </w:rPr>
        <w:t xml:space="preserve">La tenue est fournie et entretenue par la maison. Elle ne s'achète pas, ne se commande pas, ne se personnalise pas, et ne sort jamais de la maison.</w:t>
      </w:r>
    </w:p>
    <w:p>
      <w:pPr>
        <w:spacing w:after="150" w:line="300"/>
      </w:pPr>
      <w:r>
        <w:rPr>
          <w:rFonts w:ascii="Calibri" w:cs="Calibri" w:eastAsia="Calibri" w:hAnsi="Calibri"/>
          <w:b/>
          <w:bCs/>
          <w:color w:val="c8872f"/>
          <w:sz w:val="21"/>
          <w:szCs w:val="21"/>
        </w:rPr>
        <w:t xml:space="preserve">Art. 65. </w:t>
      </w:r>
      <w:r>
        <w:rPr>
          <w:rFonts w:ascii="Calibri" w:cs="Calibri" w:eastAsia="Calibri" w:hAnsi="Calibri"/>
          <w:b/>
          <w:bCs/>
          <w:color w:val="1f1f1f"/>
          <w:sz w:val="21"/>
          <w:szCs w:val="21"/>
        </w:rPr>
        <w:t xml:space="preserve">Sans montre ni bijou — </w:t>
      </w:r>
      <w:r>
        <w:rPr>
          <w:rFonts w:ascii="Calibri" w:cs="Calibri" w:eastAsia="Calibri" w:hAnsi="Calibri"/>
          <w:color w:val="4a4a4a"/>
          <w:sz w:val="21"/>
          <w:szCs w:val="21"/>
        </w:rPr>
        <w:t xml:space="preserve">La tenue se porte sans montre, sans bijou et sans objet de valeur apparent. Ces objets peuvent être déposés au coffret avec le téléphone.</w:t>
      </w:r>
    </w:p>
    <w:p>
      <w:pPr>
        <w:spacing w:after="150" w:line="300"/>
      </w:pPr>
      <w:r>
        <w:rPr>
          <w:rFonts w:ascii="Calibri" w:cs="Calibri" w:eastAsia="Calibri" w:hAnsi="Calibri"/>
          <w:b/>
          <w:bCs/>
          <w:color w:val="c8872f"/>
          <w:sz w:val="21"/>
          <w:szCs w:val="21"/>
        </w:rPr>
        <w:t xml:space="preserve">Art. 66. </w:t>
      </w:r>
      <w:r>
        <w:rPr>
          <w:rFonts w:ascii="Calibri" w:cs="Calibri" w:eastAsia="Calibri" w:hAnsi="Calibri"/>
          <w:b/>
          <w:bCs/>
          <w:color w:val="1f1f1f"/>
          <w:sz w:val="21"/>
          <w:szCs w:val="21"/>
        </w:rPr>
        <w:t xml:space="preserve">Ce qui ne se porte pas — </w:t>
      </w:r>
      <w:r>
        <w:rPr>
          <w:rFonts w:ascii="Calibri" w:cs="Calibri" w:eastAsia="Calibri" w:hAnsi="Calibri"/>
          <w:color w:val="4a4a4a"/>
          <w:sz w:val="21"/>
          <w:szCs w:val="21"/>
        </w:rPr>
        <w:t xml:space="preserve">Aucun élément du vêtement de la maison voisine ne peut être porté par un membre : ni calotte de métier, ni ceinture de degré, ni surtunique de maître, ni couleur de corporation. Ces signes s'acquièrent par la formation et par l'attestation d'un maître. Ils ne se prêtent pas, ne s'offrent pas et ne se vendent pas.</w:t>
      </w:r>
    </w:p>
    <w:p>
      <w:pPr>
        <w:pStyle w:val="Heading2"/>
        <w:spacing w:after="140" w:before="300"/>
      </w:pPr>
      <w:r>
        <w:rPr>
          <w:rFonts w:ascii="Calibri" w:cs="Calibri" w:eastAsia="Calibri" w:hAnsi="Calibri"/>
          <w:b/>
          <w:bCs/>
          <w:color w:val="1f1f1f"/>
          <w:sz w:val="23"/>
          <w:szCs w:val="23"/>
        </w:rPr>
        <w:t xml:space="preserve">13. Le comportement</w:t>
      </w:r>
    </w:p>
    <w:p>
      <w:pPr>
        <w:spacing w:after="150" w:line="300"/>
      </w:pPr>
      <w:r>
        <w:rPr>
          <w:rFonts w:ascii="Calibri" w:cs="Calibri" w:eastAsia="Calibri" w:hAnsi="Calibri"/>
          <w:b/>
          <w:bCs/>
          <w:color w:val="c8872f"/>
          <w:sz w:val="21"/>
          <w:szCs w:val="21"/>
        </w:rPr>
        <w:t xml:space="preserve">Art. 67. </w:t>
      </w:r>
      <w:r>
        <w:rPr>
          <w:rFonts w:ascii="Calibri" w:cs="Calibri" w:eastAsia="Calibri" w:hAnsi="Calibri"/>
          <w:b/>
          <w:bCs/>
          <w:color w:val="1f1f1f"/>
          <w:sz w:val="21"/>
          <w:szCs w:val="21"/>
        </w:rPr>
        <w:t xml:space="preserve">Aucune affaire — </w:t>
      </w:r>
      <w:r>
        <w:rPr>
          <w:rFonts w:ascii="Calibri" w:cs="Calibri" w:eastAsia="Calibri" w:hAnsi="Calibri"/>
          <w:color w:val="4a4a4a"/>
          <w:sz w:val="21"/>
          <w:szCs w:val="21"/>
        </w:rPr>
        <w:t xml:space="preserve">Aucune affaire ne se traite dans la maison. Aucune sollicitation commerciale, financière ou professionnelle n'est adressée à un autre membre, à un hôte ou au personnel : ni proposition, ni présentation d'activité, ni remise de carte, ni suite donnée au-dehors à une rencontre faite ici. La maison n'est pas un lieu d'affaires et ne le deviendra pas.</w:t>
      </w:r>
    </w:p>
    <w:p>
      <w:pPr>
        <w:spacing w:after="150" w:line="300"/>
      </w:pPr>
      <w:r>
        <w:rPr>
          <w:rFonts w:ascii="Calibri" w:cs="Calibri" w:eastAsia="Calibri" w:hAnsi="Calibri"/>
          <w:b/>
          <w:bCs/>
          <w:color w:val="c8872f"/>
          <w:sz w:val="21"/>
          <w:szCs w:val="21"/>
        </w:rPr>
        <w:t xml:space="preserve">Art. 68. </w:t>
      </w:r>
      <w:r>
        <w:rPr>
          <w:rFonts w:ascii="Calibri" w:cs="Calibri" w:eastAsia="Calibri" w:hAnsi="Calibri"/>
          <w:b/>
          <w:bCs/>
          <w:color w:val="1f1f1f"/>
          <w:sz w:val="21"/>
          <w:szCs w:val="21"/>
        </w:rPr>
        <w:t xml:space="preserve">Débauchage — </w:t>
      </w:r>
      <w:r>
        <w:rPr>
          <w:rFonts w:ascii="Calibri" w:cs="Calibri" w:eastAsia="Calibri" w:hAnsi="Calibri"/>
          <w:color w:val="4a4a4a"/>
          <w:sz w:val="21"/>
          <w:szCs w:val="21"/>
        </w:rPr>
        <w:t xml:space="preserve">Aucun membre ne cherche à recruter ni à débaucher une personne travaillant pour la maison ou pour la maison voisine.</w:t>
      </w:r>
    </w:p>
    <w:p>
      <w:pPr>
        <w:spacing w:after="150" w:line="300"/>
      </w:pPr>
      <w:r>
        <w:rPr>
          <w:rFonts w:ascii="Calibri" w:cs="Calibri" w:eastAsia="Calibri" w:hAnsi="Calibri"/>
          <w:b/>
          <w:bCs/>
          <w:color w:val="c8872f"/>
          <w:sz w:val="21"/>
          <w:szCs w:val="21"/>
        </w:rPr>
        <w:t xml:space="preserve">Art. 69. </w:t>
      </w:r>
      <w:r>
        <w:rPr>
          <w:rFonts w:ascii="Calibri" w:cs="Calibri" w:eastAsia="Calibri" w:hAnsi="Calibri"/>
          <w:b/>
          <w:bCs/>
          <w:color w:val="1f1f1f"/>
          <w:sz w:val="21"/>
          <w:szCs w:val="21"/>
        </w:rPr>
        <w:t xml:space="preserve">Pourboires — </w:t>
      </w:r>
      <w:r>
        <w:rPr>
          <w:rFonts w:ascii="Calibri" w:cs="Calibri" w:eastAsia="Calibri" w:hAnsi="Calibri"/>
          <w:color w:val="4a4a4a"/>
          <w:sz w:val="21"/>
          <w:szCs w:val="21"/>
        </w:rPr>
        <w:t xml:space="preserve">Le service est compris. Il n'est pas d'usage de donner de pourboire au personnel de la maison, et il est interdit d'en offrir aux habitants de la maison voisine.</w:t>
      </w:r>
    </w:p>
    <w:p>
      <w:pPr>
        <w:pStyle w:val="Heading2"/>
        <w:spacing w:after="140" w:before="300"/>
      </w:pPr>
      <w:r>
        <w:rPr>
          <w:rFonts w:ascii="Calibri" w:cs="Calibri" w:eastAsia="Calibri" w:hAnsi="Calibri"/>
          <w:b/>
          <w:bCs/>
          <w:color w:val="1f1f1f"/>
          <w:sz w:val="23"/>
          <w:szCs w:val="23"/>
        </w:rPr>
        <w:t xml:space="preserve">14. Les invités</w:t>
      </w:r>
    </w:p>
    <w:p>
      <w:pPr>
        <w:spacing w:after="150" w:line="300"/>
      </w:pPr>
      <w:r>
        <w:rPr>
          <w:rFonts w:ascii="Calibri" w:cs="Calibri" w:eastAsia="Calibri" w:hAnsi="Calibri"/>
          <w:b/>
          <w:bCs/>
          <w:color w:val="c8872f"/>
          <w:sz w:val="21"/>
          <w:szCs w:val="21"/>
        </w:rPr>
        <w:t xml:space="preserve">Art. 70. </w:t>
      </w:r>
      <w:r>
        <w:rPr>
          <w:rFonts w:ascii="Calibri" w:cs="Calibri" w:eastAsia="Calibri" w:hAnsi="Calibri"/>
          <w:b/>
          <w:bCs/>
          <w:color w:val="1f1f1f"/>
          <w:sz w:val="21"/>
          <w:szCs w:val="21"/>
        </w:rPr>
        <w:t xml:space="preserve">Nombre — </w:t>
      </w:r>
      <w:r>
        <w:rPr>
          <w:rFonts w:ascii="Calibri" w:cs="Calibri" w:eastAsia="Calibri" w:hAnsi="Calibri"/>
          <w:color w:val="4a4a4a"/>
          <w:sz w:val="21"/>
          <w:szCs w:val="21"/>
        </w:rPr>
        <w:t xml:space="preserve">Le membre peut être accompagné de trois invités au plus par séjour, annoncés à l'avance et agréés par le responsable de la maison, qui n'a pas à motiver un refus.</w:t>
      </w:r>
    </w:p>
    <w:p>
      <w:pPr>
        <w:spacing w:after="150" w:line="300"/>
      </w:pPr>
      <w:r>
        <w:rPr>
          <w:rFonts w:ascii="Calibri" w:cs="Calibri" w:eastAsia="Calibri" w:hAnsi="Calibri"/>
          <w:b/>
          <w:bCs/>
          <w:color w:val="c8872f"/>
          <w:sz w:val="21"/>
          <w:szCs w:val="21"/>
        </w:rPr>
        <w:t xml:space="preserve">Art. 71. </w:t>
      </w:r>
      <w:r>
        <w:rPr>
          <w:rFonts w:ascii="Calibri" w:cs="Calibri" w:eastAsia="Calibri" w:hAnsi="Calibri"/>
          <w:b/>
          <w:bCs/>
          <w:color w:val="1f1f1f"/>
          <w:sz w:val="21"/>
          <w:szCs w:val="21"/>
        </w:rPr>
        <w:t xml:space="preserve">Responsabilité — </w:t>
      </w:r>
      <w:r>
        <w:rPr>
          <w:rFonts w:ascii="Calibri" w:cs="Calibri" w:eastAsia="Calibri" w:hAnsi="Calibri"/>
          <w:color w:val="4a4a4a"/>
          <w:sz w:val="21"/>
          <w:szCs w:val="21"/>
        </w:rPr>
        <w:t xml:space="preserve">L'invité est soumis au présent règlement. Le membre en répond entièrement : le manquement de l'invité est imputé au membre qui l'a introduit.</w:t>
      </w:r>
    </w:p>
    <w:p>
      <w:pPr>
        <w:spacing w:after="150" w:line="300"/>
      </w:pPr>
      <w:r>
        <w:rPr>
          <w:rFonts w:ascii="Calibri" w:cs="Calibri" w:eastAsia="Calibri" w:hAnsi="Calibri"/>
          <w:b/>
          <w:bCs/>
          <w:color w:val="c8872f"/>
          <w:sz w:val="21"/>
          <w:szCs w:val="21"/>
        </w:rPr>
        <w:t xml:space="preserve">Art. 72. </w:t>
      </w:r>
      <w:r>
        <w:rPr>
          <w:rFonts w:ascii="Calibri" w:cs="Calibri" w:eastAsia="Calibri" w:hAnsi="Calibri"/>
          <w:b/>
          <w:bCs/>
          <w:color w:val="1f1f1f"/>
          <w:sz w:val="21"/>
          <w:szCs w:val="21"/>
        </w:rPr>
        <w:t xml:space="preserve">Seuil — </w:t>
      </w:r>
      <w:r>
        <w:rPr>
          <w:rFonts w:ascii="Calibri" w:cs="Calibri" w:eastAsia="Calibri" w:hAnsi="Calibri"/>
          <w:color w:val="4a4a4a"/>
          <w:sz w:val="21"/>
          <w:szCs w:val="21"/>
        </w:rPr>
        <w:t xml:space="preserve">L'invité n'accède jamais à la maison voisine, en aucune circonstance.</w:t>
      </w:r>
    </w:p>
    <w:p>
      <w:pPr>
        <w:spacing w:after="150" w:line="300"/>
      </w:pPr>
      <w:r>
        <w:rPr>
          <w:rFonts w:ascii="Calibri" w:cs="Calibri" w:eastAsia="Calibri" w:hAnsi="Calibri"/>
          <w:b/>
          <w:bCs/>
          <w:color w:val="c8872f"/>
          <w:sz w:val="21"/>
          <w:szCs w:val="21"/>
        </w:rPr>
        <w:t xml:space="preserve">Art. 73. </w:t>
      </w:r>
      <w:r>
        <w:rPr>
          <w:rFonts w:ascii="Calibri" w:cs="Calibri" w:eastAsia="Calibri" w:hAnsi="Calibri"/>
          <w:b/>
          <w:bCs/>
          <w:color w:val="1f1f1f"/>
          <w:sz w:val="21"/>
          <w:szCs w:val="21"/>
        </w:rPr>
        <w:t xml:space="preserve">Répétition — </w:t>
      </w:r>
      <w:r>
        <w:rPr>
          <w:rFonts w:ascii="Calibri" w:cs="Calibri" w:eastAsia="Calibri" w:hAnsi="Calibri"/>
          <w:color w:val="4a4a4a"/>
          <w:sz w:val="21"/>
          <w:szCs w:val="21"/>
        </w:rPr>
        <w:t xml:space="preserve">Un invité ne peut être reçu plus de deux fois par année civile. Au-delà, il lui est proposé d'être présenté.</w:t>
      </w:r>
    </w:p>
    <w:p>
      <w:pPr>
        <w:pStyle w:val="Heading2"/>
        <w:spacing w:after="140" w:before="300"/>
      </w:pPr>
      <w:r>
        <w:rPr>
          <w:rFonts w:ascii="Calibri" w:cs="Calibri" w:eastAsia="Calibri" w:hAnsi="Calibri"/>
          <w:b/>
          <w:bCs/>
          <w:color w:val="1f1f1f"/>
          <w:sz w:val="23"/>
          <w:szCs w:val="23"/>
        </w:rPr>
        <w:t xml:space="preserve">15. Ce que la maison ne fait pas</w:t>
      </w:r>
    </w:p>
    <w:p>
      <w:pPr>
        <w:spacing w:after="150" w:line="300"/>
      </w:pPr>
      <w:r>
        <w:rPr>
          <w:rFonts w:ascii="Calibri" w:cs="Calibri" w:eastAsia="Calibri" w:hAnsi="Calibri"/>
          <w:b/>
          <w:bCs/>
          <w:color w:val="c8872f"/>
          <w:sz w:val="21"/>
          <w:szCs w:val="21"/>
        </w:rPr>
        <w:t xml:space="preserve">Art. 74. </w:t>
      </w:r>
      <w:r>
        <w:rPr>
          <w:rFonts w:ascii="Calibri" w:cs="Calibri" w:eastAsia="Calibri" w:hAnsi="Calibri"/>
          <w:b/>
          <w:bCs/>
          <w:color w:val="1f1f1f"/>
          <w:sz w:val="21"/>
          <w:szCs w:val="21"/>
        </w:rPr>
        <w:t xml:space="preserve">Alcool — </w:t>
      </w:r>
      <w:r>
        <w:rPr>
          <w:rFonts w:ascii="Calibri" w:cs="Calibri" w:eastAsia="Calibri" w:hAnsi="Calibri"/>
          <w:color w:val="4a4a4a"/>
          <w:sz w:val="21"/>
          <w:szCs w:val="21"/>
        </w:rPr>
        <w:t xml:space="preserve">Aucun alcool n'est introduit, servi, détenu ni consommé dans la maison, en aucun lieu et par personne.</w:t>
      </w:r>
    </w:p>
    <w:p>
      <w:pPr>
        <w:spacing w:after="150" w:line="300"/>
      </w:pPr>
      <w:r>
        <w:rPr>
          <w:rFonts w:ascii="Calibri" w:cs="Calibri" w:eastAsia="Calibri" w:hAnsi="Calibri"/>
          <w:b/>
          <w:bCs/>
          <w:color w:val="c8872f"/>
          <w:sz w:val="21"/>
          <w:szCs w:val="21"/>
        </w:rPr>
        <w:t xml:space="preserve">Art. 75. </w:t>
      </w:r>
      <w:r>
        <w:rPr>
          <w:rFonts w:ascii="Calibri" w:cs="Calibri" w:eastAsia="Calibri" w:hAnsi="Calibri"/>
          <w:b/>
          <w:bCs/>
          <w:color w:val="1f1f1f"/>
          <w:sz w:val="21"/>
          <w:szCs w:val="21"/>
        </w:rPr>
        <w:t xml:space="preserve">Composition des hôtes — </w:t>
      </w:r>
      <w:r>
        <w:rPr>
          <w:rFonts w:ascii="Calibri" w:cs="Calibri" w:eastAsia="Calibri" w:hAnsi="Calibri"/>
          <w:color w:val="4a4a4a"/>
          <w:sz w:val="21"/>
          <w:szCs w:val="21"/>
        </w:rPr>
        <w:t xml:space="preserve">La maison ne reçoit pas de femmes, ne reçoit pas de couples et ne reçoit pas d'enfants.</w:t>
      </w:r>
    </w:p>
    <w:p>
      <w:pPr>
        <w:spacing w:after="150" w:line="300"/>
      </w:pPr>
      <w:r>
        <w:rPr>
          <w:rFonts w:ascii="Calibri" w:cs="Calibri" w:eastAsia="Calibri" w:hAnsi="Calibri"/>
          <w:b/>
          <w:bCs/>
          <w:color w:val="c8872f"/>
          <w:sz w:val="21"/>
          <w:szCs w:val="21"/>
        </w:rPr>
        <w:t xml:space="preserve">Art. 76. </w:t>
      </w:r>
      <w:r>
        <w:rPr>
          <w:rFonts w:ascii="Calibri" w:cs="Calibri" w:eastAsia="Calibri" w:hAnsi="Calibri"/>
          <w:b/>
          <w:bCs/>
          <w:color w:val="1f1f1f"/>
          <w:sz w:val="21"/>
          <w:szCs w:val="21"/>
        </w:rPr>
        <w:t xml:space="preserve">Événements — </w:t>
      </w:r>
      <w:r>
        <w:rPr>
          <w:rFonts w:ascii="Calibri" w:cs="Calibri" w:eastAsia="Calibri" w:hAnsi="Calibri"/>
          <w:color w:val="4a4a4a"/>
          <w:sz w:val="21"/>
          <w:szCs w:val="21"/>
        </w:rPr>
        <w:t xml:space="preserve">La maison n'accueille ni mariage, ni séminaire, ni réunion d'entreprise, ni anniversaire, ni réception privée d'aucune sorte.</w:t>
      </w:r>
    </w:p>
    <w:p>
      <w:pPr>
        <w:spacing w:after="150" w:line="300"/>
      </w:pPr>
      <w:r>
        <w:rPr>
          <w:rFonts w:ascii="Calibri" w:cs="Calibri" w:eastAsia="Calibri" w:hAnsi="Calibri"/>
          <w:b/>
          <w:bCs/>
          <w:color w:val="c8872f"/>
          <w:sz w:val="21"/>
          <w:szCs w:val="21"/>
        </w:rPr>
        <w:t xml:space="preserve">Art. 77. </w:t>
      </w:r>
      <w:r>
        <w:rPr>
          <w:rFonts w:ascii="Calibri" w:cs="Calibri" w:eastAsia="Calibri" w:hAnsi="Calibri"/>
          <w:b/>
          <w:bCs/>
          <w:color w:val="1f1f1f"/>
          <w:sz w:val="21"/>
          <w:szCs w:val="21"/>
        </w:rPr>
        <w:t xml:space="preserve">Réservation et classements — </w:t>
      </w:r>
      <w:r>
        <w:rPr>
          <w:rFonts w:ascii="Calibri" w:cs="Calibri" w:eastAsia="Calibri" w:hAnsi="Calibri"/>
          <w:color w:val="4a4a4a"/>
          <w:sz w:val="21"/>
          <w:szCs w:val="21"/>
        </w:rPr>
        <w:t xml:space="preserve">Aucune réservation ne se fait en ligne. La maison ne figure sur aucune plateforme, ne sollicite ni ne répond à aucun classement, distinction ou avis de voyageurs.</w:t>
      </w:r>
    </w:p>
    <w:p>
      <w:pPr>
        <w:pStyle w:val="Heading2"/>
        <w:spacing w:after="140" w:before="300"/>
      </w:pPr>
      <w:r>
        <w:rPr>
          <w:rFonts w:ascii="Calibri" w:cs="Calibri" w:eastAsia="Calibri" w:hAnsi="Calibri"/>
          <w:b/>
          <w:bCs/>
          <w:color w:val="1f1f1f"/>
          <w:sz w:val="23"/>
          <w:szCs w:val="23"/>
        </w:rPr>
        <w:t xml:space="preserve">16. La clause de fermeture</w:t>
      </w:r>
    </w:p>
    <w:p>
      <w:pPr>
        <w:spacing w:after="150" w:line="300"/>
      </w:pPr>
      <w:r>
        <w:rPr>
          <w:rFonts w:ascii="Calibri" w:cs="Calibri" w:eastAsia="Calibri" w:hAnsi="Calibri"/>
          <w:b/>
          <w:bCs/>
          <w:color w:val="c8872f"/>
          <w:sz w:val="21"/>
          <w:szCs w:val="21"/>
        </w:rPr>
        <w:t xml:space="preserve">Art. 78. </w:t>
      </w:r>
      <w:r>
        <w:rPr>
          <w:rFonts w:ascii="Calibri" w:cs="Calibri" w:eastAsia="Calibri" w:hAnsi="Calibri"/>
          <w:b/>
          <w:bCs/>
          <w:color w:val="1f1f1f"/>
          <w:sz w:val="21"/>
          <w:szCs w:val="21"/>
        </w:rPr>
        <w:t xml:space="preserve">Principe — </w:t>
      </w:r>
      <w:r>
        <w:rPr>
          <w:rFonts w:ascii="Calibri" w:cs="Calibri" w:eastAsia="Calibri" w:hAnsi="Calibri"/>
          <w:color w:val="4a4a4a"/>
          <w:sz w:val="21"/>
          <w:szCs w:val="21"/>
        </w:rPr>
        <w:t xml:space="preserve">La maison peut être fermée jusqu'à trente nuits par année civile sans que la raison en soit donnée.</w:t>
      </w:r>
    </w:p>
    <w:p>
      <w:pPr>
        <w:spacing w:after="150" w:line="300"/>
      </w:pPr>
      <w:r>
        <w:rPr>
          <w:rFonts w:ascii="Calibri" w:cs="Calibri" w:eastAsia="Calibri" w:hAnsi="Calibri"/>
          <w:b/>
          <w:bCs/>
          <w:color w:val="c8872f"/>
          <w:sz w:val="21"/>
          <w:szCs w:val="21"/>
        </w:rPr>
        <w:t xml:space="preserve">Art. 79. </w:t>
      </w:r>
      <w:r>
        <w:rPr>
          <w:rFonts w:ascii="Calibri" w:cs="Calibri" w:eastAsia="Calibri" w:hAnsi="Calibri"/>
          <w:b/>
          <w:bCs/>
          <w:color w:val="1f1f1f"/>
          <w:sz w:val="21"/>
          <w:szCs w:val="21"/>
        </w:rPr>
        <w:t xml:space="preserve">Préavis et restitution — </w:t>
      </w:r>
      <w:r>
        <w:rPr>
          <w:rFonts w:ascii="Calibri" w:cs="Calibri" w:eastAsia="Calibri" w:hAnsi="Calibri"/>
          <w:color w:val="4a4a4a"/>
          <w:sz w:val="21"/>
          <w:szCs w:val="21"/>
        </w:rPr>
        <w:t xml:space="preserve">Le membre en est averti dès que possible. Les nuits déplacées lui sont restituées au double, valables dix-huit mois.</w:t>
      </w:r>
    </w:p>
    <w:p>
      <w:pPr>
        <w:spacing w:after="150" w:line="300"/>
      </w:pPr>
      <w:r>
        <w:rPr>
          <w:rFonts w:ascii="Calibri" w:cs="Calibri" w:eastAsia="Calibri" w:hAnsi="Calibri"/>
          <w:b/>
          <w:bCs/>
          <w:color w:val="c8872f"/>
          <w:sz w:val="21"/>
          <w:szCs w:val="21"/>
        </w:rPr>
        <w:t xml:space="preserve">Art. 80. </w:t>
      </w:r>
      <w:r>
        <w:rPr>
          <w:rFonts w:ascii="Calibri" w:cs="Calibri" w:eastAsia="Calibri" w:hAnsi="Calibri"/>
          <w:b/>
          <w:bCs/>
          <w:color w:val="1f1f1f"/>
          <w:sz w:val="21"/>
          <w:szCs w:val="21"/>
        </w:rPr>
        <w:t xml:space="preserve">Discrétion — </w:t>
      </w:r>
      <w:r>
        <w:rPr>
          <w:rFonts w:ascii="Calibri" w:cs="Calibri" w:eastAsia="Calibri" w:hAnsi="Calibri"/>
          <w:color w:val="4a4a4a"/>
          <w:sz w:val="21"/>
          <w:szCs w:val="21"/>
        </w:rPr>
        <w:t xml:space="preserve">Il n'est pas d'usage de demander la raison d'une fermeture, et il n'y sera pas répondu. Formuler des suppositions au-dehors constitue un manquement à l'article 56.</w:t>
      </w:r>
    </w:p>
    <w:p>
      <w:r>
        <w:br w:type="page"/>
      </w:r>
    </w:p>
    <w:p>
      <w:pPr>
        <w:pStyle w:val="Heading1"/>
        <w:spacing w:after="200" w:before="400"/>
      </w:pPr>
      <w:r>
        <w:rPr>
          <w:rFonts w:ascii="Calibri" w:cs="Calibri" w:eastAsia="Calibri" w:hAnsi="Calibri"/>
          <w:b/>
          <w:bCs/>
          <w:color w:val="c8872f"/>
          <w:spacing w:val="20"/>
          <w:sz w:val="26"/>
          <w:szCs w:val="26"/>
        </w:rPr>
        <w:t xml:space="preserve">Titre III — L'ordre intérieur</w:t>
      </w:r>
    </w:p>
    <w:p>
      <w:pPr>
        <w:pStyle w:val="Heading2"/>
        <w:spacing w:after="140" w:before="300"/>
      </w:pPr>
      <w:r>
        <w:rPr>
          <w:rFonts w:ascii="Calibri" w:cs="Calibri" w:eastAsia="Calibri" w:hAnsi="Calibri"/>
          <w:b/>
          <w:bCs/>
          <w:color w:val="1f1f1f"/>
          <w:sz w:val="23"/>
          <w:szCs w:val="23"/>
        </w:rPr>
        <w:t xml:space="preserve">17. Le registre</w:t>
      </w:r>
    </w:p>
    <w:p>
      <w:pPr>
        <w:spacing w:after="150" w:line="300"/>
      </w:pPr>
      <w:r>
        <w:rPr>
          <w:rFonts w:ascii="Calibri" w:cs="Calibri" w:eastAsia="Calibri" w:hAnsi="Calibri"/>
          <w:b/>
          <w:bCs/>
          <w:color w:val="c8872f"/>
          <w:sz w:val="21"/>
          <w:szCs w:val="21"/>
        </w:rPr>
        <w:t xml:space="preserve">Art. 81. </w:t>
      </w:r>
      <w:r>
        <w:rPr>
          <w:rFonts w:ascii="Calibri" w:cs="Calibri" w:eastAsia="Calibri" w:hAnsi="Calibri"/>
          <w:b/>
          <w:bCs/>
          <w:color w:val="1f1f1f"/>
          <w:sz w:val="21"/>
          <w:szCs w:val="21"/>
        </w:rPr>
        <w:t xml:space="preserve">Forme — </w:t>
      </w:r>
      <w:r>
        <w:rPr>
          <w:rFonts w:ascii="Calibri" w:cs="Calibri" w:eastAsia="Calibri" w:hAnsi="Calibri"/>
          <w:color w:val="4a4a4a"/>
          <w:sz w:val="21"/>
          <w:szCs w:val="21"/>
        </w:rPr>
        <w:t xml:space="preserve">Le rôle des membres, les actes d'admission, les signatures, les désignations de successeur et les radiations sont tenus à la main sur un registre unique.</w:t>
      </w:r>
    </w:p>
    <w:p>
      <w:pPr>
        <w:spacing w:after="150" w:line="300"/>
      </w:pPr>
      <w:r>
        <w:rPr>
          <w:rFonts w:ascii="Calibri" w:cs="Calibri" w:eastAsia="Calibri" w:hAnsi="Calibri"/>
          <w:b/>
          <w:bCs/>
          <w:color w:val="c8872f"/>
          <w:sz w:val="21"/>
          <w:szCs w:val="21"/>
        </w:rPr>
        <w:t xml:space="preserve">Art. 82. </w:t>
      </w:r>
      <w:r>
        <w:rPr>
          <w:rFonts w:ascii="Calibri" w:cs="Calibri" w:eastAsia="Calibri" w:hAnsi="Calibri"/>
          <w:b/>
          <w:bCs/>
          <w:color w:val="1f1f1f"/>
          <w:sz w:val="21"/>
          <w:szCs w:val="21"/>
        </w:rPr>
        <w:t xml:space="preserve">Conservation — </w:t>
      </w:r>
      <w:r>
        <w:rPr>
          <w:rFonts w:ascii="Calibri" w:cs="Calibri" w:eastAsia="Calibri" w:hAnsi="Calibri"/>
          <w:color w:val="4a4a4a"/>
          <w:sz w:val="21"/>
          <w:szCs w:val="21"/>
        </w:rPr>
        <w:t xml:space="preserve">Le registre est conservé dans le trésor de la maison voisine. Le cercle n'en détient pas la garde.</w:t>
      </w:r>
    </w:p>
    <w:p>
      <w:pPr>
        <w:spacing w:after="150" w:line="300"/>
      </w:pPr>
      <w:r>
        <w:rPr>
          <w:rFonts w:ascii="Calibri" w:cs="Calibri" w:eastAsia="Calibri" w:hAnsi="Calibri"/>
          <w:b/>
          <w:bCs/>
          <w:color w:val="c8872f"/>
          <w:sz w:val="21"/>
          <w:szCs w:val="21"/>
        </w:rPr>
        <w:t xml:space="preserve">Art. 83. </w:t>
      </w:r>
      <w:r>
        <w:rPr>
          <w:rFonts w:ascii="Calibri" w:cs="Calibri" w:eastAsia="Calibri" w:hAnsi="Calibri"/>
          <w:b/>
          <w:bCs/>
          <w:color w:val="1f1f1f"/>
          <w:sz w:val="21"/>
          <w:szCs w:val="21"/>
        </w:rPr>
        <w:t xml:space="preserve">Absence de trace numérique — </w:t>
      </w:r>
      <w:r>
        <w:rPr>
          <w:rFonts w:ascii="Calibri" w:cs="Calibri" w:eastAsia="Calibri" w:hAnsi="Calibri"/>
          <w:color w:val="4a4a4a"/>
          <w:sz w:val="21"/>
          <w:szCs w:val="21"/>
        </w:rPr>
        <w:t xml:space="preserve">Les noms des membres n'existent sous aucune forme numérique : ni fichier, ni liste, ni sauvegarde, ni copie numérisée. L'administration courante travaille par numéro. Ce que la loi impose de tenir est tenu séparément et ne contient rien de plus que ce qu'elle exige.</w:t>
      </w:r>
    </w:p>
    <w:p>
      <w:pPr>
        <w:spacing w:after="150" w:line="300"/>
      </w:pPr>
      <w:r>
        <w:rPr>
          <w:rFonts w:ascii="Calibri" w:cs="Calibri" w:eastAsia="Calibri" w:hAnsi="Calibri"/>
          <w:b/>
          <w:bCs/>
          <w:color w:val="c8872f"/>
          <w:sz w:val="21"/>
          <w:szCs w:val="21"/>
        </w:rPr>
        <w:t xml:space="preserve">Art. 84. </w:t>
      </w:r>
      <w:r>
        <w:rPr>
          <w:rFonts w:ascii="Calibri" w:cs="Calibri" w:eastAsia="Calibri" w:hAnsi="Calibri"/>
          <w:b/>
          <w:bCs/>
          <w:color w:val="1f1f1f"/>
          <w:sz w:val="21"/>
          <w:szCs w:val="21"/>
        </w:rPr>
        <w:t xml:space="preserve">Copie — </w:t>
      </w:r>
      <w:r>
        <w:rPr>
          <w:rFonts w:ascii="Calibri" w:cs="Calibri" w:eastAsia="Calibri" w:hAnsi="Calibri"/>
          <w:color w:val="4a4a4a"/>
          <w:sz w:val="21"/>
          <w:szCs w:val="21"/>
        </w:rPr>
        <w:t xml:space="preserve">Une seconde copie manuscrite est conservée en un autre lieu, sous la même règle de discrétion.</w:t>
      </w:r>
    </w:p>
    <w:p>
      <w:pPr>
        <w:pStyle w:val="Heading2"/>
        <w:spacing w:after="140" w:before="300"/>
      </w:pPr>
      <w:r>
        <w:rPr>
          <w:rFonts w:ascii="Calibri" w:cs="Calibri" w:eastAsia="Calibri" w:hAnsi="Calibri"/>
          <w:b/>
          <w:bCs/>
          <w:color w:val="1f1f1f"/>
          <w:sz w:val="23"/>
          <w:szCs w:val="23"/>
        </w:rPr>
        <w:t xml:space="preserve">18. Ce que soutient la cotisation</w:t>
      </w:r>
    </w:p>
    <w:p>
      <w:pPr>
        <w:spacing w:after="150" w:line="300"/>
      </w:pPr>
      <w:r>
        <w:rPr>
          <w:rFonts w:ascii="Calibri" w:cs="Calibri" w:eastAsia="Calibri" w:hAnsi="Calibri"/>
          <w:b/>
          <w:bCs/>
          <w:color w:val="c8872f"/>
          <w:sz w:val="21"/>
          <w:szCs w:val="21"/>
        </w:rPr>
        <w:t xml:space="preserve">Art. 85. </w:t>
      </w:r>
      <w:r>
        <w:rPr>
          <w:rFonts w:ascii="Calibri" w:cs="Calibri" w:eastAsia="Calibri" w:hAnsi="Calibri"/>
          <w:b/>
          <w:bCs/>
          <w:color w:val="1f1f1f"/>
          <w:sz w:val="21"/>
          <w:szCs w:val="21"/>
        </w:rPr>
        <w:t xml:space="preserve">Dotation — </w:t>
      </w:r>
      <w:r>
        <w:rPr>
          <w:rFonts w:ascii="Calibri" w:cs="Calibri" w:eastAsia="Calibri" w:hAnsi="Calibri"/>
          <w:color w:val="4a4a4a"/>
          <w:sz w:val="21"/>
          <w:szCs w:val="21"/>
        </w:rPr>
        <w:t xml:space="preserve">Une part fixe du résultat de la maison, déterminée par les statuts, est affectée aux bourses de formation de la maison voisine. Cet engagement ne relève pas de l'appréciation de la direction.</w:t>
      </w:r>
    </w:p>
    <w:p>
      <w:pPr>
        <w:spacing w:after="150" w:line="300"/>
      </w:pPr>
      <w:r>
        <w:rPr>
          <w:rFonts w:ascii="Calibri" w:cs="Calibri" w:eastAsia="Calibri" w:hAnsi="Calibri"/>
          <w:b/>
          <w:bCs/>
          <w:color w:val="c8872f"/>
          <w:sz w:val="21"/>
          <w:szCs w:val="21"/>
        </w:rPr>
        <w:t xml:space="preserve">Art. 86. </w:t>
      </w:r>
      <w:r>
        <w:rPr>
          <w:rFonts w:ascii="Calibri" w:cs="Calibri" w:eastAsia="Calibri" w:hAnsi="Calibri"/>
          <w:b/>
          <w:bCs/>
          <w:color w:val="1f1f1f"/>
          <w:sz w:val="21"/>
          <w:szCs w:val="21"/>
        </w:rPr>
        <w:t xml:space="preserve">Choix du métier — </w:t>
      </w:r>
      <w:r>
        <w:rPr>
          <w:rFonts w:ascii="Calibri" w:cs="Calibri" w:eastAsia="Calibri" w:hAnsi="Calibri"/>
          <w:color w:val="4a4a4a"/>
          <w:sz w:val="21"/>
          <w:szCs w:val="21"/>
        </w:rPr>
        <w:t xml:space="preserve">Le membre peut choisir le métier qu'il soutient.</w:t>
      </w:r>
    </w:p>
    <w:p>
      <w:pPr>
        <w:spacing w:after="150" w:line="300"/>
      </w:pPr>
      <w:r>
        <w:rPr>
          <w:rFonts w:ascii="Calibri" w:cs="Calibri" w:eastAsia="Calibri" w:hAnsi="Calibri"/>
          <w:b/>
          <w:bCs/>
          <w:color w:val="c8872f"/>
          <w:sz w:val="21"/>
          <w:szCs w:val="21"/>
        </w:rPr>
        <w:t xml:space="preserve">Art. 87. </w:t>
      </w:r>
      <w:r>
        <w:rPr>
          <w:rFonts w:ascii="Calibri" w:cs="Calibri" w:eastAsia="Calibri" w:hAnsi="Calibri"/>
          <w:b/>
          <w:bCs/>
          <w:color w:val="1f1f1f"/>
          <w:sz w:val="21"/>
          <w:szCs w:val="21"/>
        </w:rPr>
        <w:t xml:space="preserve">Anonymat de l'apprenti — </w:t>
      </w:r>
      <w:r>
        <w:rPr>
          <w:rFonts w:ascii="Calibri" w:cs="Calibri" w:eastAsia="Calibri" w:hAnsi="Calibri"/>
          <w:color w:val="4a4a4a"/>
          <w:sz w:val="21"/>
          <w:szCs w:val="21"/>
        </w:rPr>
        <w:t xml:space="preserve">Le nom de l'apprenti n'est jamais communiqué, ni au membre, ni à un hôte, ni à un bienfaiteur. Le registre de la maison voisine n'est pas public et ne le deviendra pas. Le membre reçoit une fois l'an l'indication de ce qui a été fait : un panneau posé, une porte achevée, un maître retenu.</w:t>
      </w:r>
    </w:p>
    <w:p>
      <w:pPr>
        <w:spacing w:after="150" w:line="300"/>
      </w:pPr>
      <w:r>
        <w:rPr>
          <w:rFonts w:ascii="Calibri" w:cs="Calibri" w:eastAsia="Calibri" w:hAnsi="Calibri"/>
          <w:b/>
          <w:bCs/>
          <w:color w:val="c8872f"/>
          <w:sz w:val="21"/>
          <w:szCs w:val="21"/>
        </w:rPr>
        <w:t xml:space="preserve">Art. 88. </w:t>
      </w:r>
      <w:r>
        <w:rPr>
          <w:rFonts w:ascii="Calibri" w:cs="Calibri" w:eastAsia="Calibri" w:hAnsi="Calibri"/>
          <w:b/>
          <w:bCs/>
          <w:color w:val="1f1f1f"/>
          <w:sz w:val="21"/>
          <w:szCs w:val="21"/>
        </w:rPr>
        <w:t xml:space="preserve">Après la formation — </w:t>
      </w:r>
      <w:r>
        <w:rPr>
          <w:rFonts w:ascii="Calibri" w:cs="Calibri" w:eastAsia="Calibri" w:hAnsi="Calibri"/>
          <w:color w:val="4a4a4a"/>
          <w:sz w:val="21"/>
          <w:szCs w:val="21"/>
        </w:rPr>
        <w:t xml:space="preserve">Une fois la formation achevée et l'apprenti sorti, celui-ci peut, s'il le souhaite et de sa seule initiative, écrire au bienfaiteur. Aucune démarche en sens inverse n'est admise.</w:t>
      </w:r>
    </w:p>
    <w:p>
      <w:pPr>
        <w:pStyle w:val="Heading2"/>
        <w:spacing w:after="140" w:before="300"/>
      </w:pPr>
      <w:r>
        <w:rPr>
          <w:rFonts w:ascii="Calibri" w:cs="Calibri" w:eastAsia="Calibri" w:hAnsi="Calibri"/>
          <w:b/>
          <w:bCs/>
          <w:color w:val="1f1f1f"/>
          <w:sz w:val="23"/>
          <w:szCs w:val="23"/>
        </w:rPr>
        <w:t xml:space="preserve">19. Manquements et procédure</w:t>
      </w:r>
    </w:p>
    <w:p>
      <w:pPr>
        <w:spacing w:after="150" w:line="300"/>
      </w:pPr>
      <w:r>
        <w:rPr>
          <w:rFonts w:ascii="Calibri" w:cs="Calibri" w:eastAsia="Calibri" w:hAnsi="Calibri"/>
          <w:b/>
          <w:bCs/>
          <w:color w:val="c8872f"/>
          <w:sz w:val="21"/>
          <w:szCs w:val="21"/>
        </w:rPr>
        <w:t xml:space="preserve">Art. 89. </w:t>
      </w:r>
      <w:r>
        <w:rPr>
          <w:rFonts w:ascii="Calibri" w:cs="Calibri" w:eastAsia="Calibri" w:hAnsi="Calibri"/>
          <w:b/>
          <w:bCs/>
          <w:color w:val="1f1f1f"/>
          <w:sz w:val="21"/>
          <w:szCs w:val="21"/>
        </w:rPr>
        <w:t xml:space="preserve">Degré premier — </w:t>
      </w:r>
      <w:r>
        <w:rPr>
          <w:rFonts w:ascii="Calibri" w:cs="Calibri" w:eastAsia="Calibri" w:hAnsi="Calibri"/>
          <w:color w:val="4a4a4a"/>
          <w:sz w:val="21"/>
          <w:szCs w:val="21"/>
        </w:rPr>
        <w:t xml:space="preserve">Manquement mineur : rappel oral par le responsable de la maison.</w:t>
      </w:r>
    </w:p>
    <w:p>
      <w:pPr>
        <w:spacing w:after="150" w:line="300"/>
      </w:pPr>
      <w:r>
        <w:rPr>
          <w:rFonts w:ascii="Calibri" w:cs="Calibri" w:eastAsia="Calibri" w:hAnsi="Calibri"/>
          <w:b/>
          <w:bCs/>
          <w:color w:val="c8872f"/>
          <w:sz w:val="21"/>
          <w:szCs w:val="21"/>
        </w:rPr>
        <w:t xml:space="preserve">Art. 90. </w:t>
      </w:r>
      <w:r>
        <w:rPr>
          <w:rFonts w:ascii="Calibri" w:cs="Calibri" w:eastAsia="Calibri" w:hAnsi="Calibri"/>
          <w:b/>
          <w:bCs/>
          <w:color w:val="1f1f1f"/>
          <w:sz w:val="21"/>
          <w:szCs w:val="21"/>
        </w:rPr>
        <w:t xml:space="preserve">Degré deuxième — </w:t>
      </w:r>
      <w:r>
        <w:rPr>
          <w:rFonts w:ascii="Calibri" w:cs="Calibri" w:eastAsia="Calibri" w:hAnsi="Calibri"/>
          <w:color w:val="4a4a4a"/>
          <w:sz w:val="21"/>
          <w:szCs w:val="21"/>
        </w:rPr>
        <w:t xml:space="preserve">Manquement répété ou avéré : avertissement écrit, versé au registre.</w:t>
      </w:r>
    </w:p>
    <w:p>
      <w:pPr>
        <w:spacing w:after="150" w:line="300"/>
      </w:pPr>
      <w:r>
        <w:rPr>
          <w:rFonts w:ascii="Calibri" w:cs="Calibri" w:eastAsia="Calibri" w:hAnsi="Calibri"/>
          <w:b/>
          <w:bCs/>
          <w:color w:val="c8872f"/>
          <w:sz w:val="21"/>
          <w:szCs w:val="21"/>
        </w:rPr>
        <w:t xml:space="preserve">Art. 91. </w:t>
      </w:r>
      <w:r>
        <w:rPr>
          <w:rFonts w:ascii="Calibri" w:cs="Calibri" w:eastAsia="Calibri" w:hAnsi="Calibri"/>
          <w:b/>
          <w:bCs/>
          <w:color w:val="1f1f1f"/>
          <w:sz w:val="21"/>
          <w:szCs w:val="21"/>
        </w:rPr>
        <w:t xml:space="preserve">Degré troisième — </w:t>
      </w:r>
      <w:r>
        <w:rPr>
          <w:rFonts w:ascii="Calibri" w:cs="Calibri" w:eastAsia="Calibri" w:hAnsi="Calibri"/>
          <w:color w:val="4a4a4a"/>
          <w:sz w:val="21"/>
          <w:szCs w:val="21"/>
        </w:rPr>
        <w:t xml:space="preserve">Suspension de trois à douze mois, prononcée par le responsable de la maison : la cotisation reste due et les nuits ne sont pas restituées.</w:t>
      </w:r>
    </w:p>
    <w:p>
      <w:pPr>
        <w:spacing w:after="150" w:line="300"/>
      </w:pPr>
      <w:r>
        <w:rPr>
          <w:rFonts w:ascii="Calibri" w:cs="Calibri" w:eastAsia="Calibri" w:hAnsi="Calibri"/>
          <w:b/>
          <w:bCs/>
          <w:color w:val="c8872f"/>
          <w:sz w:val="21"/>
          <w:szCs w:val="21"/>
        </w:rPr>
        <w:t xml:space="preserve">Art. 92. </w:t>
      </w:r>
      <w:r>
        <w:rPr>
          <w:rFonts w:ascii="Calibri" w:cs="Calibri" w:eastAsia="Calibri" w:hAnsi="Calibri"/>
          <w:b/>
          <w:bCs/>
          <w:color w:val="1f1f1f"/>
          <w:sz w:val="21"/>
          <w:szCs w:val="21"/>
        </w:rPr>
        <w:t xml:space="preserve">Faute grave — </w:t>
      </w:r>
      <w:r>
        <w:rPr>
          <w:rFonts w:ascii="Calibri" w:cs="Calibri" w:eastAsia="Calibri" w:hAnsi="Calibri"/>
          <w:color w:val="4a4a4a"/>
          <w:sz w:val="21"/>
          <w:szCs w:val="21"/>
        </w:rPr>
        <w:t xml:space="preserve">Faute grave : radiation prononcée par le conseil de la maison, sans remboursement d'aucune sorte. Constituent notamment une faute grave :</w:t>
      </w:r>
    </w:p>
    <w:p>
      <w:pPr>
        <w:spacing w:after="110" w:line="300"/>
        <w:ind w:left="340"/>
      </w:pPr>
      <w:r>
        <w:rPr>
          <w:rFonts w:ascii="Calibri" w:cs="Calibri" w:eastAsia="Calibri" w:hAnsi="Calibri"/>
          <w:color w:val="4a4a4a"/>
          <w:sz w:val="20"/>
          <w:szCs w:val="20"/>
        </w:rPr>
        <w:t xml:space="preserve">— tout manquement aux articles 22 à 28 (le seuil) ;</w:t>
      </w:r>
    </w:p>
    <w:p>
      <w:pPr>
        <w:spacing w:after="110" w:line="300"/>
        <w:ind w:left="340"/>
      </w:pPr>
      <w:r>
        <w:rPr>
          <w:rFonts w:ascii="Calibri" w:cs="Calibri" w:eastAsia="Calibri" w:hAnsi="Calibri"/>
          <w:color w:val="4a4a4a"/>
          <w:sz w:val="20"/>
          <w:szCs w:val="20"/>
        </w:rPr>
        <w:t xml:space="preserve">— l'indiscrétion, la publication, la photographie, l'entretien de presse ;</w:t>
      </w:r>
    </w:p>
    <w:p>
      <w:pPr>
        <w:spacing w:after="110" w:line="300"/>
        <w:ind w:left="340"/>
      </w:pPr>
      <w:r>
        <w:rPr>
          <w:rFonts w:ascii="Calibri" w:cs="Calibri" w:eastAsia="Calibri" w:hAnsi="Calibri"/>
          <w:color w:val="4a4a4a"/>
          <w:sz w:val="20"/>
          <w:szCs w:val="20"/>
        </w:rPr>
        <w:t xml:space="preserve">— l'introduction d'alcool ou d'une personne dont la présence est exclue par l'article 75 ;</w:t>
      </w:r>
    </w:p>
    <w:p>
      <w:pPr>
        <w:spacing w:after="110" w:line="300"/>
        <w:ind w:left="340"/>
      </w:pPr>
      <w:r>
        <w:rPr>
          <w:rFonts w:ascii="Calibri" w:cs="Calibri" w:eastAsia="Calibri" w:hAnsi="Calibri"/>
          <w:color w:val="4a4a4a"/>
          <w:sz w:val="20"/>
          <w:szCs w:val="20"/>
        </w:rPr>
        <w:t xml:space="preserve">— la tentative de céder sa place contre valeur ;</w:t>
      </w:r>
    </w:p>
    <w:p>
      <w:pPr>
        <w:spacing w:after="110" w:line="300"/>
        <w:ind w:left="340"/>
      </w:pPr>
      <w:r>
        <w:rPr>
          <w:rFonts w:ascii="Calibri" w:cs="Calibri" w:eastAsia="Calibri" w:hAnsi="Calibri"/>
          <w:color w:val="4a4a4a"/>
          <w:sz w:val="20"/>
          <w:szCs w:val="20"/>
        </w:rPr>
        <w:t xml:space="preserve">— le port d'un signe du vêtement de la maison voisine ;</w:t>
      </w:r>
    </w:p>
    <w:p>
      <w:pPr>
        <w:spacing w:after="110" w:line="300"/>
        <w:ind w:left="340"/>
      </w:pPr>
      <w:r>
        <w:rPr>
          <w:rFonts w:ascii="Calibri" w:cs="Calibri" w:eastAsia="Calibri" w:hAnsi="Calibri"/>
          <w:color w:val="4a4a4a"/>
          <w:sz w:val="20"/>
          <w:szCs w:val="20"/>
        </w:rPr>
        <w:t xml:space="preserve">— la sollicitation commerciale répétée après un avertissement ;</w:t>
      </w:r>
    </w:p>
    <w:p>
      <w:pPr>
        <w:spacing w:after="110" w:line="300"/>
        <w:ind w:left="340"/>
      </w:pPr>
      <w:r>
        <w:rPr>
          <w:rFonts w:ascii="Calibri" w:cs="Calibri" w:eastAsia="Calibri" w:hAnsi="Calibri"/>
          <w:color w:val="4a4a4a"/>
          <w:sz w:val="20"/>
          <w:szCs w:val="20"/>
        </w:rPr>
        <w:t xml:space="preserve">— toute violence, menace ou traitement humiliant envers quiconque, membre, invité, personnel ou habitant de la maison voisine.</w:t>
      </w:r>
    </w:p>
    <w:p>
      <w:pPr>
        <w:spacing w:after="150" w:line="300"/>
      </w:pPr>
      <w:r>
        <w:rPr>
          <w:rFonts w:ascii="Calibri" w:cs="Calibri" w:eastAsia="Calibri" w:hAnsi="Calibri"/>
          <w:b/>
          <w:bCs/>
          <w:color w:val="c8872f"/>
          <w:sz w:val="21"/>
          <w:szCs w:val="21"/>
        </w:rPr>
        <w:t xml:space="preserve">Art. 93. </w:t>
      </w:r>
      <w:r>
        <w:rPr>
          <w:rFonts w:ascii="Calibri" w:cs="Calibri" w:eastAsia="Calibri" w:hAnsi="Calibri"/>
          <w:b/>
          <w:bCs/>
          <w:color w:val="1f1f1f"/>
          <w:sz w:val="21"/>
          <w:szCs w:val="21"/>
        </w:rPr>
        <w:t xml:space="preserve">Procédure — </w:t>
      </w:r>
      <w:r>
        <w:rPr>
          <w:rFonts w:ascii="Calibri" w:cs="Calibri" w:eastAsia="Calibri" w:hAnsi="Calibri"/>
          <w:color w:val="4a4a4a"/>
          <w:sz w:val="21"/>
          <w:szCs w:val="21"/>
        </w:rPr>
        <w:t xml:space="preserve">Le membre est entendu avant toute suspension ou radiation, sauf urgence tenant à la sécurité des personnes ou à la réputation de la maison. La décision n'est pas motivée au-delà de la mention de l'article enfreint, et n'est susceptible d'aucun recours.</w:t>
      </w:r>
    </w:p>
    <w:p>
      <w:pPr>
        <w:spacing w:after="150" w:line="300"/>
      </w:pPr>
      <w:r>
        <w:rPr>
          <w:rFonts w:ascii="Calibri" w:cs="Calibri" w:eastAsia="Calibri" w:hAnsi="Calibri"/>
          <w:b/>
          <w:bCs/>
          <w:color w:val="c8872f"/>
          <w:sz w:val="21"/>
          <w:szCs w:val="21"/>
        </w:rPr>
        <w:t xml:space="preserve">Art. 94. </w:t>
      </w:r>
      <w:r>
        <w:rPr>
          <w:rFonts w:ascii="Calibri" w:cs="Calibri" w:eastAsia="Calibri" w:hAnsi="Calibri"/>
          <w:b/>
          <w:bCs/>
          <w:color w:val="1f1f1f"/>
          <w:sz w:val="21"/>
          <w:szCs w:val="21"/>
        </w:rPr>
        <w:t xml:space="preserve">Publicité de la sanction — </w:t>
      </w:r>
      <w:r>
        <w:rPr>
          <w:rFonts w:ascii="Calibri" w:cs="Calibri" w:eastAsia="Calibri" w:hAnsi="Calibri"/>
          <w:color w:val="4a4a4a"/>
          <w:sz w:val="21"/>
          <w:szCs w:val="21"/>
        </w:rPr>
        <w:t xml:space="preserve">La radiation n'est communiquée à aucun membre. Le nom disparaît du rôle, et il n'en est pas parlé.</w:t>
      </w:r>
    </w:p>
    <w:p>
      <w:pPr>
        <w:pStyle w:val="Heading2"/>
        <w:spacing w:after="140" w:before="300"/>
      </w:pPr>
      <w:r>
        <w:rPr>
          <w:rFonts w:ascii="Calibri" w:cs="Calibri" w:eastAsia="Calibri" w:hAnsi="Calibri"/>
          <w:b/>
          <w:bCs/>
          <w:color w:val="1f1f1f"/>
          <w:sz w:val="23"/>
          <w:szCs w:val="23"/>
        </w:rPr>
        <w:t xml:space="preserve">20. Dispositions finales</w:t>
      </w:r>
    </w:p>
    <w:p>
      <w:pPr>
        <w:spacing w:after="150" w:line="300"/>
      </w:pPr>
      <w:r>
        <w:rPr>
          <w:rFonts w:ascii="Calibri" w:cs="Calibri" w:eastAsia="Calibri" w:hAnsi="Calibri"/>
          <w:b/>
          <w:bCs/>
          <w:color w:val="c8872f"/>
          <w:sz w:val="21"/>
          <w:szCs w:val="21"/>
        </w:rPr>
        <w:t xml:space="preserve">Art. 95. </w:t>
      </w:r>
      <w:r>
        <w:rPr>
          <w:rFonts w:ascii="Calibri" w:cs="Calibri" w:eastAsia="Calibri" w:hAnsi="Calibri"/>
          <w:b/>
          <w:bCs/>
          <w:color w:val="1f1f1f"/>
          <w:sz w:val="21"/>
          <w:szCs w:val="21"/>
        </w:rPr>
        <w:t xml:space="preserve">Remise — </w:t>
      </w:r>
      <w:r>
        <w:rPr>
          <w:rFonts w:ascii="Calibri" w:cs="Calibri" w:eastAsia="Calibri" w:hAnsi="Calibri"/>
          <w:color w:val="4a4a4a"/>
          <w:sz w:val="21"/>
          <w:szCs w:val="21"/>
        </w:rPr>
        <w:t xml:space="preserve">Le présent règlement est remis à chaque membre lors de son admission et signé par lui. Il est également signé par tout successeur désigné admis.</w:t>
      </w:r>
    </w:p>
    <w:p>
      <w:pPr>
        <w:spacing w:after="150" w:line="300"/>
      </w:pPr>
      <w:r>
        <w:rPr>
          <w:rFonts w:ascii="Calibri" w:cs="Calibri" w:eastAsia="Calibri" w:hAnsi="Calibri"/>
          <w:b/>
          <w:bCs/>
          <w:color w:val="c8872f"/>
          <w:sz w:val="21"/>
          <w:szCs w:val="21"/>
        </w:rPr>
        <w:t xml:space="preserve">Art. 96. </w:t>
      </w:r>
      <w:r>
        <w:rPr>
          <w:rFonts w:ascii="Calibri" w:cs="Calibri" w:eastAsia="Calibri" w:hAnsi="Calibri"/>
          <w:b/>
          <w:bCs/>
          <w:color w:val="1f1f1f"/>
          <w:sz w:val="21"/>
          <w:szCs w:val="21"/>
        </w:rPr>
        <w:t xml:space="preserve">Modification — </w:t>
      </w:r>
      <w:r>
        <w:rPr>
          <w:rFonts w:ascii="Calibri" w:cs="Calibri" w:eastAsia="Calibri" w:hAnsi="Calibri"/>
          <w:color w:val="4a4a4a"/>
          <w:sz w:val="21"/>
          <w:szCs w:val="21"/>
        </w:rPr>
        <w:t xml:space="preserve">Il peut être modifié par le conseil de la maison. Toute modification touchant aux sections 6, 7 et 8 du titre II requiert en outre l'accord exprès de la maison voisine.</w:t>
      </w:r>
    </w:p>
    <w:p>
      <w:pPr>
        <w:spacing w:after="150" w:line="300"/>
      </w:pPr>
      <w:r>
        <w:rPr>
          <w:rFonts w:ascii="Calibri" w:cs="Calibri" w:eastAsia="Calibri" w:hAnsi="Calibri"/>
          <w:b/>
          <w:bCs/>
          <w:color w:val="c8872f"/>
          <w:sz w:val="21"/>
          <w:szCs w:val="21"/>
        </w:rPr>
        <w:t xml:space="preserve">Art. 97. </w:t>
      </w:r>
      <w:r>
        <w:rPr>
          <w:rFonts w:ascii="Calibri" w:cs="Calibri" w:eastAsia="Calibri" w:hAnsi="Calibri"/>
          <w:b/>
          <w:bCs/>
          <w:color w:val="1f1f1f"/>
          <w:sz w:val="21"/>
          <w:szCs w:val="21"/>
        </w:rPr>
        <w:t xml:space="preserve">Hiérarchie — </w:t>
      </w:r>
      <w:r>
        <w:rPr>
          <w:rFonts w:ascii="Calibri" w:cs="Calibri" w:eastAsia="Calibri" w:hAnsi="Calibri"/>
          <w:color w:val="4a4a4a"/>
          <w:sz w:val="21"/>
          <w:szCs w:val="21"/>
        </w:rPr>
        <w:t xml:space="preserve">En cas de contradiction entre le présent règlement et la convention d'accès conclue avec la maison voisine, cette dernière prévaut.</w:t>
      </w:r>
    </w:p>
    <w:p>
      <w:pPr>
        <w:spacing w:after="150" w:line="300"/>
      </w:pPr>
      <w:r>
        <w:rPr>
          <w:rFonts w:ascii="Calibri" w:cs="Calibri" w:eastAsia="Calibri" w:hAnsi="Calibri"/>
          <w:b/>
          <w:bCs/>
          <w:color w:val="c8872f"/>
          <w:sz w:val="21"/>
          <w:szCs w:val="21"/>
        </w:rPr>
        <w:t xml:space="preserve">Art. 98. </w:t>
      </w:r>
      <w:r>
        <w:rPr>
          <w:rFonts w:ascii="Calibri" w:cs="Calibri" w:eastAsia="Calibri" w:hAnsi="Calibri"/>
          <w:b/>
          <w:bCs/>
          <w:color w:val="1f1f1f"/>
          <w:sz w:val="21"/>
          <w:szCs w:val="21"/>
        </w:rPr>
        <w:t xml:space="preserve">Silence du règlement — </w:t>
      </w:r>
      <w:r>
        <w:rPr>
          <w:rFonts w:ascii="Calibri" w:cs="Calibri" w:eastAsia="Calibri" w:hAnsi="Calibri"/>
          <w:color w:val="4a4a4a"/>
          <w:sz w:val="21"/>
          <w:szCs w:val="21"/>
        </w:rPr>
        <w:t xml:space="preserve">Le silence du règlement se résout par l'usage de la maison et par la décision du responsable, dans le sens le plus favorable à la tranquillité des lieux et à la discrétion des personnes.</w:t>
      </w:r>
    </w:p>
    <w:p>
      <w:pPr>
        <w:spacing w:after="300"/>
      </w:pPr>
    </w:p>
    <w:p>
      <w:pPr>
        <w:pStyle w:val="Heading2"/>
        <w:spacing w:after="140" w:before="300"/>
      </w:pPr>
      <w:r>
        <w:rPr>
          <w:rFonts w:ascii="Calibri" w:cs="Calibri" w:eastAsia="Calibri" w:hAnsi="Calibri"/>
          <w:b/>
          <w:bCs/>
          <w:color w:val="1f1f1f"/>
          <w:sz w:val="23"/>
          <w:szCs w:val="23"/>
        </w:rPr>
        <w:t xml:space="preserve">Signature</w:t>
      </w:r>
    </w:p>
    <w:p>
      <w:pPr>
        <w:spacing w:after="140" w:line="300"/>
      </w:pPr>
      <w:r>
        <w:rPr>
          <w:rFonts w:ascii="Calibri" w:cs="Calibri" w:eastAsia="Calibri" w:hAnsi="Calibri"/>
          <w:color w:val="4a4a4a"/>
          <w:sz w:val="21"/>
          <w:szCs w:val="21"/>
        </w:rPr>
        <w:t xml:space="preserve">Je, soussigné, déclare avoir pris connaissance du présent règlement, en accepter chacune des dispositions — et en particulier la clause de fermeture (art. 78 à 80) et les règles du seuil (art. 22 à 28) — et m'engager à les respecter pendant toute la durée de mon appartenance à An-Nudamāʾ.</w:t>
      </w:r>
    </w:p>
    <w:p>
      <w:pPr>
        <w:spacing w:after="300"/>
      </w:pPr>
    </w:p>
    <w:p>
      <w:pPr>
        <w:spacing w:after="140" w:line="300"/>
      </w:pPr>
      <w:r>
        <w:rPr>
          <w:rFonts w:ascii="Calibri" w:cs="Calibri" w:eastAsia="Calibri" w:hAnsi="Calibri"/>
          <w:color w:val="4a4a4a"/>
          <w:sz w:val="21"/>
          <w:szCs w:val="21"/>
        </w:rPr>
        <w:t xml:space="preserve">Nom : ______________________________          Date : ____________________</w:t>
      </w:r>
    </w:p>
    <w:p>
      <w:pPr>
        <w:spacing w:after="200"/>
      </w:pPr>
    </w:p>
    <w:p>
      <w:pPr>
        <w:spacing w:after="140" w:line="300"/>
      </w:pPr>
      <w:r>
        <w:rPr>
          <w:rFonts w:ascii="Calibri" w:cs="Calibri" w:eastAsia="Calibri" w:hAnsi="Calibri"/>
          <w:color w:val="4a4a4a"/>
          <w:sz w:val="21"/>
          <w:szCs w:val="21"/>
        </w:rPr>
        <w:t xml:space="preserve">Signature : ______________________________</w:t>
      </w:r>
    </w:p>
    <w:p>
      <w:pPr>
        <w:spacing w:after="400"/>
      </w:pPr>
    </w:p>
    <w:p>
      <w:pPr>
        <w:pBdr>
          <w:bottom w:val="single" w:color="DDDDDD" w:sz="6"/>
        </w:pBdr>
        <w:spacing w:after="200"/>
      </w:pPr>
    </w:p>
    <w:p>
      <w:pPr>
        <w:spacing w:after="140" w:line="300"/>
      </w:pPr>
      <w:r>
        <w:rPr>
          <w:rFonts w:ascii="Calibri" w:cs="Calibri" w:eastAsia="Calibri" w:hAnsi="Calibri"/>
          <w:i/>
          <w:iCs/>
          <w:color w:val="4a4a4a"/>
          <w:sz w:val="19"/>
          <w:szCs w:val="19"/>
        </w:rPr>
        <w:t xml:space="preserve">Rédigé en français. Version de travail — août 2026. À réviser par un conseiller juridique marocain, notamment sur l'admission réservée aux hommes, la conservation exclusivement manuscrite du rôle des membres au regard des obligations de conservation et de protection des données, et l'articulation avec les statuts de la société d'exploitation.</w:t>
      </w:r>
    </w:p>
    <w:sectPr>
      <w:pgSz w:w="11906" w:h="16838" w:orient="portrait"/>
      <w:pgMar w:top="1200" w:right="1440" w:bottom="12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4a4a4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2026-08-18T16:10:00.319Z</dcterms:created>
  <dcterms:modified xsi:type="dcterms:W3CDTF">2026-08-18T16:10:00.320Z</dcterms:modified>
</cp:coreProperties>
</file>

<file path=docProps/custom.xml><?xml version="1.0" encoding="utf-8"?>
<Properties xmlns="http://schemas.openxmlformats.org/officeDocument/2006/custom-properties" xmlns:vt="http://schemas.openxmlformats.org/officeDocument/2006/docPropsVTypes"/>
</file>