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校园信息化平台指南</w:t>
      </w:r>
    </w:p>
    <w:p>
      <w:pPr>
        <w:spacing w:before="120" w:after="120" w:line="288" w:lineRule="auto"/>
        <w:ind w:left="0" w:firstLine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学校统一身份认证</w:t>
      </w:r>
      <w:bookmarkEnd w:id="0"/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5241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bookmarkEnd w:id="1"/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网上办事大厅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一站式网上办事大厅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可以搜索流程关键字找到业务流程按指南联系咨询业务，或者点击办理进入填写提交。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可以在流程攻略找到对应事项类型说明，点击相关链接跳转办理。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OA智慧办公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通过OA系统，您可进行公文流转、表单审批、校级合同业务等。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4" w:id="4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校园邮箱-教师</w:t>
      </w:r>
      <w:bookmarkEnd w:id="4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235267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使用【统一身份认证账号密码】登录学校信息门户，首页左侧，可以注册和进入邮箱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点击查看</w:t>
      </w:r>
      <w:hyperlink r:id="rId6">
        <w:r>
          <w:rPr>
            <w:rFonts w:eastAsia="等线" w:ascii="Arial" w:cs="Arial" w:hAnsi="Arial"/>
            <w:b w:val="true"/>
            <w:color w:val="3370ff"/>
            <w:sz w:val="22"/>
          </w:rPr>
          <w:t>邮箱密码设置注意事项</w:t>
        </w:r>
      </w:hyperlink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https://service.scau.edu.cn/taskcenter-v4-new/workflow/gl/30396176-013a-4f41-9782-fef037c0bc72" TargetMode="External" Type="http://schemas.openxmlformats.org/officeDocument/2006/relationships/hyperlink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2025-05-13T16:58:10Z</dcterms:created>
  <dc:creator>Apache POI</dc:creator>
</cp:coreProperties>
</file>