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经费申请业务类的攻略指南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介绍经费申请相关业务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1.横向科技项目结余经费提取绩效奖励申请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若您的身份是在校教职工，需办理横向科技项目结余经费提取绩效奖励申请业务，可点击“</w:t>
      </w:r>
      <w:hyperlink r:id="rId4">
        <w:r>
          <w:rPr>
            <w:rFonts w:eastAsia="等线" w:ascii="Arial" w:cs="Arial" w:hAnsi="Arial"/>
            <w:color w:val="3370ff"/>
            <w:sz w:val="22"/>
          </w:rPr>
          <w:t>横向科技项目结余经费提取绩效奖励申请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该流程常规环节：申请人填写信息——成员签名——单位审核——科技处意见——申请人确认——流程结束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1.已在科研管理系统中完成结题填报并提交结题材料到科技管理部门，状态显示是“完成”的横向科技项目可提取结余经费用于绩效奖励。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2.网上办事大厅审核后，双面打印绩效奖励申请表1份到财务处办事大厅办理绩效提取。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2.自然科学类科研经费预算调整申请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若您的身份是在校教职工，需办理自然科学类科研经费预算调整申请业务，可点击“</w:t>
      </w:r>
      <w:hyperlink r:id="rId5">
        <w:r>
          <w:rPr>
            <w:rFonts w:eastAsia="等线" w:ascii="Arial" w:cs="Arial" w:hAnsi="Arial"/>
            <w:color w:val="3370ff"/>
            <w:sz w:val="22"/>
          </w:rPr>
          <w:t>自然科学类科研经费预算调整申请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该流程常规环节：申请人填写信息——单位审核——科技处意见——财务处意见——申请人确认——流程结束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1.全校自然科学类纵向项目合同书中经费预算需做调整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2.如需盖校章，需在流程结束后，凭打印件到科技处找相关审核老师开盖章条，到党政办公室秘书二科617A室办理。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3.科研项目外拨经费申请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若您的身份是在校教职工，需办理科研项目外拨经费申请业务，可点击“</w:t>
      </w:r>
      <w:hyperlink r:id="rId6">
        <w:r>
          <w:rPr>
            <w:rFonts w:eastAsia="等线" w:ascii="Arial" w:cs="Arial" w:hAnsi="Arial"/>
            <w:color w:val="3370ff"/>
            <w:sz w:val="22"/>
          </w:rPr>
          <w:t>科研项目外拨经费申请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该流程常规环节：申请人填写信息——单位审核——科技处意见——财务处意见——申请人确认——流程结束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1.网上申请审批后，请携带《华南农业大学科研经费外拨申请表》、网上预约借款单（到账证明）、科研合作协议书、合作单位经费预算表等材料到财务处办理外拨报账手续。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2.网上申请审批后，请携带请款单（或打印网上请款单）到财务处报账大厅办理外拨转账手续。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ea121"/>
          <w:sz w:val="36"/>
          <w:u w:val="single"/>
        </w:rPr>
        <w:t>4.人文社科类科研经费预算调整申请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若您的身份是在校教职工，需办理人文社科类科研经费预算调整申请业务，可点击“</w:t>
      </w:r>
      <w:hyperlink r:id="rId7">
        <w:r>
          <w:rPr>
            <w:rFonts w:eastAsia="等线" w:ascii="Arial" w:cs="Arial" w:hAnsi="Arial"/>
            <w:color w:val="3370ff"/>
            <w:sz w:val="22"/>
          </w:rPr>
          <w:t>人文社科类科研经费预算调整申请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该流程常规环节：申请人填写信息——单位审核——社科处意见——财务处意见——申请人确认——流程结束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1.符合相关资金管理办法预算调整规定的科研项目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2.网上申请时，请上传项目经费预算表或合同书。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color w:val="2ea121"/>
          <w:sz w:val="36"/>
          <w:u w:val="single"/>
        </w:rPr>
        <w:t>5.引进人才科研启动费/人才项目配套经费申请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若您的身份是在校教职工，需办理引进人才科研启动费/人才项目配套经费申请业务，可点击“</w:t>
      </w:r>
      <w:hyperlink r:id="rId8">
        <w:r>
          <w:rPr>
            <w:rFonts w:eastAsia="等线" w:ascii="Arial" w:cs="Arial" w:hAnsi="Arial"/>
            <w:color w:val="3370ff"/>
            <w:sz w:val="22"/>
          </w:rPr>
          <w:t>引进人才科研启动费/人才项目配套经费申请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该流程常规环节：申请人填写信息——人力资源处审核——申请人确认——流程结束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1.引进人才到岗后申请人才聘任合同中的科研经费、长江学者、珠江学者入选者配套科研经费。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2.若在经费使用过程中，对原预算科目经费需调整，请先与人力资源处人才工作科咨询沟通。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color w:val="2ea121"/>
          <w:sz w:val="36"/>
          <w:u w:val="single"/>
        </w:rPr>
        <w:t>6.电梯维修经费申请</w:t>
      </w:r>
      <w:bookmarkEnd w:id="5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若您的身份是在校教职工，需办理电梯维修经费申请业务，可点击“</w:t>
      </w:r>
      <w:hyperlink r:id="rId9">
        <w:r>
          <w:rPr>
            <w:rFonts w:eastAsia="等线" w:ascii="Arial" w:cs="Arial" w:hAnsi="Arial"/>
            <w:color w:val="3370ff"/>
            <w:sz w:val="22"/>
          </w:rPr>
          <w:t>电梯维修经费申请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该流程常规环节：申请人填写信息——设备科审核——主管校领导意见——申请人确认——流程结束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color w:val="2ea121"/>
          <w:sz w:val="36"/>
          <w:u w:val="single"/>
        </w:rPr>
        <w:t>7.学校经费发放审批申请</w:t>
      </w:r>
      <w:bookmarkEnd w:id="6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若您的身份是在校教职工，需办理学校经费发放审批申请业务，可点击“</w:t>
      </w:r>
      <w:hyperlink r:id="rId10">
        <w:r>
          <w:rPr>
            <w:rFonts w:eastAsia="等线" w:ascii="Arial" w:cs="Arial" w:hAnsi="Arial"/>
            <w:color w:val="3370ff"/>
            <w:sz w:val="22"/>
          </w:rPr>
          <w:t>学校经费发放审批申请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该流程常规环节：申请人填写信息——单位审核——人事处意见/研究生院意见/学生工作处意见——分管校领导意见——申请人确认——流程结束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其他说明：学校经费发放审批申请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在《华南农业大学经费审批管理办法（试行）》（华南农办〔2017〕152号）中规定需要分管校领导及以上级别审批的经费发放事项，包括：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1.学生各类单项奖励发放；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2.单笔2万元（含2万元）以上的学生特殊困难补助及突发事件补助发放；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3.学校发放教职工、校内单位的各类专项奖励发放。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color w:val="2ea121"/>
          <w:sz w:val="36"/>
          <w:u w:val="single"/>
        </w:rPr>
        <w:t>8.仪器设备维修经费申请</w:t>
      </w:r>
      <w:bookmarkEnd w:id="7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若您的身份是在校教职工，需办理仪器设备维修经费申请业务，可点击“</w:t>
      </w:r>
      <w:hyperlink r:id="rId11">
        <w:r>
          <w:rPr>
            <w:rFonts w:eastAsia="等线" w:ascii="Arial" w:cs="Arial" w:hAnsi="Arial"/>
            <w:color w:val="3370ff"/>
            <w:sz w:val="22"/>
          </w:rPr>
          <w:t>仪器设备维修经费申请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该流程常规环节：申请人填写信息——单位审核——设备科意见——主管校领导意见——申请人确认——流程结束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其他说明：设备购置经费来源为除科研以外的设备，且维修经费&gt;3000（含）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color w:val="2ea121"/>
          <w:sz w:val="36"/>
          <w:u w:val="single"/>
        </w:rPr>
        <w:t>9.学校经费支出审批申请</w:t>
      </w:r>
      <w:bookmarkEnd w:id="8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若您的身份是在校教职工，需办理学校经费支出审批申请业务，可点击“</w:t>
      </w:r>
      <w:hyperlink r:id="rId12">
        <w:r>
          <w:rPr>
            <w:rFonts w:eastAsia="等线" w:ascii="Arial" w:cs="Arial" w:hAnsi="Arial"/>
            <w:color w:val="3370ff"/>
            <w:sz w:val="22"/>
          </w:rPr>
          <w:t>学校经费支出审批申请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1.机关及教辅单位经费支出审批：仅限机关及教辅单位人员可发起，针对学校没有签订经济合同的单笔金额在5万元以上的经济业务支出；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2.职能部门归口管理的全校公共使用的专项经费支出审批：仅限职能部门人员可发起，针对学校没有签订经济合同的单笔金额在5万元以上的经济业务支出；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3.科研协作经费审批：针对单笔金额在100万元以上（含 100 万元）的科研协作经费支出；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4.基本建设经费支出审批：针对单笔支出50万元以上（含50万元）的基本建设经费支出。</w:t>
      </w: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service.scau.edu.cn/infoplus/form/HDNYJFFFSQ/start" TargetMode="External" Type="http://schemas.openxmlformats.org/officeDocument/2006/relationships/hyperlink"/><Relationship Id="rId11" Target="https://service.scau.edu.cn/infoplus/form/HNNYDXYQSBWHSJSQB/start" TargetMode="External" Type="http://schemas.openxmlformats.org/officeDocument/2006/relationships/hyperlink"/><Relationship Id="rId12" Target="https://service.scau.edu.cn/infoplus/form/HNNYJFZCSQ/start" TargetMode="External" Type="http://schemas.openxmlformats.org/officeDocument/2006/relationships/hyperlink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HXKJXMJYJFTQJXJSQ/start" TargetMode="External" Type="http://schemas.openxmlformats.org/officeDocument/2006/relationships/hyperlink"/><Relationship Id="rId5" Target="https://service.scau.edu.cn/infoplus/form/KYJFYSTZSQJSP/start" TargetMode="External" Type="http://schemas.openxmlformats.org/officeDocument/2006/relationships/hyperlink"/><Relationship Id="rId6" Target="https://service.scau.edu.cn/infoplus/form/WBJFSQ/start" TargetMode="External" Type="http://schemas.openxmlformats.org/officeDocument/2006/relationships/hyperlink"/><Relationship Id="rId7" Target="https://service.scau.edu.cn/infoplus/form/RESKLKYJFYSTZSQ/start" TargetMode="External" Type="http://schemas.openxmlformats.org/officeDocument/2006/relationships/hyperlink"/><Relationship Id="rId8" Target="https://service.scau.edu.cn/infoplus/form/KYJFSQ/start" TargetMode="External" Type="http://schemas.openxmlformats.org/officeDocument/2006/relationships/hyperlink"/><Relationship Id="rId9" Target="https://service.scau.edu.cn/infoplus/form/DTWXJFSQB/start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2025-05-13T16:53:55Z</dcterms:created>
  <dc:creator>Apache POI</dc:creator>
</cp:coreProperties>
</file>