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网络业务@个人申请使用的攻略指南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介绍网络相关业务@个人的申请指引 【学生校园网开户续费|校园网自助服务|VPN|教职工（住宅区）校园网开户/续费|办公账号校园网开户申请】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1.学生校园网开户/缴费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若您的身份是在校学生，需办理学生校园网开户/缴费业务，可点击“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学生校园网开户/缴费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新用户：申请人填写——信息网络中心审核——缴费——订单查询——流程结束。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老用户：申请人填写——缴费——订单查询——流程结束。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(1)成教生目前只支持线下办理。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(2)网上开户缴费时间：8：00-21：55。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2.校园网自助服务【常见问答】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1.如何变更校园网初始密码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答：按信息网络中心通知，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开户当天使用【校园网初始密码】登录，详情请见开户表单红字说明。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开户隔天可使用【学校统一身份认证账号密码】登录，登录成功后【校园网初始密码】更新为【统一身份认证账号密码】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2.如何暂停/恢复校园网@【校园网自助服务】（锐捷）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答：按信息网络中心通知，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用户可使用校园网账号密码登录【校园网自助服务】（锐捷），进行设备管理以及暂停/恢复校园网。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[温馨提醒]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按信息网络中心通知，[校园网自助服务]从24年3月起，需要遵循国家《信息安全技术网络安全等级保护基本要求》，服务安排需要在【校园网环境】进入办理。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因此如果需要办理校园网恢复，请在校园网环境登录校园网自助服务。或在数据流量+登录学校vpn后办理。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以下供参考【校园网环境/学校VPN环境下，打开登录校园网自助服务】：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【方法一】通过学校VPN服务→校园网自助服务→使用校园网账号密码登录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0003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【方法二】登录学校VPN服务，进入微信-微门户-通过搜索关键字或者信息网络中心直通车找到【校园网自助服务】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3938"/>
        <w:gridCol w:w="4341"/>
      </w:tblGrid>
      <w:tr>
        <w:tc>
          <w:tcPr>
            <w:tcW w:w="3938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343150" cy="125730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1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600325" cy="125730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【方法三】可于工作时间到信息网络中心现场连接【校园网wifi】登录办理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信息网络中心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咨询电话 ：020-85280099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地点 三角市综合楼二楼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3.VPN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8f959e"/>
          <w:sz w:val="22"/>
        </w:rPr>
        <w:t>点击查看</w:t>
      </w:r>
      <w:hyperlink r:id="rId8">
        <w:r>
          <w:rPr>
            <w:rFonts w:eastAsia="等线" w:ascii="Arial" w:cs="Arial" w:hAnsi="Arial"/>
            <w:color w:val="3370ff"/>
            <w:sz w:val="22"/>
          </w:rPr>
          <w:t>VPN使用说明→如何使用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4.教职工（住宅区）校园网开户/续费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若您的身份是在校教职工（在编、非编）以及离退休教职工，需办理教职工（住宅区）校园网开户/续费业务，可点击“</w:t>
      </w:r>
      <w:hyperlink r:id="rId9">
        <w:r>
          <w:rPr>
            <w:rFonts w:eastAsia="等线" w:ascii="Arial" w:cs="Arial" w:hAnsi="Arial"/>
            <w:color w:val="3370ff"/>
            <w:sz w:val="22"/>
          </w:rPr>
          <w:t>教职工（住宅区）校园网开户/续费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新用户：申请人填写——现代教育技术中心审核——缴费——通知上门按照——现代教育技术中心确认——申请人确认——流程结束。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老用户：申请人填写——缴费——申请人确认——流程结束。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其他说明：网上开户缴费时间：8：00-21：55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5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办公账号校园网开户申请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若您的身份是在职教职工，需办理办公账号校园网开户申请业务，可点击“</w:t>
      </w:r>
      <w:hyperlink r:id="rId10">
        <w:r>
          <w:rPr>
            <w:rFonts w:eastAsia="等线" w:ascii="Arial" w:cs="Arial" w:hAnsi="Arial"/>
            <w:color w:val="3370ff"/>
            <w:sz w:val="22"/>
          </w:rPr>
          <w:t>办公账号校园网开户申请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该流程常规环节为：申请人填写——单位领导审批——信息网络中心审批——缴费（上传转账凭证）——信息网络中心审批——申请人确认——流程结束。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(1)请自行填写“内部转账单”到财务处办理，收款方经费卡号为0001-32992400；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(2)缴费时请上传缴费凭证。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service.scau.edu.cn/infoplus/form/HNNYDXBGZHXYWKHSQ/start" TargetMode="External" Type="http://schemas.openxmlformats.org/officeDocument/2006/relationships/hyperlink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XSWSZHKHSQ/start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inc.scau.edu.cn/VPNfw/list.psp" TargetMode="External" Type="http://schemas.openxmlformats.org/officeDocument/2006/relationships/hyperlink"/><Relationship Id="rId9" Target="https://service.scau.edu.cn/infoplus/form/JRXYWXLSQ/start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2025-05-13T16:55:34Z</dcterms:created>
  <dc:creator>Apache POI</dc:creator>
</cp:coreProperties>
</file>