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210708-1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12847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210708-1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12847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1" w:name="_GoBack"/>
      <w:bookmarkEnd w:id="1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2" w:name="_GoBack"/>
      <w:bookmarkEnd w:id="2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1.632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1.626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1.626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0.0034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1.624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1.627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1.613/ 1.637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0</w:t>
      </w:r>
      <w:bookmarkStart w:id="3" w:name="_GoBack"/>
      <w:bookmarkEnd w:id="3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1.632-1.629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  <w:tc>
          <w:tcPr>
            <w:tcW w:type="dxa" w:w="2202"/>
          </w:tcPr>
          <w:p>
            <w:r>
              <w:t>1.629-1.626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1.626-1.623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  <w:tc>
          <w:tcPr>
            <w:tcW w:type="dxa" w:w="2202"/>
          </w:tcPr>
          <w:p>
            <w:r>
              <w:t>1.623-1.620</w:t>
            </w:r>
          </w:p>
        </w:tc>
        <w:tc>
          <w:tcPr>
            <w:tcW w:type="dxa" w:w="2202"/>
          </w:tcPr>
          <w:p>
            <w:r>
              <w:t>7</w:t>
            </w:r>
          </w:p>
        </w:tc>
      </w:tr>
      <w:tr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1.620-1.617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1.632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1.536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1.632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1.536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1.621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1.521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1.521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0.00347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0.00977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0.00347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0.00977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1.624 / 1.627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1.517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1.613/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1.637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1.501/1.545</w:t>
      </w:r>
      <w:bookmarkStart w:id="4" w:name="_GoBack"/>
      <w:bookmarkEnd w:id="4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1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1.632-1.629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1.629-1.626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1.626-1.623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1.623-1.620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2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1.620-1.617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5" w:name="_GoBack"/>
      <w:bookmarkEnd w:id="5"/>
    </w:p>
    <w:p>
      <w:r>
        <w:t>Key: ^ for Tab Tolerance Fail(T), ! for Criteria Fall(F), * for outlier(OH for High)(OL for Low)</w:t>
      </w:r>
    </w:p>
    <w:p w:rsidR="00DB3570" w:rsidRPr="00D55F54" w:rsidRDefault="00DB3570">
      <w:pPr>
        <w:rPr>
          <w:b/>
        </w:rPr>
      </w:pPr>
      <w:bookmarkStart w:id="6" w:name="_GoBack"/>
      <w:bookmarkEnd w:id="6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O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Pre O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Pre OCV 95% confidence interv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OCV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Post OCV WITHIN SD RAN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CCV 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9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Post CCV WITHIN SD RAN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0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Post OCV 95% confidence interv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1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Post CCV 95% confidence interva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2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OCV-CCV 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3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Post OCV-CCV WITHIN SD RAN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