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1.806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0.03563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0.03492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1.757 / 1.823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1.754 / 1.819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1.71 / 1.873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1.709 / 1.868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250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1.817-1.800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1.813-1.796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1.800-1.783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1.796-1.779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1.783-1.766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1.779-1.762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1.762-1.745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1.749-1.732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1.745-1.728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