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14891C00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2021-06-28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Panasonic CR2032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Li/MnO₂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210609-2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12827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13031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Coin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Screening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CJH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>Screening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3.2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2.7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5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C12400" w:rsidRDefault="0088085A" w:rsidP="00C12400">
      <w:pPr>
        <w:spacing w:line="240" w:lineRule="auto"/>
        <w:ind w:firstLine="720"/>
      </w:pPr>
      <w:r>
        <w:rPr>
          <w:b/>
        </w:rPr>
        <w:t>Current(mA)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0.002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/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</w:r>
      <w:r w:rsidR="00A40865" w:rsidRPr="00A40865">
        <w:rPr>
          <w:b/>
        </w:rPr>
      </w:r>
      <w:r/>
      <w:r w:rsidRPr="00A40865"/>
      <w:r w:rsidR="00A40865">
        <w:rPr>
          <w:b/>
        </w:rPr>
      </w:r>
      <w:r w:rsidRPr="00F85025"/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3.2(H) X 20.0(D)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34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0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2019-06-15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2021-05-13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2021-06-18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2021-06-18</w:t>
      </w:r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p>
      <w:r>
        <w:br w:type="page"/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14891C00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  <w:br/>
        <w:t>3. The outlier is identified by use 1.5*Interquartile Range rule (IQR). Q1, Q3 = [25% percentile, 75% percentile], the minimum for outliner = Q1 – 1.5* IQR, the maximum for outlier = Q3 +1.5* IQR.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0" w:name="_GoBack"/>
      <w:bookmarkEnd w:id="0"/>
    </w:p>
    <w:sectPr w:rsidR="000E20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