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Fairness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evaluated fairness by comparing the total number of members with the total number of checkouts for each neighborhood. A neighborhood may be considered potentially under-represented if it has many members but a noticeably low number of checkouts compared with other neighborhoods.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results show that no named neighborhood appears clearly under-represented. Maadi has 22 members and 123 checkouts, Nasr City has 15 members and 97 checkouts, Heliopolis has 13 members and 84 checkouts, Zamalek has 11 members and 64 checkouts, Shubra has 5 members and 34 checkouts, and Dokki has 1 member and 2 checkouts. However, the "Not provided" group contains 19 members and 0 checkouts, which is a data-quality concern because their neighborhood information is missing.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Plausible Reason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missing neighborhood information may be caused by members not providing their neighborhood when registering or by incomplete records in the original data. This makes it difficult to accurately evaluate whether these members are represented fairly by neighborhood.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Next Step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Next summer, the library should make the neighborhood field required when members register or renew their membership. The library should also check for missing neighborhood information before analyzing participation so that all members can be included accurately in neighborhood comparisons.</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