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78076" w14:textId="2AD48CD7" w:rsidR="00DF2B0F" w:rsidRDefault="00DF2B0F" w:rsidP="00DF2B0F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C763D"/>
          <w:sz w:val="21"/>
          <w:szCs w:val="21"/>
        </w:rPr>
      </w:pPr>
      <w:r>
        <w:rPr>
          <w:b/>
          <w:bCs/>
        </w:rPr>
        <w:t>Introduction</w:t>
      </w:r>
    </w:p>
    <w:p w14:paraId="03175ACE" w14:textId="77777777" w:rsidR="00B44E3D" w:rsidRDefault="00046B69" w:rsidP="00046B69">
      <w:pPr>
        <w:pStyle w:val="NoSpacing"/>
        <w:spacing w:before="240"/>
        <w:ind w:firstLine="720"/>
      </w:pPr>
      <w:r>
        <w:t xml:space="preserve">One of the fundamental questions in epidemiological studies is that of the long-term behavior of a disease. That is, whether the disease will die out naturally, persist at endemic levels, or infect the entire population until herd immunity is achieved. </w:t>
      </w:r>
      <w:r w:rsidR="00CC54C9">
        <w:t xml:space="preserve">A key tool for investigating these questions as they pertain to flu-like diseases, which result in immunity or death for infected populations, is the Susceptible, Infected, Removed (SIR) Model. </w:t>
      </w:r>
    </w:p>
    <w:p w14:paraId="349D90E3" w14:textId="7ED4A7E9" w:rsidR="00CC54C9" w:rsidRDefault="003C0DE6" w:rsidP="00046B69">
      <w:pPr>
        <w:pStyle w:val="NoSpacing"/>
        <w:spacing w:before="240"/>
        <w:ind w:firstLine="720"/>
        <w:rPr>
          <w:i/>
          <w:iCs/>
        </w:rPr>
      </w:pPr>
      <w:r>
        <w:t xml:space="preserve">SIR Models use a system of differential equations to track the changes in a population </w:t>
      </w:r>
      <w:r w:rsidR="00232183">
        <w:t>of size N over time as they move from</w:t>
      </w:r>
      <w:r w:rsidR="00BD0105">
        <w:t xml:space="preserve"> the non-immune </w:t>
      </w:r>
      <w:r w:rsidR="001E4D50">
        <w:t xml:space="preserve">compartment </w:t>
      </w:r>
      <w:r w:rsidR="00232183">
        <w:t>Susceptible</w:t>
      </w:r>
      <w:r w:rsidR="00BD0105">
        <w:t xml:space="preserve"> (S), to Infected (I), </w:t>
      </w:r>
      <w:r w:rsidR="001E4D50">
        <w:t>and either die or develop immunity and are Removed (R)</w:t>
      </w:r>
      <w:r>
        <w:t>. Under certain assumptions, this system of differential equations can be linearized into a transition matrix</w:t>
      </w:r>
      <w:r w:rsidR="00232183">
        <w:t xml:space="preserve"> </w:t>
      </w:r>
      <w:r w:rsidR="00232183">
        <w:rPr>
          <w:b/>
          <w:bCs/>
          <w:i/>
          <w:iCs/>
        </w:rPr>
        <w:t>A</w:t>
      </w:r>
      <w:r w:rsidR="00232183">
        <w:t xml:space="preserve"> where the entries of </w:t>
      </w:r>
      <w:r w:rsidR="00232183">
        <w:rPr>
          <w:b/>
          <w:bCs/>
          <w:i/>
          <w:iCs/>
        </w:rPr>
        <w:t>A</w:t>
      </w:r>
      <w:r w:rsidR="00232183">
        <w:t xml:space="preserve"> represent the </w:t>
      </w:r>
      <w:r w:rsidR="00B44E3D">
        <w:t xml:space="preserve">probability of movement from one compartment to another. The spectral radius of </w:t>
      </w:r>
      <w:r w:rsidR="00B44E3D">
        <w:rPr>
          <w:b/>
          <w:bCs/>
          <w:i/>
          <w:iCs/>
        </w:rPr>
        <w:t>A</w:t>
      </w:r>
      <w:r w:rsidR="00B44E3D">
        <w:t xml:space="preserve"> represents the long-term behavior of the system and is termed </w:t>
      </w:r>
      <w:r w:rsidR="00B44E3D">
        <w:rPr>
          <w:i/>
          <w:iCs/>
        </w:rPr>
        <w:t>R</w:t>
      </w:r>
      <w:r w:rsidR="00B44E3D">
        <w:rPr>
          <w:i/>
          <w:iCs/>
          <w:vertAlign w:val="subscript"/>
        </w:rPr>
        <w:t>0</w:t>
      </w:r>
      <w:r w:rsidR="00B44E3D">
        <w:t>, the basic reproduction numbe</w:t>
      </w:r>
      <w:r w:rsidR="00993AA4">
        <w:t>r</w:t>
      </w:r>
      <w:sdt>
        <w:sdtPr>
          <w:id w:val="639385176"/>
          <w:citation/>
        </w:sdtPr>
        <w:sdtEndPr/>
        <w:sdtContent>
          <w:r w:rsidR="00993AA4">
            <w:fldChar w:fldCharType="begin"/>
          </w:r>
          <w:r w:rsidR="00993AA4">
            <w:instrText xml:space="preserve"> CITATION ODi09 \l 1033 </w:instrText>
          </w:r>
          <w:r w:rsidR="00993AA4">
            <w:fldChar w:fldCharType="separate"/>
          </w:r>
          <w:r w:rsidR="00993AA4">
            <w:rPr>
              <w:noProof/>
            </w:rPr>
            <w:t xml:space="preserve"> (O. Diekmann 2009)</w:t>
          </w:r>
          <w:r w:rsidR="00993AA4">
            <w:fldChar w:fldCharType="end"/>
          </w:r>
        </w:sdtContent>
      </w:sdt>
      <w:r w:rsidR="00B44E3D">
        <w:t xml:space="preserve">. </w:t>
      </w:r>
    </w:p>
    <w:p w14:paraId="76DEA868" w14:textId="411C8ECD" w:rsidR="008A472E" w:rsidRDefault="00993AA4" w:rsidP="008A472E">
      <w:pPr>
        <w:pStyle w:val="NoSpacing"/>
        <w:spacing w:before="240"/>
        <w:ind w:firstLine="720"/>
      </w:pPr>
      <w:r>
        <w:rPr>
          <w:i/>
          <w:iCs/>
        </w:rPr>
        <w:t>R</w:t>
      </w:r>
      <w:r>
        <w:rPr>
          <w:i/>
          <w:iCs/>
          <w:vertAlign w:val="subscript"/>
        </w:rPr>
        <w:t>0</w:t>
      </w:r>
      <w:r>
        <w:rPr>
          <w:i/>
          <w:iCs/>
        </w:rPr>
        <w:t xml:space="preserve"> </w:t>
      </w:r>
      <w:r>
        <w:t xml:space="preserve">is biologically understood to represent the number of secondary infections that an </w:t>
      </w:r>
      <w:commentRangeStart w:id="0"/>
      <w:r>
        <w:t xml:space="preserve">index case infective </w:t>
      </w:r>
      <w:commentRangeEnd w:id="0"/>
      <w:r w:rsidR="00795A09">
        <w:rPr>
          <w:rStyle w:val="CommentReference"/>
        </w:rPr>
        <w:commentReference w:id="0"/>
      </w:r>
      <w:r>
        <w:t xml:space="preserve">will cause over the course of their infectious period in a population with no previous immunity. </w:t>
      </w:r>
      <w:r w:rsidR="00BD270E">
        <w:t xml:space="preserve">It can be expected that </w:t>
      </w:r>
      <w:r w:rsidR="00BD270E">
        <w:rPr>
          <w:i/>
          <w:iCs/>
        </w:rPr>
        <w:t>R</w:t>
      </w:r>
      <w:r w:rsidR="00BD270E">
        <w:rPr>
          <w:i/>
          <w:iCs/>
          <w:vertAlign w:val="subscript"/>
        </w:rPr>
        <w:t>0</w:t>
      </w:r>
      <w:r w:rsidR="00BD270E">
        <w:rPr>
          <w:i/>
          <w:iCs/>
        </w:rPr>
        <w:t xml:space="preserve"> </w:t>
      </w:r>
      <w:r w:rsidR="00BD270E">
        <w:t xml:space="preserve">&gt; 1 will result in complete infection of a population, where </w:t>
      </w:r>
      <w:r w:rsidR="00BD270E">
        <w:rPr>
          <w:i/>
          <w:iCs/>
        </w:rPr>
        <w:t>R</w:t>
      </w:r>
      <w:r w:rsidR="00BD270E">
        <w:rPr>
          <w:i/>
          <w:iCs/>
          <w:vertAlign w:val="subscript"/>
        </w:rPr>
        <w:t>0</w:t>
      </w:r>
      <w:r w:rsidR="00BD270E">
        <w:rPr>
          <w:i/>
          <w:iCs/>
        </w:rPr>
        <w:t xml:space="preserve"> </w:t>
      </w:r>
      <w:r w:rsidR="00BD270E">
        <w:t xml:space="preserve">&lt; 1 will result in the disease naturally clearing from the population </w:t>
      </w:r>
      <w:sdt>
        <w:sdtPr>
          <w:id w:val="1736662456"/>
          <w:citation/>
        </w:sdtPr>
        <w:sdtEndPr/>
        <w:sdtContent>
          <w:r w:rsidR="00BD270E">
            <w:fldChar w:fldCharType="begin"/>
          </w:r>
          <w:r w:rsidR="00BD270E">
            <w:instrText xml:space="preserve"> CITATION JMH05 \l 1033 </w:instrText>
          </w:r>
          <w:r w:rsidR="00BD270E">
            <w:fldChar w:fldCharType="separate"/>
          </w:r>
          <w:r w:rsidR="00BD270E">
            <w:rPr>
              <w:noProof/>
            </w:rPr>
            <w:t>(J.M. Heffernan 2005)</w:t>
          </w:r>
          <w:r w:rsidR="00BD270E">
            <w:fldChar w:fldCharType="end"/>
          </w:r>
        </w:sdtContent>
      </w:sdt>
      <w:r w:rsidR="00BD270E">
        <w:t xml:space="preserve">. </w:t>
      </w:r>
    </w:p>
    <w:p w14:paraId="7F9F2E14" w14:textId="55D40075" w:rsidR="008A472E" w:rsidRDefault="008A472E" w:rsidP="008A472E">
      <w:pPr>
        <w:pStyle w:val="NoSpacing"/>
        <w:spacing w:before="240"/>
        <w:ind w:firstLine="720"/>
      </w:pPr>
      <w:r>
        <w:t xml:space="preserve">This paper will demonstrate the usage of eigenvalues to determine </w:t>
      </w:r>
      <w:r>
        <w:rPr>
          <w:i/>
          <w:iCs/>
        </w:rPr>
        <w:t>R</w:t>
      </w:r>
      <w:r>
        <w:rPr>
          <w:i/>
          <w:iCs/>
          <w:vertAlign w:val="subscript"/>
        </w:rPr>
        <w:t>0</w:t>
      </w:r>
      <w:r>
        <w:t xml:space="preserve"> from real-world COVID-19 data in a simple SIR model, then expand to discuss the methodology in more complex, multi-compartmented models. </w:t>
      </w:r>
    </w:p>
    <w:p w14:paraId="4122650A" w14:textId="1609FEEC" w:rsidR="008A472E" w:rsidRDefault="004C13BA" w:rsidP="004C13BA">
      <w:pPr>
        <w:pStyle w:val="NoSpacing"/>
        <w:spacing w:before="240"/>
      </w:pPr>
      <w:r>
        <w:rPr>
          <w:b/>
          <w:bCs/>
        </w:rPr>
        <w:t>Assumptions</w:t>
      </w:r>
    </w:p>
    <w:p w14:paraId="188568F9" w14:textId="7DA0BF43" w:rsidR="004C13BA" w:rsidRDefault="004C13BA" w:rsidP="004C13BA">
      <w:pPr>
        <w:pStyle w:val="NoSpacing"/>
        <w:spacing w:before="240"/>
      </w:pPr>
      <w:r>
        <w:tab/>
        <w:t>The simplest SIR Models rely on several assumptions</w:t>
      </w:r>
      <w:r w:rsidR="0034652C">
        <w:t xml:space="preserve"> </w:t>
      </w:r>
      <w:sdt>
        <w:sdtPr>
          <w:id w:val="1747371174"/>
          <w:citation/>
        </w:sdtPr>
        <w:sdtEndPr/>
        <w:sdtContent>
          <w:r w:rsidR="0034652C">
            <w:fldChar w:fldCharType="begin"/>
          </w:r>
          <w:r w:rsidR="0034652C">
            <w:instrText xml:space="preserve"> CITATION Jam07 \l 1033 </w:instrText>
          </w:r>
          <w:r w:rsidR="0034652C">
            <w:fldChar w:fldCharType="separate"/>
          </w:r>
          <w:r w:rsidR="0034652C">
            <w:rPr>
              <w:noProof/>
            </w:rPr>
            <w:t>(Jones 2007)</w:t>
          </w:r>
          <w:r w:rsidR="0034652C">
            <w:fldChar w:fldCharType="end"/>
          </w:r>
        </w:sdtContent>
      </w:sdt>
      <w:r>
        <w:t xml:space="preserve">: </w:t>
      </w:r>
    </w:p>
    <w:p w14:paraId="2FF1F5D7" w14:textId="6E41E4D5" w:rsidR="004C13BA" w:rsidRDefault="004C13BA" w:rsidP="004C13BA">
      <w:pPr>
        <w:pStyle w:val="NoSpacing"/>
        <w:numPr>
          <w:ilvl w:val="0"/>
          <w:numId w:val="1"/>
        </w:numPr>
        <w:spacing w:before="240"/>
      </w:pPr>
      <w:r>
        <w:t>An unchanging population size N</w:t>
      </w:r>
      <w:r w:rsidR="0034652C">
        <w:t xml:space="preserve"> with no births or underlying death rate.</w:t>
      </w:r>
    </w:p>
    <w:p w14:paraId="40ED108C" w14:textId="0CC99DBA" w:rsidR="004C13BA" w:rsidRPr="0034652C" w:rsidRDefault="004C13BA" w:rsidP="004C13BA">
      <w:pPr>
        <w:pStyle w:val="NoSpacing"/>
        <w:numPr>
          <w:ilvl w:val="0"/>
          <w:numId w:val="1"/>
        </w:numPr>
        <w:spacing w:before="240"/>
      </w:pPr>
      <w:r>
        <w:t xml:space="preserve">Constant </w:t>
      </w:r>
      <w:r w:rsidR="002E2EEA">
        <w:t>effective contact</w:t>
      </w:r>
      <w:r>
        <w:t xml:space="preserve"> and removal rates (</w:t>
      </w:r>
      <w:r>
        <w:rPr>
          <w:rFonts w:cstheme="minorHAnsi"/>
        </w:rPr>
        <w:t xml:space="preserve">β and γ, </w:t>
      </w:r>
      <w:r w:rsidR="0034652C">
        <w:rPr>
          <w:rFonts w:cstheme="minorHAnsi"/>
        </w:rPr>
        <w:t>respectively).</w:t>
      </w:r>
    </w:p>
    <w:p w14:paraId="34253CCF" w14:textId="07729665" w:rsidR="0034652C" w:rsidRDefault="0034652C" w:rsidP="004C13BA">
      <w:pPr>
        <w:pStyle w:val="NoSpacing"/>
        <w:numPr>
          <w:ilvl w:val="0"/>
          <w:numId w:val="1"/>
        </w:numPr>
        <w:spacing w:before="240"/>
      </w:pPr>
      <w:r>
        <w:t xml:space="preserve">A well-mixed population, implying that an infected individual has an equal chance of contacting and infecting any susceptible individual. </w:t>
      </w:r>
    </w:p>
    <w:p w14:paraId="5200501F" w14:textId="15036D17" w:rsidR="0034652C" w:rsidRPr="004C13BA" w:rsidRDefault="0034652C" w:rsidP="0034652C">
      <w:pPr>
        <w:pStyle w:val="NoSpacing"/>
        <w:spacing w:before="240"/>
        <w:ind w:left="720"/>
      </w:pPr>
      <w:r>
        <w:t>More complex models account for these assumptions and will be addressed later.</w:t>
      </w:r>
    </w:p>
    <w:p w14:paraId="029ABDB4" w14:textId="4A95A1C9" w:rsidR="00CC54C9" w:rsidRDefault="00CC5F12" w:rsidP="00CC5F12">
      <w:pPr>
        <w:pStyle w:val="NoSpacing"/>
        <w:spacing w:before="240"/>
        <w:rPr>
          <w:b/>
          <w:bCs/>
        </w:rPr>
      </w:pPr>
      <w:r>
        <w:rPr>
          <w:b/>
          <w:bCs/>
        </w:rPr>
        <w:t>The Model</w:t>
      </w:r>
    </w:p>
    <w:p w14:paraId="696C6EAA" w14:textId="3B375F6B" w:rsidR="00CC5F12" w:rsidRDefault="00CC5F12" w:rsidP="00CC5F12">
      <w:pPr>
        <w:pStyle w:val="NoSpacing"/>
        <w:spacing w:before="240"/>
      </w:pPr>
      <w:r>
        <w:tab/>
        <w:t>The following three ordinary differential equations form the simple SIR Model:</w:t>
      </w:r>
    </w:p>
    <w:p w14:paraId="565457B3" w14:textId="237E8488" w:rsidR="00CC5F12" w:rsidRPr="00CC5F12" w:rsidRDefault="008A65DF" w:rsidP="00CC5F12">
      <w:pPr>
        <w:pStyle w:val="NoSpacing"/>
        <w:spacing w:before="240"/>
        <w:ind w:left="3600"/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r>
            <w:rPr>
              <w:rFonts w:ascii="Cambria Math" w:hAnsi="Cambria Math" w:cstheme="minorHAnsi"/>
            </w:rPr>
            <m:t>β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cstheme="minorHAnsi"/>
                </w:rPr>
                <m:t>I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cstheme="minorHAnsi"/>
                    </w:rPr>
                    <m:t>t</m:t>
                  </m:r>
                </m:e>
              </m:d>
            </m:num>
            <m:den>
              <m:r>
                <w:rPr>
                  <w:rFonts w:ascii="Cambria Math" w:cstheme="minorHAnsi"/>
                </w:rPr>
                <m:t>N</m:t>
              </m:r>
            </m:den>
          </m:f>
          <m:r>
            <w:rPr>
              <w:rFonts w:ascii="Cambria Math" w:cstheme="minorHAnsi"/>
            </w:rPr>
            <m:t>S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cstheme="minorHAnsi"/>
                </w:rPr>
                <m:t>t</m:t>
              </m:r>
            </m:e>
          </m:d>
        </m:oMath>
      </m:oMathPara>
    </w:p>
    <w:p w14:paraId="0C7A633B" w14:textId="489BF47E" w:rsidR="00CC5F12" w:rsidRPr="00CC5F12" w:rsidRDefault="008A65DF" w:rsidP="00CC5F12">
      <w:pPr>
        <w:pStyle w:val="NoSpacing"/>
        <w:spacing w:before="240"/>
        <w:ind w:left="3600"/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 w:cstheme="minorHAnsi"/>
            </w:rPr>
            <m:t>β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cstheme="minorHAnsi"/>
                </w:rPr>
                <m:t>I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cstheme="minorHAnsi"/>
                    </w:rPr>
                    <m:t>t</m:t>
                  </m:r>
                </m:e>
              </m:d>
            </m:num>
            <m:den>
              <m:r>
                <w:rPr>
                  <w:rFonts w:ascii="Cambria Math" w:cstheme="minorHAnsi"/>
                </w:rPr>
                <m:t>N</m:t>
              </m:r>
            </m:den>
          </m:f>
          <m:r>
            <w:rPr>
              <w:rFonts w:ascii="Cambria Math" w:cstheme="minorHAnsi"/>
            </w:rPr>
            <m:t>S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cstheme="minorHAnsi"/>
                </w:rPr>
                <m:t>t</m:t>
              </m:r>
            </m:e>
          </m:d>
          <m:r>
            <w:rPr>
              <w:rFonts w:ascii="Cambria Math" w:cstheme="minorHAnsi"/>
            </w:rPr>
            <m:t>-</m:t>
          </m:r>
          <m:r>
            <w:rPr>
              <w:rFonts w:asci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γ</m:t>
          </m:r>
          <m:r>
            <w:rPr>
              <w:rFonts w:ascii="Cambria Math" w:cstheme="minorHAnsi"/>
            </w:rPr>
            <m:t>I(t)</m:t>
          </m:r>
        </m:oMath>
      </m:oMathPara>
    </w:p>
    <w:p w14:paraId="21FF508E" w14:textId="2DB4A87C" w:rsidR="00CC5F12" w:rsidRPr="002E2EEA" w:rsidRDefault="008A65DF" w:rsidP="00CC5F12">
      <w:pPr>
        <w:pStyle w:val="NoSpacing"/>
        <w:spacing w:before="240"/>
        <w:ind w:left="3600"/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 w:cstheme="minorHAnsi"/>
            </w:rPr>
            <m:t>γ</m:t>
          </m:r>
          <m:r>
            <w:rPr>
              <w:rFonts w:ascii="Cambria Math" w:cstheme="minorHAnsi"/>
            </w:rPr>
            <m:t>I(t)</m:t>
          </m:r>
        </m:oMath>
      </m:oMathPara>
    </w:p>
    <w:p w14:paraId="06B07491" w14:textId="18C8DCCA" w:rsidR="002E2EEA" w:rsidRDefault="002E2EEA" w:rsidP="002E2EEA">
      <w:pPr>
        <w:pStyle w:val="NoSpacing"/>
        <w:spacing w:before="240"/>
        <w:rPr>
          <w:rFonts w:cstheme="minorHAnsi"/>
        </w:rPr>
      </w:pPr>
      <w:r>
        <w:rPr>
          <w:iCs/>
        </w:rPr>
        <w:lastRenderedPageBreak/>
        <w:tab/>
      </w:r>
      <w:r w:rsidR="004801AF">
        <w:rPr>
          <w:iCs/>
        </w:rPr>
        <w:t>The</w:t>
      </w:r>
      <w:r>
        <w:rPr>
          <w:iCs/>
        </w:rPr>
        <w:t xml:space="preserve"> constant </w:t>
      </w:r>
      <w:r>
        <w:rPr>
          <w:rFonts w:cstheme="minorHAnsi"/>
        </w:rPr>
        <w:t xml:space="preserve">β represents </w:t>
      </w:r>
      <w:r w:rsidR="004801AF">
        <w:rPr>
          <w:rFonts w:cstheme="minorHAnsi"/>
        </w:rPr>
        <w:t xml:space="preserve">the number of new infections an infected individual generates per unit time (usually daily), and γ represents the probability that and infected individual is removed from compartment I (either through recovery or death). </w:t>
      </w:r>
    </w:p>
    <w:p w14:paraId="564ED0D2" w14:textId="5B105C95" w:rsidR="003C349F" w:rsidRDefault="004801AF" w:rsidP="002E2EEA">
      <w:pPr>
        <w:pStyle w:val="NoSpacing"/>
        <w:spacing w:before="240"/>
        <w:rPr>
          <w:rFonts w:eastAsiaTheme="minorEastAsia" w:cstheme="minorHAnsi"/>
        </w:rPr>
      </w:pPr>
      <w:r>
        <w:rPr>
          <w:rFonts w:cstheme="minorHAnsi"/>
        </w:rPr>
        <w:tab/>
      </w:r>
      <w:r w:rsidR="00074F29">
        <w:rPr>
          <w:rFonts w:cstheme="minorHAnsi"/>
        </w:rPr>
        <w:t xml:space="preserve">We are interested in the behavior of this system at the equilibrium points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dS</m:t>
            </m:r>
          </m:num>
          <m:den>
            <m:r>
              <w:rPr>
                <w:rFonts w:ascii="Cambria Math" w:hAnsi="Cambria Math" w:cstheme="minorHAnsi"/>
              </w:rPr>
              <m:t>dt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dI</m:t>
            </m:r>
          </m:num>
          <m:den>
            <m:r>
              <w:rPr>
                <w:rFonts w:ascii="Cambria Math" w:hAnsi="Cambria Math" w:cstheme="minorHAnsi"/>
              </w:rPr>
              <m:t>dt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dR</m:t>
            </m:r>
          </m:num>
          <m:den>
            <m:r>
              <w:rPr>
                <w:rFonts w:ascii="Cambria Math" w:hAnsi="Cambria Math" w:cstheme="minorHAnsi"/>
              </w:rPr>
              <m:t>dt</m:t>
            </m:r>
          </m:den>
        </m:f>
        <m:r>
          <w:rPr>
            <w:rFonts w:ascii="Cambria Math" w:hAnsi="Cambria Math" w:cstheme="minorHAnsi"/>
          </w:rPr>
          <m:t>=0</m:t>
        </m:r>
      </m:oMath>
      <w:r w:rsidR="00074F29">
        <w:rPr>
          <w:rFonts w:eastAsiaTheme="minorEastAsia" w:cstheme="minorHAnsi"/>
        </w:rPr>
        <w:t xml:space="preserve">, which results </w:t>
      </w:r>
      <w:r w:rsidR="00053AA1">
        <w:rPr>
          <w:rFonts w:eastAsiaTheme="minorEastAsia" w:cstheme="minorHAnsi"/>
        </w:rPr>
        <w:t>in two solutions</w:t>
      </w:r>
      <w:r w:rsidR="00074F29">
        <w:rPr>
          <w:rFonts w:eastAsiaTheme="minorEastAsia" w:cstheme="minorHAnsi"/>
        </w:rPr>
        <w:t xml:space="preserve">. The first, R = N, implies that the infection has passed through the entire population already. The second, </w:t>
      </w:r>
      <w:r w:rsidR="003C349F">
        <w:rPr>
          <w:rFonts w:eastAsiaTheme="minorEastAsia" w:cstheme="minorHAnsi"/>
        </w:rPr>
        <w:t xml:space="preserve">known as the disease-free equilibrium, is </w:t>
      </w:r>
      <w:r w:rsidR="00074F29">
        <w:rPr>
          <w:rFonts w:eastAsiaTheme="minorEastAsia" w:cstheme="minorHAnsi"/>
        </w:rPr>
        <w:t>when S = N and I = 0</w:t>
      </w:r>
      <w:r w:rsidR="003C349F">
        <w:rPr>
          <w:rFonts w:eastAsiaTheme="minorEastAsia" w:cstheme="minorHAnsi"/>
        </w:rPr>
        <w:t>. This solution</w:t>
      </w:r>
      <w:r w:rsidR="00074F29">
        <w:rPr>
          <w:rFonts w:eastAsiaTheme="minorEastAsia" w:cstheme="minorHAnsi"/>
        </w:rPr>
        <w:t xml:space="preserve"> defines the system before any individual has been infected and is the equilibrium point of interest in calculating </w:t>
      </w:r>
      <w:r w:rsidR="00074F29">
        <w:rPr>
          <w:rFonts w:eastAsiaTheme="minorEastAsia" w:cstheme="minorHAnsi"/>
          <w:i/>
          <w:iCs/>
        </w:rPr>
        <w:t>R</w:t>
      </w:r>
      <w:r w:rsidR="00074F29">
        <w:rPr>
          <w:rFonts w:eastAsiaTheme="minorEastAsia" w:cstheme="minorHAnsi"/>
          <w:i/>
          <w:iCs/>
          <w:vertAlign w:val="subscript"/>
        </w:rPr>
        <w:t>0</w:t>
      </w:r>
      <w:r w:rsidR="00074F29">
        <w:rPr>
          <w:rFonts w:eastAsiaTheme="minorEastAsia" w:cstheme="minorHAnsi"/>
        </w:rPr>
        <w:t xml:space="preserve">. </w:t>
      </w:r>
      <w:r w:rsidR="003C349F">
        <w:rPr>
          <w:rFonts w:eastAsiaTheme="minorEastAsia" w:cstheme="minorHAnsi"/>
        </w:rPr>
        <w:t>By making the additional assumption that S ≈ N near the initial conditions and focusing our assessment solely on the transition of susceptible individuals to infected individuals, we are able to linearize the ordinary differential equations into the form:</w:t>
      </w:r>
    </w:p>
    <w:p w14:paraId="53525D5C" w14:textId="169934A3" w:rsidR="003C349F" w:rsidRPr="00CC5F12" w:rsidRDefault="008A65DF" w:rsidP="003C349F">
      <w:pPr>
        <w:pStyle w:val="NoSpacing"/>
        <w:spacing w:before="240"/>
        <w:ind w:left="3600"/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r>
            <w:rPr>
              <w:rFonts w:ascii="Cambria Math" w:hAnsi="Cambria Math" w:cstheme="minorHAnsi"/>
            </w:rPr>
            <m:t>β</m:t>
          </m:r>
          <m:r>
            <w:rPr>
              <w:rFonts w:ascii="Cambria Math" w:cstheme="minorHAnsi"/>
            </w:rPr>
            <m:t>I(t)</m:t>
          </m:r>
        </m:oMath>
      </m:oMathPara>
    </w:p>
    <w:p w14:paraId="0812F7F1" w14:textId="1CE031A6" w:rsidR="003C349F" w:rsidRPr="00CC5F12" w:rsidRDefault="008A65DF" w:rsidP="003C349F">
      <w:pPr>
        <w:pStyle w:val="NoSpacing"/>
        <w:spacing w:before="240"/>
        <w:ind w:left="3600"/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 w:cstheme="minorHAnsi"/>
            </w:rPr>
            <m:t>β</m:t>
          </m:r>
          <m:r>
            <w:rPr>
              <w:rFonts w:ascii="Cambria Math" w:cstheme="minorHAnsi"/>
            </w:rPr>
            <m:t>I(t)</m:t>
          </m:r>
          <m:r>
            <w:rPr>
              <w:rFonts w:ascii="Cambria Math" w:cstheme="minorHAnsi"/>
            </w:rPr>
            <m:t>-</m:t>
          </m:r>
          <m:r>
            <w:rPr>
              <w:rFonts w:asci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γ</m:t>
          </m:r>
          <m:r>
            <w:rPr>
              <w:rFonts w:ascii="Cambria Math" w:cstheme="minorHAnsi"/>
            </w:rPr>
            <m:t>I(t)</m:t>
          </m:r>
        </m:oMath>
      </m:oMathPara>
    </w:p>
    <w:p w14:paraId="6A78710D" w14:textId="4B402FF0" w:rsidR="003C349F" w:rsidRDefault="00040802" w:rsidP="002E2EEA">
      <w:pPr>
        <w:pStyle w:val="NoSpacing"/>
        <w:spacing w:before="240"/>
        <w:rPr>
          <w:rFonts w:eastAsiaTheme="minorEastAsia" w:cstheme="minorHAnsi"/>
        </w:rPr>
      </w:pPr>
      <w:r>
        <w:rPr>
          <w:rFonts w:eastAsiaTheme="minorEastAsia" w:cstheme="minorHAnsi"/>
        </w:rPr>
        <w:tab/>
        <w:t>We can then represent the system with the state-change matrix:</w:t>
      </w:r>
    </w:p>
    <w:p w14:paraId="787BE153" w14:textId="5CB65C8D" w:rsidR="00040802" w:rsidRDefault="008A65DF" w:rsidP="002E2EEA">
      <w:pPr>
        <w:pStyle w:val="NoSpacing"/>
        <w:spacing w:before="240"/>
        <w:rPr>
          <w:rFonts w:eastAsiaTheme="minorEastAsia" w:cstheme="minorHAns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-</m:t>
                    </m:r>
                    <m:r>
                      <w:rPr>
                        <w:rFonts w:ascii="Cambria Math" w:hAnsi="Cambria Math" w:cstheme="minorHAnsi"/>
                      </w:rPr>
                      <m:t>β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β</m:t>
                    </m:r>
                    <m:r>
                      <w:rPr>
                        <w:rFonts w:ascii="Cambria Math" w:cstheme="minorHAnsi"/>
                      </w:rPr>
                      <m:t>-</m:t>
                    </m:r>
                    <m:r>
                      <w:rPr>
                        <w:rFonts w:ascii="Cambria Math" w:cstheme="minorHAnsi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</w:rPr>
                      <m:t>γ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I(0)</m:t>
                  </m:r>
                </m:e>
              </m:eqAr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I(1)</m:t>
                  </m:r>
                </m:e>
              </m:eqArr>
              <w:commentRangeStart w:id="1"/>
              <w:commentRangeEnd w:id="1"/>
              <m:r>
                <m:rPr>
                  <m:sty m:val="p"/>
                </m:rPr>
                <w:rPr>
                  <w:rStyle w:val="CommentReference"/>
                </w:rPr>
                <w:commentReference w:id="1"/>
              </m:r>
            </m:e>
          </m:d>
        </m:oMath>
      </m:oMathPara>
    </w:p>
    <w:p w14:paraId="6893CE5D" w14:textId="0960C518" w:rsidR="00074F29" w:rsidRDefault="00074F29" w:rsidP="002E2EEA">
      <w:pPr>
        <w:pStyle w:val="NoSpacing"/>
        <w:spacing w:before="240"/>
        <w:rPr>
          <w:rFonts w:eastAsiaTheme="minorEastAsia" w:cstheme="minorHAnsi"/>
        </w:rPr>
      </w:pPr>
    </w:p>
    <w:p w14:paraId="6075CE22" w14:textId="2271D2D5" w:rsidR="00074F29" w:rsidRDefault="00074F29" w:rsidP="002E2EEA">
      <w:pPr>
        <w:pStyle w:val="NoSpacing"/>
        <w:spacing w:before="240"/>
        <w:rPr>
          <w:rFonts w:eastAsiaTheme="minorEastAsia" w:cstheme="minorHAnsi"/>
        </w:rPr>
      </w:pPr>
    </w:p>
    <w:p w14:paraId="03B1FF1D" w14:textId="5E94A4D2" w:rsidR="00074F29" w:rsidRDefault="00074F29" w:rsidP="002E2EEA">
      <w:pPr>
        <w:pStyle w:val="NoSpacing"/>
        <w:spacing w:before="240"/>
        <w:rPr>
          <w:rFonts w:eastAsiaTheme="minorEastAsia" w:cstheme="minorHAnsi"/>
        </w:rPr>
      </w:pPr>
    </w:p>
    <w:p w14:paraId="0783E95B" w14:textId="6A9BEC19" w:rsidR="00074F29" w:rsidRDefault="00074F29" w:rsidP="002E2EEA">
      <w:pPr>
        <w:pStyle w:val="NoSpacing"/>
        <w:spacing w:before="240"/>
        <w:rPr>
          <w:rFonts w:eastAsiaTheme="minorEastAsia" w:cstheme="minorHAnsi"/>
        </w:rPr>
      </w:pPr>
    </w:p>
    <w:p w14:paraId="7ABD6314" w14:textId="77777777" w:rsidR="00074F29" w:rsidRPr="00074F29" w:rsidRDefault="00074F29" w:rsidP="002E2EEA">
      <w:pPr>
        <w:pStyle w:val="NoSpacing"/>
        <w:spacing w:before="240"/>
      </w:pPr>
    </w:p>
    <w:p w14:paraId="372BE1E2" w14:textId="1BCC2B02" w:rsidR="00DF2B0F" w:rsidRPr="00FF49EA" w:rsidRDefault="00DF2B0F" w:rsidP="00046B69">
      <w:pPr>
        <w:pStyle w:val="NoSpacing"/>
        <w:spacing w:before="240"/>
        <w:ind w:firstLine="720"/>
      </w:pPr>
      <w:r>
        <w:t>In epidemiology, the basic reproduction number R</w:t>
      </w:r>
      <w:r>
        <w:rPr>
          <w:vertAlign w:val="subscript"/>
        </w:rPr>
        <w:t>0</w:t>
      </w:r>
      <w:r>
        <w:t xml:space="preserve"> is a measure of the number of subsequent infections caused by a single infected individual in a population without </w:t>
      </w:r>
      <w:r w:rsidR="00BC5732">
        <w:t xml:space="preserve">prior immunity. </w:t>
      </w:r>
      <w:r w:rsidR="00FF49EA">
        <w:t>R</w:t>
      </w:r>
      <w:r w:rsidR="00FF49EA">
        <w:rPr>
          <w:vertAlign w:val="subscript"/>
        </w:rPr>
        <w:t>0</w:t>
      </w:r>
      <w:r w:rsidR="00FF49EA">
        <w:t xml:space="preserve"> represents the</w:t>
      </w:r>
      <w:r w:rsidR="00046B69">
        <w:t xml:space="preserve"> </w:t>
      </w:r>
      <w:r w:rsidR="00FF49EA">
        <w:t>tendency of an outbreak to infect a population, where a disease with R</w:t>
      </w:r>
      <w:r w:rsidR="00FF49EA">
        <w:rPr>
          <w:vertAlign w:val="subscript"/>
        </w:rPr>
        <w:t>0</w:t>
      </w:r>
      <w:r w:rsidR="00FF49EA">
        <w:t xml:space="preserve"> &lt; 1 will naturally die out and a disease with R</w:t>
      </w:r>
      <w:r w:rsidR="00FF49EA">
        <w:rPr>
          <w:vertAlign w:val="subscript"/>
        </w:rPr>
        <w:t>0</w:t>
      </w:r>
      <w:r w:rsidR="00FF49EA">
        <w:t xml:space="preserve"> &gt; 1 will tend towards infecting the entire susceptible population</w:t>
      </w:r>
      <w:sdt>
        <w:sdtPr>
          <w:id w:val="662353092"/>
          <w:citation/>
        </w:sdtPr>
        <w:sdtEndPr/>
        <w:sdtContent>
          <w:r w:rsidR="009F2B57">
            <w:fldChar w:fldCharType="begin"/>
          </w:r>
          <w:r w:rsidR="009F2B57">
            <w:instrText xml:space="preserve"> CITATION ODi09 \l 1033 </w:instrText>
          </w:r>
          <w:r w:rsidR="009F2B57">
            <w:fldChar w:fldCharType="separate"/>
          </w:r>
          <w:r w:rsidR="009F2B57">
            <w:rPr>
              <w:noProof/>
            </w:rPr>
            <w:t xml:space="preserve"> (O. Diekmann 2009)</w:t>
          </w:r>
          <w:r w:rsidR="009F2B57">
            <w:fldChar w:fldCharType="end"/>
          </w:r>
        </w:sdtContent>
      </w:sdt>
      <w:r w:rsidR="00FF49EA">
        <w:t xml:space="preserve">. </w:t>
      </w:r>
    </w:p>
    <w:sectPr w:rsidR="00DF2B0F" w:rsidRPr="00FF4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illiam Morris" w:date="2020-07-26T14:52:00Z" w:initials="WM">
    <w:p w14:paraId="1A1CF02B" w14:textId="625C0ACB" w:rsidR="00795A09" w:rsidRDefault="00795A09">
      <w:pPr>
        <w:pStyle w:val="CommentText"/>
      </w:pPr>
      <w:r>
        <w:rPr>
          <w:rStyle w:val="CommentReference"/>
        </w:rPr>
        <w:annotationRef/>
      </w:r>
      <w:r w:rsidR="00F94143">
        <w:t xml:space="preserve">Is this correct? Do we mean “in effect”? </w:t>
      </w:r>
    </w:p>
  </w:comment>
  <w:comment w:id="1" w:author="s-p-c" w:date="2020-07-25T19:47:00Z" w:initials="s">
    <w:p w14:paraId="0E225BD9" w14:textId="1DAD44DF" w:rsidR="00A23897" w:rsidRDefault="00A23897">
      <w:pPr>
        <w:pStyle w:val="CommentText"/>
      </w:pPr>
      <w:r>
        <w:rPr>
          <w:rStyle w:val="CommentReference"/>
        </w:rPr>
        <w:annotationRef/>
      </w:r>
      <w:r>
        <w:t>In the OSU slides, the professor gets positive Beta as the upper right value after linearization. Does that make sense?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A1CF02B" w15:done="0"/>
  <w15:commentEx w15:paraId="0E225B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81730" w16cex:dateUtc="2020-07-26T21:52:00Z"/>
  <w16cex:commentExtensible w16cex:durableId="22C70AE4" w16cex:dateUtc="2020-07-25T23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A1CF02B" w16cid:durableId="22C81730"/>
  <w16cid:commentId w16cid:paraId="0E225BD9" w16cid:durableId="22C70A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A85B5" w14:textId="77777777" w:rsidR="008A65DF" w:rsidRDefault="008A65DF" w:rsidP="009F2B57">
      <w:pPr>
        <w:spacing w:after="0" w:line="240" w:lineRule="auto"/>
      </w:pPr>
      <w:r>
        <w:separator/>
      </w:r>
    </w:p>
  </w:endnote>
  <w:endnote w:type="continuationSeparator" w:id="0">
    <w:p w14:paraId="621DA35A" w14:textId="77777777" w:rsidR="008A65DF" w:rsidRDefault="008A65DF" w:rsidP="009F2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7886C" w14:textId="77777777" w:rsidR="008A65DF" w:rsidRDefault="008A65DF" w:rsidP="009F2B57">
      <w:pPr>
        <w:spacing w:after="0" w:line="240" w:lineRule="auto"/>
      </w:pPr>
      <w:r>
        <w:separator/>
      </w:r>
    </w:p>
  </w:footnote>
  <w:footnote w:type="continuationSeparator" w:id="0">
    <w:p w14:paraId="3132A3DD" w14:textId="77777777" w:rsidR="008A65DF" w:rsidRDefault="008A65DF" w:rsidP="009F2B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F4982"/>
    <w:multiLevelType w:val="hybridMultilevel"/>
    <w:tmpl w:val="8FCAD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lliam Morris">
    <w15:presenceInfo w15:providerId="AD" w15:userId="S::waaronmorris@rogueanalytics.com::b52a9931-13ac-4058-ac7b-a4c9ba6d8790"/>
  </w15:person>
  <w15:person w15:author="s-p-c">
    <w15:presenceInfo w15:providerId="None" w15:userId="s-p-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0F"/>
    <w:rsid w:val="00022E46"/>
    <w:rsid w:val="00040802"/>
    <w:rsid w:val="00046B69"/>
    <w:rsid w:val="00053AA1"/>
    <w:rsid w:val="00074F29"/>
    <w:rsid w:val="00124740"/>
    <w:rsid w:val="001A3D5F"/>
    <w:rsid w:val="001E4D50"/>
    <w:rsid w:val="00232183"/>
    <w:rsid w:val="002A53F4"/>
    <w:rsid w:val="002E2EEA"/>
    <w:rsid w:val="0034652C"/>
    <w:rsid w:val="00380F75"/>
    <w:rsid w:val="003B07CF"/>
    <w:rsid w:val="003C0DE6"/>
    <w:rsid w:val="003C349F"/>
    <w:rsid w:val="00475FCB"/>
    <w:rsid w:val="004801AF"/>
    <w:rsid w:val="004C13BA"/>
    <w:rsid w:val="00795A09"/>
    <w:rsid w:val="008A472E"/>
    <w:rsid w:val="008A65DF"/>
    <w:rsid w:val="00993AA4"/>
    <w:rsid w:val="009F2B57"/>
    <w:rsid w:val="00A23897"/>
    <w:rsid w:val="00B44E3D"/>
    <w:rsid w:val="00BC5732"/>
    <w:rsid w:val="00BD0105"/>
    <w:rsid w:val="00BD270E"/>
    <w:rsid w:val="00C14C8C"/>
    <w:rsid w:val="00CC54C9"/>
    <w:rsid w:val="00CC5F12"/>
    <w:rsid w:val="00DB73B2"/>
    <w:rsid w:val="00DF2B0F"/>
    <w:rsid w:val="00F94143"/>
    <w:rsid w:val="00FF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E92B"/>
  <w15:chartTrackingRefBased/>
  <w15:docId w15:val="{0F87E246-D329-48AA-8201-F7F6C206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B0F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F2B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2B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2B5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C5F1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238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38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38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38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38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8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89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95A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ODi09</b:Tag>
    <b:SourceType>JournalArticle</b:SourceType>
    <b:Guid>{E87D00AC-B19F-4111-9CE7-15E9D51A6FA4}</b:Guid>
    <b:Title>The construction of next-generation matrices for compartmental epidemic models</b:Title>
    <b:Year>2009</b:Year>
    <b:Month>November</b:Month>
    <b:Day>5</b:Day>
    <b:Author>
      <b:Author>
        <b:NameList>
          <b:Person>
            <b:Last>O. Diekmann</b:Last>
            <b:First>J.A.P.</b:First>
            <b:Middle>Heesterbeek, and M.G. Roberts</b:Middle>
          </b:Person>
        </b:NameList>
      </b:Author>
    </b:Author>
    <b:JournalName>Journal of the Royal Society</b:JournalName>
    <b:Volume>7</b:Volume>
    <b:Issue>47</b:Issue>
    <b:RefOrder>1</b:RefOrder>
  </b:Source>
  <b:Source>
    <b:Tag>JMH05</b:Tag>
    <b:SourceType>JournalArticle</b:SourceType>
    <b:Guid>{C45C29C2-3E40-4871-AB74-EA54B900867C}</b:Guid>
    <b:Author>
      <b:Author>
        <b:NameList>
          <b:Person>
            <b:Last>J.M. Heffernan</b:Last>
            <b:First>R.J.</b:First>
            <b:Middle>Smith, L.M. Wahl</b:Middle>
          </b:Person>
        </b:NameList>
      </b:Author>
    </b:Author>
    <b:Title>Perspectives on the basic reproductive ration</b:Title>
    <b:JournalName>Journal of the Royal Society Interface</b:JournalName>
    <b:Year>2005</b:Year>
    <b:Pages>281-293</b:Pages>
    <b:Month>September</b:Month>
    <b:Day>22</b:Day>
    <b:RefOrder>2</b:RefOrder>
  </b:Source>
  <b:Source>
    <b:Tag>Jam07</b:Tag>
    <b:SourceType>Misc</b:SourceType>
    <b:Guid>{0B642C2C-0BFF-482B-A22B-258A3096D5C8}</b:Guid>
    <b:Title>Notes on R0</b:Title>
    <b:Year>2007</b:Year>
    <b:Publisher>Department of Anthropological Sciences</b:Publisher>
    <b:City>Stanford University</b:City>
    <b:Month>May</b:Month>
    <b:Day>1</b:Day>
    <b:Author>
      <b:Author>
        <b:NameList>
          <b:Person>
            <b:Last>Jones</b:Last>
            <b:First>James</b:First>
            <b:Middle>Holland</b:Middle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A864FFF2-1390-4E3C-A3DE-2A42670CB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s-p-c</dc:creator>
  <cp:keywords/>
  <dc:description/>
  <cp:lastModifiedBy>William Morris</cp:lastModifiedBy>
  <cp:revision>3</cp:revision>
  <dcterms:created xsi:type="dcterms:W3CDTF">2020-07-25T23:48:00Z</dcterms:created>
  <dcterms:modified xsi:type="dcterms:W3CDTF">2020-07-27T05:59:00Z</dcterms:modified>
</cp:coreProperties>
</file>