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F82D" w14:textId="77777777" w:rsidR="00ED3138" w:rsidRDefault="00000000">
      <w:pPr>
        <w:spacing w:before="120" w:after="30"/>
        <w:jc w:val="center"/>
      </w:pPr>
      <w:r>
        <w:rPr>
          <w:b/>
          <w:bCs/>
          <w:color w:val="0F1B3D"/>
          <w:sz w:val="40"/>
          <w:szCs w:val="40"/>
        </w:rPr>
        <w:t>Funding and Growth Strategy</w:t>
      </w:r>
    </w:p>
    <w:p w14:paraId="4445AE8A" w14:textId="77777777" w:rsidR="00ED3138" w:rsidRDefault="00000000">
      <w:pPr>
        <w:spacing w:after="30"/>
        <w:jc w:val="center"/>
      </w:pPr>
      <w:r>
        <w:rPr>
          <w:color w:val="13869F"/>
          <w:sz w:val="24"/>
          <w:szCs w:val="24"/>
        </w:rPr>
        <w:t>A partnership and funding pathway for CANCOM</w:t>
      </w:r>
    </w:p>
    <w:p w14:paraId="4045B5F4" w14:textId="77777777" w:rsidR="00ED3138" w:rsidRDefault="00000000">
      <w:pPr>
        <w:spacing w:after="240"/>
        <w:jc w:val="center"/>
      </w:pPr>
      <w:r>
        <w:rPr>
          <w:color w:val="5C6166"/>
          <w:sz w:val="18"/>
          <w:szCs w:val="18"/>
        </w:rPr>
        <w:t>Prepared by First Nations Procurement Inc.   ·   Draft for discussion   ·   June 2026</w:t>
      </w:r>
    </w:p>
    <w:p w14:paraId="4D6238F7" w14:textId="77777777" w:rsidR="00ED3138" w:rsidRDefault="00000000">
      <w:pPr>
        <w:pStyle w:val="Heading2"/>
      </w:pPr>
      <w:r>
        <w:t>The opportunity, and why it runs through FNPI</w:t>
      </w:r>
    </w:p>
    <w:p w14:paraId="4C304814" w14:textId="1DC3C3E5" w:rsidR="00ED3138" w:rsidRDefault="00EE5B45" w:rsidP="00EE5B45">
      <w:r w:rsidRPr="00EE5B45">
        <w:t xml:space="preserve">Indigenous procurement is now required, with federal departments allocating 5% of contracts to Indigenous businesses. With targeted AI-drone funding and </w:t>
      </w:r>
      <w:proofErr w:type="spellStart"/>
      <w:r w:rsidRPr="00EE5B45">
        <w:t>Defence</w:t>
      </w:r>
      <w:proofErr w:type="spellEnd"/>
      <w:r w:rsidRPr="00EE5B45">
        <w:t xml:space="preserve"> building its domestic supply chain, Canada supports Indigenous economic growth. Public Services &amp; Procurement Canada and major buyers face greater scrutiny to verify Indigenous business status before awarding contracts.</w:t>
      </w:r>
    </w:p>
    <w:p w14:paraId="38D73892" w14:textId="77777777" w:rsidR="00EE5B45" w:rsidRDefault="00EE5B45" w:rsidP="00EE5B45"/>
    <w:p w14:paraId="7349F3C4" w14:textId="5F34B055" w:rsidR="00ED3138" w:rsidRDefault="00310AFE" w:rsidP="00310AFE">
      <w:r w:rsidRPr="00310AFE">
        <w:t xml:space="preserve">CANCOM </w:t>
      </w:r>
      <w:r>
        <w:t>is an established</w:t>
      </w:r>
      <w:r w:rsidRPr="00310AFE">
        <w:t xml:space="preserve"> security</w:t>
      </w:r>
      <w:r>
        <w:t xml:space="preserve"> services provider</w:t>
      </w:r>
      <w:r w:rsidRPr="00310AFE">
        <w:t xml:space="preserve">, </w:t>
      </w:r>
      <w:r>
        <w:t xml:space="preserve">and developer of </w:t>
      </w:r>
      <w:r w:rsidRPr="00310AFE">
        <w:t>cognitive autonomous monitoring</w:t>
      </w:r>
      <w:r>
        <w:t xml:space="preserve"> Systems (CAMS)</w:t>
      </w:r>
      <w:r w:rsidRPr="00310AFE">
        <w:t xml:space="preserve">, and advanced target acquisition. However, </w:t>
      </w:r>
      <w:r>
        <w:t xml:space="preserve">the </w:t>
      </w:r>
      <w:r w:rsidRPr="00310AFE">
        <w:t>business need</w:t>
      </w:r>
      <w:r>
        <w:t>s</w:t>
      </w:r>
      <w:r w:rsidRPr="00310AFE">
        <w:t xml:space="preserve"> an Indigenous-led plan with </w:t>
      </w:r>
      <w:r w:rsidR="009E0D8D">
        <w:t xml:space="preserve">verified </w:t>
      </w:r>
      <w:r w:rsidRPr="00310AFE">
        <w:t xml:space="preserve">ownership and corporate structure—this is where First Nations Procurement Inc. (FNPI) excels. FNPI is </w:t>
      </w:r>
      <w:r w:rsidR="009E0D8D">
        <w:t>100%</w:t>
      </w:r>
      <w:r w:rsidRPr="00310AFE">
        <w:t xml:space="preserve"> First Nations owned</w:t>
      </w:r>
      <w:r w:rsidR="009E0D8D">
        <w:t xml:space="preserve"> and</w:t>
      </w:r>
      <w:r w:rsidRPr="00310AFE">
        <w:t xml:space="preserve"> operating since 2017 from Sagamok Anishnawbek First Nation. It is registered with Indigenous Services Canada, CCAB, and the First Nations Procurement Authority</w:t>
      </w:r>
      <w:r w:rsidR="009E0D8D">
        <w:t xml:space="preserve"> directories</w:t>
      </w:r>
      <w:r w:rsidRPr="00310AFE">
        <w:t xml:space="preserve">, providing a compliant framework for </w:t>
      </w:r>
      <w:r w:rsidR="009E0D8D">
        <w:t xml:space="preserve">establishing CANCOM as being </w:t>
      </w:r>
      <w:r w:rsidRPr="00310AFE">
        <w:t>market read</w:t>
      </w:r>
      <w:r w:rsidR="009E0D8D">
        <w:t>y</w:t>
      </w:r>
      <w:r w:rsidRPr="00310AFE">
        <w:t>.</w:t>
      </w:r>
    </w:p>
    <w:p w14:paraId="6F8AA28C" w14:textId="77777777" w:rsidR="00310AFE" w:rsidRDefault="00310AFE" w:rsidP="00310AFE"/>
    <w:p w14:paraId="7719917F" w14:textId="1BA4A610" w:rsidR="00ED3138" w:rsidRDefault="009E0D8D">
      <w:pPr>
        <w:spacing w:after="160" w:line="276" w:lineRule="auto"/>
      </w:pPr>
      <w:r>
        <w:t xml:space="preserve">First Nations Procurement Inc., can assess, structure and build compliance so </w:t>
      </w:r>
      <w:r w:rsidR="00000000">
        <w:t xml:space="preserve">CANCOM becomes fundable and procurable through channels it cannot reach alone. Without a genuine Indigenous lead, the Indigenous-stream funding and set-asides described in this document are simply closed. </w:t>
      </w:r>
      <w:r w:rsidR="00000000">
        <w:rPr>
          <w:b/>
          <w:bCs/>
        </w:rPr>
        <w:t>FNPI opens the doors, CANCOM brings the capability, and together the venture is both fundable and legitimate.</w:t>
      </w:r>
    </w:p>
    <w:p w14:paraId="2AEFB989" w14:textId="77777777" w:rsidR="00ED3138" w:rsidRDefault="00000000">
      <w:pPr>
        <w:pStyle w:val="Heading2"/>
      </w:pPr>
      <w:r>
        <w:t>Why this only works with a genuine Indigenous lead</w:t>
      </w:r>
    </w:p>
    <w:p w14:paraId="49AD951C" w14:textId="77777777" w:rsidR="00ED3138" w:rsidRDefault="00000000">
      <w:pPr>
        <w:spacing w:after="160" w:line="276" w:lineRule="auto"/>
      </w:pPr>
      <w:r>
        <w:t>The Indigenous-stream funding and set-asides in this plan are not open to a company that simply describes itself as Indigenous. They require the business to be at least 51 percent owned and controlled by Indigenous people, with real Indigenous value-add, and they are verified. The National Aboriginal Capital Corporations Association created the First Nations Procurement Authority specifically to verify Indigenous businesses and to stop arrangements where a non-Indigenous firm fronts through an Indigenous name.</w:t>
      </w:r>
    </w:p>
    <w:p w14:paraId="233E32EF" w14:textId="1D1D2FA5" w:rsidR="00ED3138" w:rsidRDefault="00000000">
      <w:pPr>
        <w:spacing w:after="160" w:line="276" w:lineRule="auto"/>
      </w:pPr>
      <w:r>
        <w:t>A non-Indigenous company cannot self-declare into these streams, and attempting it risks bid forfeiture, contract termination, and disqualification. The only durable route is a genuinely Indigenous-majority structure led by a real Indigenous partner. FNPI provides exactly that: not a name on paper, but a real owne</w:t>
      </w:r>
      <w:r w:rsidR="009E0D8D">
        <w:t>r</w:t>
      </w:r>
      <w:r>
        <w:t xml:space="preserve"> qualification, capability, and procurement infrastructure. Building the venture this way is not a </w:t>
      </w:r>
      <w:proofErr w:type="gramStart"/>
      <w:r>
        <w:t>constraint,</w:t>
      </w:r>
      <w:proofErr w:type="gramEnd"/>
      <w:r>
        <w:t xml:space="preserve"> it is what makes the funding real and the company defensible.</w:t>
      </w:r>
    </w:p>
    <w:p w14:paraId="2434B38C" w14:textId="77777777" w:rsidR="00ED3138" w:rsidRDefault="00000000">
      <w:pPr>
        <w:pStyle w:val="Heading2"/>
      </w:pPr>
      <w:r>
        <w:t>Recommended positioning</w:t>
      </w:r>
    </w:p>
    <w:p w14:paraId="14D8C898" w14:textId="39721DD2" w:rsidR="00ED3138" w:rsidRDefault="00A618B2" w:rsidP="00A618B2">
      <w:r w:rsidRPr="00A618B2">
        <w:t>CANCOM-</w:t>
      </w:r>
      <w:proofErr w:type="spellStart"/>
      <w:r w:rsidRPr="00A618B2">
        <w:t>VigilAInt</w:t>
      </w:r>
      <w:proofErr w:type="spellEnd"/>
      <w:r w:rsidRPr="00A618B2">
        <w:t xml:space="preserve"> is an Indigenous-led </w:t>
      </w:r>
      <w:r>
        <w:t xml:space="preserve">JV </w:t>
      </w:r>
      <w:r w:rsidRPr="00A618B2">
        <w:t xml:space="preserve">technology and security enterprise. CANCOM provides Indigenous security expertise, while non-Indigenous partner </w:t>
      </w:r>
      <w:proofErr w:type="gramStart"/>
      <w:r w:rsidRPr="00A618B2">
        <w:t>contribute</w:t>
      </w:r>
      <w:proofErr w:type="gramEnd"/>
      <w:r w:rsidRPr="00A618B2">
        <w:t xml:space="preserve"> AI and cognitive </w:t>
      </w:r>
      <w:r w:rsidRPr="00A618B2">
        <w:lastRenderedPageBreak/>
        <w:t>autonomous monitoring systems, delivering infrastructure evaluated by FNPI to governments, Indigenous communities, and key industry stakeholders. This collaborative structure qualifies CANCOM-</w:t>
      </w:r>
      <w:proofErr w:type="spellStart"/>
      <w:r w:rsidRPr="00A618B2">
        <w:t>VigilAInt</w:t>
      </w:r>
      <w:proofErr w:type="spellEnd"/>
      <w:r w:rsidRPr="00A618B2">
        <w:t xml:space="preserve"> for the Indigenous and innovation funding outlined below.</w:t>
      </w:r>
    </w:p>
    <w:p w14:paraId="5B9434AD" w14:textId="77777777" w:rsidR="00ED3138" w:rsidRDefault="00000000">
      <w:pPr>
        <w:pStyle w:val="Heading2"/>
      </w:pPr>
      <w:r>
        <w:t>Federal funding priorities</w:t>
      </w:r>
    </w:p>
    <w:p w14:paraId="5FB5B94C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>Indigenous Services Canada (ISC): entrepreneurship, procurement readiness, and capacity building.</w:t>
      </w:r>
    </w:p>
    <w:p w14:paraId="59927A64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>NRC IRAP: AI platform development, drone autonomy, commercialization, and technical staffing.</w:t>
      </w:r>
    </w:p>
    <w:p w14:paraId="636E29BD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Department of National </w:t>
      </w:r>
      <w:proofErr w:type="spellStart"/>
      <w:r>
        <w:t>Defence</w:t>
      </w:r>
      <w:proofErr w:type="spellEnd"/>
      <w:r>
        <w:t xml:space="preserve"> IDEAS: surveillance technologies, autonomous systems, AI-assisted monitoring, and ISR innovation.</w:t>
      </w:r>
    </w:p>
    <w:p w14:paraId="14442895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>Public Services and Procurement Canada (PSPC): Indigenous procurement and supplier engagement.</w:t>
      </w:r>
    </w:p>
    <w:p w14:paraId="15D58558" w14:textId="77777777" w:rsidR="00ED3138" w:rsidRDefault="00000000">
      <w:pPr>
        <w:pStyle w:val="Heading2"/>
      </w:pPr>
      <w:r>
        <w:t>Ontario funding priorities</w:t>
      </w:r>
    </w:p>
    <w:p w14:paraId="3B6930B3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>Ontario Centre of Innovation (OCI): AI development, commercialization, and technology partnerships.</w:t>
      </w:r>
    </w:p>
    <w:p w14:paraId="4D7E118D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>Northern Ontario Heritage Fund Corporation (NOHFC): equipment, hiring, technology development, and expansion.</w:t>
      </w:r>
    </w:p>
    <w:p w14:paraId="787435D8" w14:textId="77777777" w:rsidR="00ED3138" w:rsidRDefault="00000000">
      <w:pPr>
        <w:pStyle w:val="ListParagraph"/>
        <w:numPr>
          <w:ilvl w:val="0"/>
          <w:numId w:val="2"/>
        </w:numPr>
        <w:spacing w:after="80"/>
      </w:pPr>
      <w:r>
        <w:t>Invest Ontario: growth capital and commercialization support once pilots and customers are secured.</w:t>
      </w:r>
    </w:p>
    <w:p w14:paraId="1D42A7B1" w14:textId="77777777" w:rsidR="00ED3138" w:rsidRDefault="00000000">
      <w:pPr>
        <w:pStyle w:val="Heading2"/>
      </w:pPr>
      <w:r>
        <w:t>Recommended funding sequence</w:t>
      </w:r>
    </w:p>
    <w:p w14:paraId="2127ED78" w14:textId="424F90B8" w:rsidR="00ED3138" w:rsidRDefault="00000000">
      <w:pPr>
        <w:spacing w:after="160" w:line="276" w:lineRule="auto"/>
      </w:pPr>
      <w:r>
        <w:rPr>
          <w:b/>
          <w:bCs/>
        </w:rPr>
        <w:t xml:space="preserve">Phase 1 (0 to 3 months). </w:t>
      </w:r>
      <w:r w:rsidR="00A618B2">
        <w:rPr>
          <w:b/>
          <w:bCs/>
        </w:rPr>
        <w:t xml:space="preserve">FNPI </w:t>
      </w:r>
      <w:r w:rsidR="00A618B2">
        <w:t>e</w:t>
      </w:r>
      <w:r>
        <w:t>stablish</w:t>
      </w:r>
      <w:r w:rsidR="00A618B2">
        <w:t>es</w:t>
      </w:r>
      <w:r>
        <w:t xml:space="preserve"> the</w:t>
      </w:r>
      <w:r w:rsidR="00A618B2">
        <w:t xml:space="preserve"> framework for the</w:t>
      </w:r>
      <w:r>
        <w:t xml:space="preserve"> venture’s Indigenous-majority ownership and control structure as the prime, secure procurement registrations as the qualifying entity, finalize the brand and ownership agreement, prepare capability statements, and develop financial projections</w:t>
      </w:r>
      <w:r w:rsidR="00A618B2">
        <w:t xml:space="preserve"> to access funding</w:t>
      </w:r>
      <w:r>
        <w:t>.</w:t>
      </w:r>
    </w:p>
    <w:p w14:paraId="13CDE8F7" w14:textId="77777777" w:rsidR="00ED3138" w:rsidRDefault="00000000">
      <w:pPr>
        <w:spacing w:after="160" w:line="276" w:lineRule="auto"/>
      </w:pPr>
      <w:r>
        <w:rPr>
          <w:b/>
          <w:bCs/>
        </w:rPr>
        <w:t xml:space="preserve">Phase 2 (3 to 6 months). </w:t>
      </w:r>
      <w:r>
        <w:t>Apply for IRAP, OCI, ISC, and NOHFC funding for AI and autonomous-systems development.</w:t>
      </w:r>
    </w:p>
    <w:p w14:paraId="5D6F136F" w14:textId="77777777" w:rsidR="00ED3138" w:rsidRDefault="00000000">
      <w:pPr>
        <w:spacing w:after="160" w:line="276" w:lineRule="auto"/>
      </w:pPr>
      <w:r>
        <w:rPr>
          <w:b/>
          <w:bCs/>
        </w:rPr>
        <w:t xml:space="preserve">Phase 3 (6 to 12 months). </w:t>
      </w:r>
      <w:r>
        <w:t>Pursue DND IDEAS opportunities, launch Indigenous community pilot projects, and implement initial infrastructure deployments.</w:t>
      </w:r>
    </w:p>
    <w:p w14:paraId="09498303" w14:textId="77777777" w:rsidR="00ED3138" w:rsidRDefault="00000000">
      <w:pPr>
        <w:pStyle w:val="Heading2"/>
      </w:pPr>
      <w:r>
        <w:t>Positioning lines</w:t>
      </w:r>
    </w:p>
    <w:p w14:paraId="6433BCF7" w14:textId="77777777" w:rsidR="00ED3138" w:rsidRDefault="00000000">
      <w:pPr>
        <w:pStyle w:val="ListParagraph"/>
        <w:numPr>
          <w:ilvl w:val="0"/>
          <w:numId w:val="3"/>
        </w:numPr>
        <w:spacing w:after="60"/>
      </w:pPr>
      <w:r>
        <w:t>AI, security, and autonomous systems, Indigenous-owned and led.</w:t>
      </w:r>
    </w:p>
    <w:p w14:paraId="2FE53662" w14:textId="77777777" w:rsidR="00ED3138" w:rsidRDefault="00000000">
      <w:pPr>
        <w:pStyle w:val="ListParagraph"/>
        <w:numPr>
          <w:ilvl w:val="0"/>
          <w:numId w:val="3"/>
        </w:numPr>
        <w:spacing w:after="60"/>
      </w:pPr>
      <w:r>
        <w:t>Human-directed, AI-supported, Indigenous-led.</w:t>
      </w:r>
    </w:p>
    <w:p w14:paraId="0764219A" w14:textId="77777777" w:rsidR="00ED3138" w:rsidRDefault="00000000">
      <w:pPr>
        <w:pStyle w:val="ListParagraph"/>
        <w:numPr>
          <w:ilvl w:val="0"/>
          <w:numId w:val="3"/>
        </w:numPr>
        <w:spacing w:after="60"/>
      </w:pPr>
      <w:r>
        <w:t>Sovereign technology for security, monitoring, and infrastructure.</w:t>
      </w:r>
    </w:p>
    <w:p w14:paraId="2769B5D0" w14:textId="77777777" w:rsidR="00ED3138" w:rsidRDefault="00000000">
      <w:pPr>
        <w:pStyle w:val="Heading2"/>
      </w:pPr>
      <w:r>
        <w:t>The structure that qualifies</w:t>
      </w:r>
    </w:p>
    <w:p w14:paraId="1D70AE21" w14:textId="77777777" w:rsidR="00ED3138" w:rsidRDefault="00000000">
      <w:pPr>
        <w:spacing w:after="160" w:line="276" w:lineRule="auto"/>
      </w:pPr>
      <w:r>
        <w:rPr>
          <w:b/>
          <w:bCs/>
        </w:rPr>
        <w:lastRenderedPageBreak/>
        <w:t xml:space="preserve">Ownership and control. </w:t>
      </w:r>
      <w:r>
        <w:t>At least 51 percent of the business owned and controlled by Indigenous people. Joint ventures require the same 51 percent Indigenous ownership and control.</w:t>
      </w:r>
    </w:p>
    <w:p w14:paraId="06D4D8FF" w14:textId="77777777" w:rsidR="00ED3138" w:rsidRDefault="00000000">
      <w:pPr>
        <w:spacing w:after="160" w:line="276" w:lineRule="auto"/>
      </w:pPr>
      <w:r>
        <w:rPr>
          <w:b/>
          <w:bCs/>
        </w:rPr>
        <w:t xml:space="preserve">Registration. </w:t>
      </w:r>
      <w:r>
        <w:t>To bid on federal set-asides, the business must be listed on the Indigenous Business Directory or a modern treaty business list. FNPI’s registrations qualify the venture.</w:t>
      </w:r>
    </w:p>
    <w:p w14:paraId="2E955A2C" w14:textId="77777777" w:rsidR="00ED3138" w:rsidRDefault="00000000">
      <w:pPr>
        <w:spacing w:after="160" w:line="276" w:lineRule="auto"/>
      </w:pPr>
      <w:r>
        <w:rPr>
          <w:b/>
          <w:bCs/>
        </w:rPr>
        <w:t xml:space="preserve">Evidence. </w:t>
      </w:r>
      <w:r>
        <w:t>Proof of ownership and control must be provided. Eligible structures include corporations, partnerships, cooperatives, and others, provided Indigenous owners hold final decision-making control.</w:t>
      </w:r>
    </w:p>
    <w:p w14:paraId="32B111EB" w14:textId="77777777" w:rsidR="00ED3138" w:rsidRDefault="00000000">
      <w:pPr>
        <w:pStyle w:val="Heading2"/>
      </w:pPr>
      <w:r>
        <w:t>Key recommendation</w:t>
      </w:r>
    </w:p>
    <w:p w14:paraId="4E09263C" w14:textId="21CD2ED1" w:rsidR="00ED3138" w:rsidRDefault="00000000">
      <w:pPr>
        <w:spacing w:after="160" w:line="276" w:lineRule="auto"/>
      </w:pPr>
      <w:r>
        <w:t xml:space="preserve">Shift from a partnership concept to a fundable, Indigenous-led technology company, founded on real ownership, products, intellectual property, commercialization, and measurable economic impact, with FNPI as the qualifying Indigenous </w:t>
      </w:r>
      <w:r w:rsidR="00A618B2">
        <w:t>operative</w:t>
      </w:r>
      <w:r>
        <w:t xml:space="preserve"> and CANCOM as the technology and security capability partner.</w:t>
      </w:r>
    </w:p>
    <w:p w14:paraId="500C98AC" w14:textId="38D610EA" w:rsidR="00ED3138" w:rsidRDefault="00000000">
      <w:pPr>
        <w:pBdr>
          <w:top w:val="single" w:sz="4" w:space="8" w:color="D9D9D9"/>
        </w:pBdr>
        <w:spacing w:before="240"/>
      </w:pPr>
      <w:r>
        <w:rPr>
          <w:i/>
          <w:iCs/>
          <w:color w:val="5C6166"/>
          <w:sz w:val="18"/>
          <w:szCs w:val="18"/>
        </w:rPr>
        <w:t>This is an internal FNPI draft</w:t>
      </w:r>
      <w:r w:rsidR="00A618B2">
        <w:rPr>
          <w:i/>
          <w:iCs/>
          <w:color w:val="5C6166"/>
          <w:sz w:val="18"/>
          <w:szCs w:val="18"/>
        </w:rPr>
        <w:t xml:space="preserve"> not intended for transmission, distribution or duplication</w:t>
      </w:r>
      <w:r>
        <w:rPr>
          <w:i/>
          <w:iCs/>
          <w:color w:val="5C6166"/>
          <w:sz w:val="18"/>
          <w:szCs w:val="18"/>
        </w:rPr>
        <w:t xml:space="preserve">, prepared for discussion with CANCOM. </w:t>
      </w:r>
      <w:r w:rsidR="00A618B2">
        <w:rPr>
          <w:i/>
          <w:iCs/>
          <w:color w:val="5C6166"/>
          <w:sz w:val="18"/>
          <w:szCs w:val="18"/>
        </w:rPr>
        <w:t>Required: p</w:t>
      </w:r>
      <w:r>
        <w:rPr>
          <w:i/>
          <w:iCs/>
          <w:color w:val="5C6166"/>
          <w:sz w:val="18"/>
          <w:szCs w:val="18"/>
        </w:rPr>
        <w:t>rogram details and figures should be verified before any external use.</w:t>
      </w:r>
    </w:p>
    <w:sectPr w:rsidR="00ED3138">
      <w:headerReference w:type="default" r:id="rId7"/>
      <w:footerReference w:type="default" r:id="rId8"/>
      <w:pgSz w:w="12240" w:h="15840"/>
      <w:pgMar w:top="21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3B141" w14:textId="77777777" w:rsidR="00BC1129" w:rsidRDefault="00BC1129">
      <w:r>
        <w:separator/>
      </w:r>
    </w:p>
  </w:endnote>
  <w:endnote w:type="continuationSeparator" w:id="0">
    <w:p w14:paraId="2F38F40B" w14:textId="77777777" w:rsidR="00BC1129" w:rsidRDefault="00BC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EEBA6" w14:textId="77777777" w:rsidR="00ED3138" w:rsidRDefault="00000000">
    <w:pPr>
      <w:pBdr>
        <w:top w:val="single" w:sz="4" w:space="6" w:color="D9D9D9"/>
      </w:pBdr>
      <w:tabs>
        <w:tab w:val="right" w:pos="9026"/>
      </w:tabs>
    </w:pPr>
    <w:r>
      <w:rPr>
        <w:color w:val="5C6166"/>
        <w:sz w:val="15"/>
        <w:szCs w:val="15"/>
      </w:rPr>
      <w:t>Confidential. Internal draft, not for distribution.</w:t>
    </w:r>
    <w:r>
      <w:rPr>
        <w:color w:val="5C6166"/>
        <w:sz w:val="15"/>
        <w:szCs w:val="15"/>
      </w:rPr>
      <w:tab/>
      <w:t xml:space="preserve">Page </w:t>
    </w:r>
    <w:r>
      <w:rPr>
        <w:color w:val="5C6166"/>
        <w:sz w:val="15"/>
        <w:szCs w:val="15"/>
      </w:rPr>
      <w:fldChar w:fldCharType="begin"/>
    </w:r>
    <w:r>
      <w:rPr>
        <w:color w:val="5C6166"/>
        <w:sz w:val="15"/>
        <w:szCs w:val="15"/>
      </w:rPr>
      <w:instrText>PAGE</w:instrText>
    </w:r>
    <w:r>
      <w:rPr>
        <w:color w:val="5C6166"/>
        <w:sz w:val="15"/>
        <w:szCs w:val="15"/>
      </w:rPr>
      <w:fldChar w:fldCharType="separate"/>
    </w:r>
    <w:r w:rsidR="00EE5B45">
      <w:rPr>
        <w:noProof/>
        <w:color w:val="5C6166"/>
        <w:sz w:val="15"/>
        <w:szCs w:val="15"/>
      </w:rPr>
      <w:t>1</w:t>
    </w:r>
    <w:r>
      <w:rPr>
        <w:color w:val="5C61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A1FF" w14:textId="77777777" w:rsidR="00BC1129" w:rsidRDefault="00BC1129">
      <w:r>
        <w:separator/>
      </w:r>
    </w:p>
  </w:footnote>
  <w:footnote w:type="continuationSeparator" w:id="0">
    <w:p w14:paraId="0CB3487B" w14:textId="77777777" w:rsidR="00BC1129" w:rsidRDefault="00BC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CDA2" w14:textId="77777777" w:rsidR="00ED3138" w:rsidRDefault="00000000">
    <w:r>
      <w:rPr>
        <w:noProof/>
      </w:rPr>
      <w:drawing>
        <wp:anchor distT="0" distB="0" distL="0" distR="0" simplePos="0" relativeHeight="5334000" behindDoc="1" locked="0" layoutInCell="1" allowOverlap="1" wp14:anchorId="65A9972F" wp14:editId="3619E58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334000" cy="5334000"/>
          <wp:effectExtent l="0" t="0" r="0" b="0"/>
          <wp:wrapNone/>
          <wp:docPr id="1" name="draftwm" descr="DRAFT watermark" title="DRAF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533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DA7906" w14:textId="77777777" w:rsidR="00ED3138" w:rsidRDefault="00000000">
    <w:pPr>
      <w:spacing w:after="20"/>
      <w:jc w:val="center"/>
    </w:pPr>
    <w:r>
      <w:rPr>
        <w:noProof/>
      </w:rPr>
      <w:drawing>
        <wp:inline distT="0" distB="0" distL="0" distR="0" wp14:anchorId="1A8744C3" wp14:editId="5265A2B6">
          <wp:extent cx="419100" cy="447675"/>
          <wp:effectExtent l="0" t="0" r="0" b="0"/>
          <wp:docPr id="1375568712" name="wolfL" descr="FNPI wolf mark" title="FNPI wol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F1B3D"/>
        <w:sz w:val="24"/>
        <w:szCs w:val="24"/>
      </w:rPr>
      <w:t xml:space="preserve">   First Nations Procurement Incorporated   </w:t>
    </w:r>
    <w:r>
      <w:rPr>
        <w:noProof/>
      </w:rPr>
      <w:drawing>
        <wp:inline distT="0" distB="0" distL="0" distR="0" wp14:anchorId="202010F6" wp14:editId="093775FA">
          <wp:extent cx="419100" cy="447675"/>
          <wp:effectExtent l="0" t="0" r="0" b="0"/>
          <wp:docPr id="978187534" name="wolfR" descr="FNPI wolf mark" title="FNPI wol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1A55B" w14:textId="77777777" w:rsidR="00ED3138" w:rsidRDefault="00000000">
    <w:pPr>
      <w:pBdr>
        <w:bottom w:val="single" w:sz="6" w:space="6" w:color="13869F"/>
      </w:pBdr>
      <w:spacing w:after="60"/>
      <w:jc w:val="center"/>
    </w:pPr>
    <w:r>
      <w:rPr>
        <w:color w:val="5C6166"/>
        <w:sz w:val="16"/>
        <w:szCs w:val="16"/>
      </w:rPr>
      <w:t xml:space="preserve">91 River </w:t>
    </w:r>
    <w:proofErr w:type="gramStart"/>
    <w:r>
      <w:rPr>
        <w:color w:val="5C6166"/>
        <w:sz w:val="16"/>
        <w:szCs w:val="16"/>
      </w:rPr>
      <w:t>Road  ·</w:t>
    </w:r>
    <w:proofErr w:type="gramEnd"/>
    <w:r>
      <w:rPr>
        <w:color w:val="5C6166"/>
        <w:sz w:val="16"/>
        <w:szCs w:val="16"/>
      </w:rPr>
      <w:t xml:space="preserve">  Sagamok Anishnawbek First </w:t>
    </w:r>
    <w:proofErr w:type="gramStart"/>
    <w:r>
      <w:rPr>
        <w:color w:val="5C6166"/>
        <w:sz w:val="16"/>
        <w:szCs w:val="16"/>
      </w:rPr>
      <w:t>Nation  ·</w:t>
    </w:r>
    <w:proofErr w:type="gramEnd"/>
    <w:r>
      <w:rPr>
        <w:color w:val="5C6166"/>
        <w:sz w:val="16"/>
        <w:szCs w:val="16"/>
      </w:rPr>
      <w:t xml:space="preserve">  P0P 2L</w:t>
    </w:r>
    <w:proofErr w:type="gramStart"/>
    <w:r>
      <w:rPr>
        <w:color w:val="5C6166"/>
        <w:sz w:val="16"/>
        <w:szCs w:val="16"/>
      </w:rPr>
      <w:t>0  ·</w:t>
    </w:r>
    <w:proofErr w:type="gramEnd"/>
    <w:r>
      <w:rPr>
        <w:color w:val="5C6166"/>
        <w:sz w:val="16"/>
        <w:szCs w:val="16"/>
      </w:rPr>
      <w:t xml:space="preserve">  fnprocure.ca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032C"/>
    <w:multiLevelType w:val="hybridMultilevel"/>
    <w:tmpl w:val="C7DCD8D6"/>
    <w:lvl w:ilvl="0" w:tplc="2638AEE0">
      <w:start w:val="1"/>
      <w:numFmt w:val="decimal"/>
      <w:lvlText w:val="%1."/>
      <w:lvlJc w:val="left"/>
      <w:pPr>
        <w:ind w:left="600" w:hanging="340"/>
      </w:pPr>
    </w:lvl>
    <w:lvl w:ilvl="1" w:tplc="6D8ADCAC">
      <w:numFmt w:val="decimal"/>
      <w:lvlText w:val=""/>
      <w:lvlJc w:val="left"/>
    </w:lvl>
    <w:lvl w:ilvl="2" w:tplc="5510D630">
      <w:numFmt w:val="decimal"/>
      <w:lvlText w:val=""/>
      <w:lvlJc w:val="left"/>
    </w:lvl>
    <w:lvl w:ilvl="3" w:tplc="9B42DD62">
      <w:numFmt w:val="decimal"/>
      <w:lvlText w:val=""/>
      <w:lvlJc w:val="left"/>
    </w:lvl>
    <w:lvl w:ilvl="4" w:tplc="BAAC072C">
      <w:numFmt w:val="decimal"/>
      <w:lvlText w:val=""/>
      <w:lvlJc w:val="left"/>
    </w:lvl>
    <w:lvl w:ilvl="5" w:tplc="86A045D8">
      <w:numFmt w:val="decimal"/>
      <w:lvlText w:val=""/>
      <w:lvlJc w:val="left"/>
    </w:lvl>
    <w:lvl w:ilvl="6" w:tplc="D214CAFA">
      <w:numFmt w:val="decimal"/>
      <w:lvlText w:val=""/>
      <w:lvlJc w:val="left"/>
    </w:lvl>
    <w:lvl w:ilvl="7" w:tplc="985C9E32">
      <w:numFmt w:val="decimal"/>
      <w:lvlText w:val=""/>
      <w:lvlJc w:val="left"/>
    </w:lvl>
    <w:lvl w:ilvl="8" w:tplc="77BE4874">
      <w:numFmt w:val="decimal"/>
      <w:lvlText w:val=""/>
      <w:lvlJc w:val="left"/>
    </w:lvl>
  </w:abstractNum>
  <w:abstractNum w:abstractNumId="1" w15:restartNumberingAfterBreak="0">
    <w:nsid w:val="308F190B"/>
    <w:multiLevelType w:val="hybridMultilevel"/>
    <w:tmpl w:val="E0CA2556"/>
    <w:lvl w:ilvl="0" w:tplc="DD3CE96C">
      <w:start w:val="1"/>
      <w:numFmt w:val="bullet"/>
      <w:lvlText w:val="●"/>
      <w:lvlJc w:val="left"/>
      <w:pPr>
        <w:ind w:left="720" w:hanging="360"/>
      </w:pPr>
    </w:lvl>
    <w:lvl w:ilvl="1" w:tplc="72C20614">
      <w:start w:val="1"/>
      <w:numFmt w:val="bullet"/>
      <w:lvlText w:val="○"/>
      <w:lvlJc w:val="left"/>
      <w:pPr>
        <w:ind w:left="1440" w:hanging="360"/>
      </w:pPr>
    </w:lvl>
    <w:lvl w:ilvl="2" w:tplc="8FF6605A">
      <w:start w:val="1"/>
      <w:numFmt w:val="bullet"/>
      <w:lvlText w:val="■"/>
      <w:lvlJc w:val="left"/>
      <w:pPr>
        <w:ind w:left="2160" w:hanging="360"/>
      </w:pPr>
    </w:lvl>
    <w:lvl w:ilvl="3" w:tplc="F180778E">
      <w:start w:val="1"/>
      <w:numFmt w:val="bullet"/>
      <w:lvlText w:val="●"/>
      <w:lvlJc w:val="left"/>
      <w:pPr>
        <w:ind w:left="2880" w:hanging="360"/>
      </w:pPr>
    </w:lvl>
    <w:lvl w:ilvl="4" w:tplc="0BDE9C64">
      <w:start w:val="1"/>
      <w:numFmt w:val="bullet"/>
      <w:lvlText w:val="○"/>
      <w:lvlJc w:val="left"/>
      <w:pPr>
        <w:ind w:left="3600" w:hanging="360"/>
      </w:pPr>
    </w:lvl>
    <w:lvl w:ilvl="5" w:tplc="112C23FC">
      <w:start w:val="1"/>
      <w:numFmt w:val="bullet"/>
      <w:lvlText w:val="■"/>
      <w:lvlJc w:val="left"/>
      <w:pPr>
        <w:ind w:left="4320" w:hanging="360"/>
      </w:pPr>
    </w:lvl>
    <w:lvl w:ilvl="6" w:tplc="DEEA7BEA">
      <w:start w:val="1"/>
      <w:numFmt w:val="bullet"/>
      <w:lvlText w:val="●"/>
      <w:lvlJc w:val="left"/>
      <w:pPr>
        <w:ind w:left="5040" w:hanging="360"/>
      </w:pPr>
    </w:lvl>
    <w:lvl w:ilvl="7" w:tplc="4720156A">
      <w:start w:val="1"/>
      <w:numFmt w:val="bullet"/>
      <w:lvlText w:val="●"/>
      <w:lvlJc w:val="left"/>
      <w:pPr>
        <w:ind w:left="5760" w:hanging="360"/>
      </w:pPr>
    </w:lvl>
    <w:lvl w:ilvl="8" w:tplc="FF2018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17785"/>
    <w:multiLevelType w:val="hybridMultilevel"/>
    <w:tmpl w:val="DC9280D0"/>
    <w:lvl w:ilvl="0" w:tplc="1206B2E8">
      <w:start w:val="1"/>
      <w:numFmt w:val="bullet"/>
      <w:lvlText w:val="•"/>
      <w:lvlJc w:val="left"/>
      <w:pPr>
        <w:ind w:left="600" w:hanging="340"/>
      </w:pPr>
    </w:lvl>
    <w:lvl w:ilvl="1" w:tplc="EACAC604">
      <w:numFmt w:val="decimal"/>
      <w:lvlText w:val=""/>
      <w:lvlJc w:val="left"/>
    </w:lvl>
    <w:lvl w:ilvl="2" w:tplc="35568C6A">
      <w:numFmt w:val="decimal"/>
      <w:lvlText w:val=""/>
      <w:lvlJc w:val="left"/>
    </w:lvl>
    <w:lvl w:ilvl="3" w:tplc="69B23D76">
      <w:numFmt w:val="decimal"/>
      <w:lvlText w:val=""/>
      <w:lvlJc w:val="left"/>
    </w:lvl>
    <w:lvl w:ilvl="4" w:tplc="40D6DA84">
      <w:numFmt w:val="decimal"/>
      <w:lvlText w:val=""/>
      <w:lvlJc w:val="left"/>
    </w:lvl>
    <w:lvl w:ilvl="5" w:tplc="9398B246">
      <w:numFmt w:val="decimal"/>
      <w:lvlText w:val=""/>
      <w:lvlJc w:val="left"/>
    </w:lvl>
    <w:lvl w:ilvl="6" w:tplc="B9D49440">
      <w:numFmt w:val="decimal"/>
      <w:lvlText w:val=""/>
      <w:lvlJc w:val="left"/>
    </w:lvl>
    <w:lvl w:ilvl="7" w:tplc="D0C253AA">
      <w:numFmt w:val="decimal"/>
      <w:lvlText w:val=""/>
      <w:lvlJc w:val="left"/>
    </w:lvl>
    <w:lvl w:ilvl="8" w:tplc="138AED1A">
      <w:numFmt w:val="decimal"/>
      <w:lvlText w:val=""/>
      <w:lvlJc w:val="left"/>
    </w:lvl>
  </w:abstractNum>
  <w:num w:numId="1" w16cid:durableId="1781559762">
    <w:abstractNumId w:val="1"/>
    <w:lvlOverride w:ilvl="0">
      <w:startOverride w:val="1"/>
    </w:lvlOverride>
  </w:num>
  <w:num w:numId="2" w16cid:durableId="1883858371">
    <w:abstractNumId w:val="0"/>
    <w:lvlOverride w:ilvl="0">
      <w:startOverride w:val="1"/>
    </w:lvlOverride>
  </w:num>
  <w:num w:numId="3" w16cid:durableId="9816203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38"/>
    <w:rsid w:val="00310AFE"/>
    <w:rsid w:val="009E0D8D"/>
    <w:rsid w:val="00A618B2"/>
    <w:rsid w:val="00BC1129"/>
    <w:rsid w:val="00BE68B0"/>
    <w:rsid w:val="00ED3138"/>
    <w:rsid w:val="00EE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7B3A2"/>
  <w15:docId w15:val="{1E9484A1-BA76-154C-AD11-5A940016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0F1B3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Owl</cp:lastModifiedBy>
  <cp:revision>2</cp:revision>
  <dcterms:created xsi:type="dcterms:W3CDTF">2026-06-07T09:46:00Z</dcterms:created>
  <dcterms:modified xsi:type="dcterms:W3CDTF">2026-06-07T09:46:00Z</dcterms:modified>
</cp:coreProperties>
</file>