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46"/>
        <w:gridCol w:w="5046"/>
      </w:tblGrid>
      <w:tr>
        <w:tc>
          <w:tcPr>
            <w:tcW w:type="dxa" w:w="2268"/>
            <w:tcMar>
              <w:top w:w="100" w:type="dxa"/>
              <w:start w:w="120" w:type="dxa"/>
              <w:bottom w:w="100" w:type="dxa"/>
              <w:end w:w="120" w:type="dxa"/>
            </w:tcMar>
            <w:vAlign w:val="center"/>
          </w:tcPr>
          <w:p>
            <w:pPr>
              <w:jc w:val="left"/>
            </w:pPr>
            <w:r>
              <w:drawing>
                <wp:inline xmlns:a="http://schemas.openxmlformats.org/drawingml/2006/main" xmlns:pic="http://schemas.openxmlformats.org/drawingml/2006/picture">
                  <wp:extent cx="827999" cy="807755"/>
                  <wp:docPr id="1" name="Picture 1"/>
                  <wp:cNvGraphicFramePr>
                    <a:graphicFrameLocks noChangeAspect="1"/>
                  </wp:cNvGraphicFramePr>
                  <a:graphic>
                    <a:graphicData uri="http://schemas.openxmlformats.org/drawingml/2006/picture">
                      <pic:pic>
                        <pic:nvPicPr>
                          <pic:cNvPr id="0" name="pdb-contract-logo.png"/>
                          <pic:cNvPicPr/>
                        </pic:nvPicPr>
                        <pic:blipFill>
                          <a:blip r:embed="rId10"/>
                          <a:stretch>
                            <a:fillRect/>
                          </a:stretch>
                        </pic:blipFill>
                        <pic:spPr>
                          <a:xfrm>
                            <a:off x="0" y="0"/>
                            <a:ext cx="827999" cy="807755"/>
                          </a:xfrm>
                          <a:prstGeom prst="rect"/>
                        </pic:spPr>
                      </pic:pic>
                    </a:graphicData>
                  </a:graphic>
                </wp:inline>
              </w:drawing>
            </w:r>
          </w:p>
        </w:tc>
        <w:tc>
          <w:tcPr>
            <w:tcW w:type="dxa" w:w="7824"/>
            <w:tcMar>
              <w:top w:w="100" w:type="dxa"/>
              <w:start w:w="120" w:type="dxa"/>
              <w:bottom w:w="100" w:type="dxa"/>
              <w:end w:w="120" w:type="dxa"/>
            </w:tcMar>
            <w:vAlign w:val="center"/>
          </w:tcPr>
          <w:p>
            <w:pPr>
              <w:jc w:val="right"/>
            </w:pPr>
            <w:r>
              <w:rPr>
                <w:rFonts w:ascii="Arial" w:hAnsi="Arial"/>
                <w:b/>
                <w:i w:val="0"/>
                <w:color w:val="191919"/>
                <w:sz w:val="26"/>
              </w:rPr>
              <w:t>PDB – AESTHETIC ROOM</w:t>
            </w:r>
            <w:r>
              <w:rPr>
                <w:rFonts w:ascii="Arial" w:hAnsi="Arial"/>
                <w:b w:val="0"/>
                <w:i w:val="0"/>
                <w:color w:val="191919"/>
                <w:sz w:val="18"/>
              </w:rPr>
              <w:br/>
              <w:t>Rheinstraße 59 · 65185 Wiesbaden</w:t>
            </w:r>
            <w:r>
              <w:rPr>
                <w:rFonts w:ascii="Arial" w:hAnsi="Arial"/>
                <w:b w:val="0"/>
                <w:i w:val="0"/>
                <w:color w:val="5F5F5F"/>
                <w:sz w:val="17"/>
              </w:rPr>
              <w:br/>
              <w:t>0178 600 11 03 · info@palaisdebeaute.de</w:t>
            </w:r>
            <w:r>
              <w:rPr>
                <w:rFonts w:ascii="Arial" w:hAnsi="Arial"/>
                <w:b w:val="0"/>
                <w:i w:val="0"/>
                <w:color w:val="5F5F5F"/>
                <w:sz w:val="17"/>
              </w:rPr>
              <w:br/>
              <w:t>www.palaisdebeaute.de</w:t>
            </w:r>
          </w:p>
        </w:tc>
      </w:tr>
    </w:tbl>
    <w:p>
      <w:pPr>
        <w:keepNext w:val="0"/>
        <w:spacing w:before="0" w:after="160" w:line="259" w:lineRule="auto"/>
        <w:jc w:val="center"/>
      </w:pPr>
      <w:r>
        <w:rPr>
          <w:rFonts w:ascii="Arial" w:hAnsi="Arial"/>
          <w:b/>
          <w:i w:val="0"/>
          <w:color w:val="191919"/>
          <w:sz w:val="17"/>
        </w:rPr>
        <w:t>ARBEITSFASSUNG – vor Veröffentlichung rechtlich prüfen lassen</w:t>
      </w:r>
    </w:p>
    <w:p>
      <w:pPr>
        <w:keepNext w:val="0"/>
        <w:spacing w:before="0" w:after="60" w:line="259" w:lineRule="auto"/>
        <w:jc w:val="center"/>
      </w:pPr>
      <w:r>
        <w:rPr>
          <w:rFonts w:ascii="Arial" w:hAnsi="Arial"/>
          <w:b/>
          <w:i w:val="0"/>
          <w:color w:val="191919"/>
          <w:sz w:val="36"/>
        </w:rPr>
        <w:t>Premium-Mitgliedschaft &amp; SEPA-Basislastschriftmandat</w:t>
      </w:r>
    </w:p>
    <w:p>
      <w:pPr>
        <w:keepNext w:val="0"/>
        <w:spacing w:before="0" w:after="200" w:line="259" w:lineRule="auto"/>
        <w:jc w:val="center"/>
      </w:pPr>
      <w:r>
        <w:rPr>
          <w:rFonts w:ascii="Arial" w:hAnsi="Arial"/>
          <w:b w:val="0"/>
          <w:i w:val="0"/>
          <w:color w:val="191919"/>
          <w:sz w:val="21"/>
        </w:rPr>
        <w:t>Vertragsvereinbarung für Studio- und Onlineabschlüsse</w:t>
      </w:r>
    </w:p>
    <w:p>
      <w:pPr>
        <w:pStyle w:val="Heading1"/>
        <w:keepNext/>
        <w:ind w:left="0" w:firstLine="0"/>
        <w:jc w:val="left"/>
      </w:pPr>
      <w:r>
        <w:t>1. Vertragspartner und Mitglied</w:t>
      </w:r>
    </w:p>
    <w:tbl>
      <w:tblPr>
        <w:tblStyle w:val="TableGrid"/>
        <w:tblW w:type="auto" w:w="0"/>
        <w:tblLayout w:type="fixed"/>
        <w:tblLook w:firstColumn="1" w:firstRow="1" w:lastColumn="0" w:lastRow="0" w:noHBand="0" w:noVBand="1" w:val="04A0"/>
      </w:tblPr>
      <w:tblGrid>
        <w:gridCol w:w="5046"/>
        <w:gridCol w:w="5046"/>
      </w:tblGrid>
      <w:tr>
        <w:tc>
          <w:tcPr>
            <w:tcW w:type="dxa" w:w="2381"/>
            <w:tcMar>
              <w:top w:w="100" w:type="dxa"/>
              <w:start w:w="120" w:type="dxa"/>
              <w:bottom w:w="100" w:type="dxa"/>
              <w:end w:w="120" w:type="dxa"/>
            </w:tcMar>
            <w:vAlign w:val="center"/>
            <w:shd w:fill="F2F2F2"/>
          </w:tcPr>
          <w:p>
            <w:r>
              <w:rPr>
                <w:rFonts w:ascii="Arial" w:hAnsi="Arial"/>
                <w:b/>
                <w:i w:val="0"/>
                <w:color w:val="191919"/>
                <w:sz w:val="18"/>
              </w:rPr>
              <w:t>Vor- und Nachname</w:t>
            </w:r>
          </w:p>
        </w:tc>
        <w:tc>
          <w:tcPr>
            <w:tcW w:type="dxa" w:w="7710"/>
            <w:tcMar>
              <w:top w:w="100" w:type="dxa"/>
              <w:start w:w="120" w:type="dxa"/>
              <w:bottom w:w="100" w:type="dxa"/>
              <w:end w:w="120" w:type="dxa"/>
            </w:tcMar>
            <w:vAlign w:val="center"/>
          </w:tcPr>
          <w:p>
            <w:r>
              <w:t xml:space="preserve"> </w:t>
            </w:r>
          </w:p>
        </w:tc>
      </w:tr>
      <w:tr>
        <w:tc>
          <w:tcPr>
            <w:tcW w:type="dxa" w:w="2381"/>
            <w:tcMar>
              <w:top w:w="100" w:type="dxa"/>
              <w:start w:w="120" w:type="dxa"/>
              <w:bottom w:w="100" w:type="dxa"/>
              <w:end w:w="120" w:type="dxa"/>
            </w:tcMar>
            <w:vAlign w:val="center"/>
            <w:shd w:fill="F2F2F2"/>
          </w:tcPr>
          <w:p>
            <w:r>
              <w:rPr>
                <w:rFonts w:ascii="Arial" w:hAnsi="Arial"/>
                <w:b/>
                <w:i w:val="0"/>
                <w:color w:val="191919"/>
                <w:sz w:val="18"/>
              </w:rPr>
              <w:t>Anschrift</w:t>
            </w:r>
          </w:p>
        </w:tc>
        <w:tc>
          <w:tcPr>
            <w:tcW w:type="dxa" w:w="7710"/>
            <w:tcMar>
              <w:top w:w="100" w:type="dxa"/>
              <w:start w:w="120" w:type="dxa"/>
              <w:bottom w:w="100" w:type="dxa"/>
              <w:end w:w="120" w:type="dxa"/>
            </w:tcMar>
            <w:vAlign w:val="center"/>
          </w:tcPr>
          <w:p>
            <w:r>
              <w:t xml:space="preserve"> </w:t>
            </w:r>
          </w:p>
        </w:tc>
      </w:tr>
      <w:tr>
        <w:tc>
          <w:tcPr>
            <w:tcW w:type="dxa" w:w="2381"/>
            <w:tcMar>
              <w:top w:w="100" w:type="dxa"/>
              <w:start w:w="120" w:type="dxa"/>
              <w:bottom w:w="100" w:type="dxa"/>
              <w:end w:w="120" w:type="dxa"/>
            </w:tcMar>
            <w:vAlign w:val="center"/>
            <w:shd w:fill="F2F2F2"/>
          </w:tcPr>
          <w:p>
            <w:r>
              <w:rPr>
                <w:rFonts w:ascii="Arial" w:hAnsi="Arial"/>
                <w:b/>
                <w:i w:val="0"/>
                <w:color w:val="191919"/>
                <w:sz w:val="18"/>
              </w:rPr>
              <w:t>E-Mail</w:t>
            </w:r>
          </w:p>
        </w:tc>
        <w:tc>
          <w:tcPr>
            <w:tcW w:type="dxa" w:w="7710"/>
            <w:tcMar>
              <w:top w:w="100" w:type="dxa"/>
              <w:start w:w="120" w:type="dxa"/>
              <w:bottom w:w="100" w:type="dxa"/>
              <w:end w:w="120" w:type="dxa"/>
            </w:tcMar>
            <w:vAlign w:val="center"/>
          </w:tcPr>
          <w:p>
            <w:r>
              <w:t xml:space="preserve"> </w:t>
            </w:r>
          </w:p>
        </w:tc>
      </w:tr>
      <w:tr>
        <w:tc>
          <w:tcPr>
            <w:tcW w:type="dxa" w:w="2381"/>
            <w:tcMar>
              <w:top w:w="100" w:type="dxa"/>
              <w:start w:w="120" w:type="dxa"/>
              <w:bottom w:w="100" w:type="dxa"/>
              <w:end w:w="120" w:type="dxa"/>
            </w:tcMar>
            <w:vAlign w:val="center"/>
            <w:shd w:fill="F2F2F2"/>
          </w:tcPr>
          <w:p>
            <w:r>
              <w:rPr>
                <w:rFonts w:ascii="Arial" w:hAnsi="Arial"/>
                <w:b/>
                <w:i w:val="0"/>
                <w:color w:val="191919"/>
                <w:sz w:val="18"/>
              </w:rPr>
              <w:t>Telefon (optional)</w:t>
            </w:r>
          </w:p>
        </w:tc>
        <w:tc>
          <w:tcPr>
            <w:tcW w:type="dxa" w:w="7710"/>
            <w:tcMar>
              <w:top w:w="100" w:type="dxa"/>
              <w:start w:w="120" w:type="dxa"/>
              <w:bottom w:w="100" w:type="dxa"/>
              <w:end w:w="120" w:type="dxa"/>
            </w:tcMar>
            <w:vAlign w:val="center"/>
          </w:tcPr>
          <w:p>
            <w:r>
              <w:t xml:space="preserve"> </w:t>
            </w:r>
          </w:p>
        </w:tc>
      </w:tr>
      <w:tr>
        <w:tc>
          <w:tcPr>
            <w:tcW w:type="dxa" w:w="2381"/>
            <w:tcMar>
              <w:top w:w="100" w:type="dxa"/>
              <w:start w:w="120" w:type="dxa"/>
              <w:bottom w:w="100" w:type="dxa"/>
              <w:end w:w="120" w:type="dxa"/>
            </w:tcMar>
            <w:vAlign w:val="center"/>
            <w:shd w:fill="F2F2F2"/>
          </w:tcPr>
          <w:p>
            <w:r>
              <w:rPr>
                <w:rFonts w:ascii="Arial" w:hAnsi="Arial"/>
                <w:b/>
                <w:i w:val="0"/>
                <w:color w:val="191919"/>
                <w:sz w:val="18"/>
              </w:rPr>
              <w:t>Vertragsbeginn</w:t>
            </w:r>
          </w:p>
        </w:tc>
        <w:tc>
          <w:tcPr>
            <w:tcW w:type="dxa" w:w="7710"/>
            <w:tcMar>
              <w:top w:w="100" w:type="dxa"/>
              <w:start w:w="120" w:type="dxa"/>
              <w:bottom w:w="100" w:type="dxa"/>
              <w:end w:w="120" w:type="dxa"/>
            </w:tcMar>
            <w:vAlign w:val="center"/>
          </w:tcPr>
          <w:p>
            <w:r>
              <w:t xml:space="preserve"> </w:t>
            </w:r>
          </w:p>
        </w:tc>
      </w:tr>
    </w:tbl>
    <w:p>
      <w:pPr>
        <w:pStyle w:val="Heading1"/>
        <w:keepNext/>
        <w:ind w:left="0" w:firstLine="0"/>
        <w:jc w:val="left"/>
      </w:pPr>
      <w:r>
        <w:t>2. Gewähltes Paket und Kosten</w:t>
      </w:r>
    </w:p>
    <w:p>
      <w:pPr>
        <w:keepNext w:val="0"/>
        <w:spacing w:before="0" w:after="100" w:line="259" w:lineRule="auto"/>
        <w:jc w:val="left"/>
      </w:pPr>
      <w:r>
        <w:rPr>
          <w:rFonts w:ascii="Arial" w:hAnsi="Arial"/>
          <w:b w:val="0"/>
          <w:i w:val="0"/>
          <w:color w:val="191919"/>
          <w:sz w:val="19"/>
        </w:rPr>
        <w:t>Die Einrichtungsgebühr beträgt einmalig 39,00 €. Der Monatsbeitrag wird im Voraus per SEPA-Basislastschrift eingezogen.</w:t>
      </w:r>
    </w:p>
    <w:tbl>
      <w:tblPr>
        <w:tblStyle w:val="TableGrid"/>
        <w:tblW w:type="auto" w:w="0"/>
        <w:jc w:val="center"/>
        <w:tblLayout w:type="fixed"/>
        <w:tblLook w:firstColumn="1" w:firstRow="1" w:lastColumn="0" w:lastRow="0" w:noHBand="0" w:noVBand="1" w:val="04A0"/>
      </w:tblPr>
      <w:tblGrid>
        <w:gridCol w:w="2018"/>
        <w:gridCol w:w="2018"/>
        <w:gridCol w:w="2018"/>
        <w:gridCol w:w="2018"/>
        <w:gridCol w:w="2018"/>
      </w:tblGrid>
      <w:tr>
        <w:trPr>
          <w:tblHeader w:val="true"/>
        </w:trPr>
        <w:tc>
          <w:tcPr>
            <w:tcW w:type="dxa" w:w="567"/>
            <w:tcMar>
              <w:top w:w="100" w:type="dxa"/>
              <w:start w:w="120" w:type="dxa"/>
              <w:bottom w:w="100" w:type="dxa"/>
              <w:end w:w="120" w:type="dxa"/>
            </w:tcMar>
            <w:vAlign w:val="center"/>
            <w:shd w:fill="D9D9D9"/>
          </w:tcPr>
          <w:p>
            <w:r>
              <w:rPr>
                <w:rFonts w:ascii="Arial" w:hAnsi="Arial"/>
                <w:b/>
                <w:i w:val="0"/>
                <w:color w:val="191919"/>
                <w:sz w:val="16"/>
              </w:rPr>
              <w:t>Wahl</w:t>
            </w:r>
          </w:p>
        </w:tc>
        <w:tc>
          <w:tcPr>
            <w:tcW w:type="dxa" w:w="1757"/>
            <w:tcMar>
              <w:top w:w="100" w:type="dxa"/>
              <w:start w:w="120" w:type="dxa"/>
              <w:bottom w:w="100" w:type="dxa"/>
              <w:end w:w="120" w:type="dxa"/>
            </w:tcMar>
            <w:vAlign w:val="center"/>
            <w:shd w:fill="D9D9D9"/>
          </w:tcPr>
          <w:p>
            <w:r>
              <w:rPr>
                <w:rFonts w:ascii="Arial" w:hAnsi="Arial"/>
                <w:b/>
                <w:i w:val="0"/>
                <w:color w:val="191919"/>
                <w:sz w:val="16"/>
              </w:rPr>
              <w:t>Paket</w:t>
            </w:r>
          </w:p>
        </w:tc>
        <w:tc>
          <w:tcPr>
            <w:tcW w:type="dxa" w:w="1531"/>
            <w:tcMar>
              <w:top w:w="100" w:type="dxa"/>
              <w:start w:w="120" w:type="dxa"/>
              <w:bottom w:w="100" w:type="dxa"/>
              <w:end w:w="120" w:type="dxa"/>
            </w:tcMar>
            <w:vAlign w:val="center"/>
            <w:shd w:fill="D9D9D9"/>
          </w:tcPr>
          <w:p>
            <w:r>
              <w:rPr>
                <w:rFonts w:ascii="Arial" w:hAnsi="Arial"/>
                <w:b/>
                <w:i w:val="0"/>
                <w:color w:val="191919"/>
                <w:sz w:val="16"/>
              </w:rPr>
              <w:t>Monat</w:t>
            </w:r>
          </w:p>
        </w:tc>
        <w:tc>
          <w:tcPr>
            <w:tcW w:type="dxa" w:w="2438"/>
            <w:tcMar>
              <w:top w:w="100" w:type="dxa"/>
              <w:start w:w="120" w:type="dxa"/>
              <w:bottom w:w="100" w:type="dxa"/>
              <w:end w:w="120" w:type="dxa"/>
            </w:tcMar>
            <w:vAlign w:val="center"/>
            <w:shd w:fill="D9D9D9"/>
          </w:tcPr>
          <w:p>
            <w:r>
              <w:rPr>
                <w:rFonts w:ascii="Arial" w:hAnsi="Arial"/>
                <w:b/>
                <w:i w:val="0"/>
                <w:color w:val="191919"/>
                <w:sz w:val="16"/>
              </w:rPr>
              <w:t>12 Monate inkl. 39 €</w:t>
            </w:r>
          </w:p>
        </w:tc>
        <w:tc>
          <w:tcPr>
            <w:tcW w:type="dxa" w:w="3798"/>
            <w:tcMar>
              <w:top w:w="100" w:type="dxa"/>
              <w:start w:w="120" w:type="dxa"/>
              <w:bottom w:w="100" w:type="dxa"/>
              <w:end w:w="120" w:type="dxa"/>
            </w:tcMar>
            <w:vAlign w:val="center"/>
            <w:shd w:fill="D9D9D9"/>
          </w:tcPr>
          <w:p>
            <w:r>
              <w:rPr>
                <w:rFonts w:ascii="Arial" w:hAnsi="Arial"/>
                <w:b/>
                <w:i w:val="0"/>
                <w:color w:val="191919"/>
                <w:sz w:val="16"/>
              </w:rPr>
              <w:t>Monatlicher Anspruch</w:t>
            </w:r>
          </w:p>
        </w:tc>
      </w:tr>
      <w:tr>
        <w:tc>
          <w:tcPr>
            <w:tcW w:type="dxa" w:w="567"/>
            <w:tcMar>
              <w:top w:w="100" w:type="dxa"/>
              <w:start w:w="120" w:type="dxa"/>
              <w:bottom w:w="100" w:type="dxa"/>
              <w:end w:w="120" w:type="dxa"/>
            </w:tcMar>
            <w:vAlign w:val="center"/>
          </w:tcPr>
          <w:p>
            <w:pPr>
              <w:jc w:val="center"/>
            </w:pPr>
            <w:r>
              <w:rPr>
                <w:rFonts w:ascii="Arial" w:hAnsi="Arial"/>
                <w:b w:val="0"/>
                <w:i w:val="0"/>
                <w:color w:val="191919"/>
                <w:sz w:val="17"/>
              </w:rPr>
              <w:t>☐</w:t>
            </w:r>
          </w:p>
        </w:tc>
        <w:tc>
          <w:tcPr>
            <w:tcW w:type="dxa" w:w="1757"/>
            <w:tcMar>
              <w:top w:w="100" w:type="dxa"/>
              <w:start w:w="120" w:type="dxa"/>
              <w:bottom w:w="100" w:type="dxa"/>
              <w:end w:w="120" w:type="dxa"/>
            </w:tcMar>
            <w:vAlign w:val="center"/>
          </w:tcPr>
          <w:p>
            <w:pPr>
              <w:jc w:val="left"/>
            </w:pPr>
            <w:r>
              <w:rPr>
                <w:rFonts w:ascii="Arial" w:hAnsi="Arial"/>
                <w:b/>
                <w:i w:val="0"/>
                <w:color w:val="191919"/>
                <w:sz w:val="17"/>
              </w:rPr>
              <w:t>PURE</w:t>
            </w:r>
          </w:p>
        </w:tc>
        <w:tc>
          <w:tcPr>
            <w:tcW w:type="dxa" w:w="1531"/>
            <w:tcMar>
              <w:top w:w="100" w:type="dxa"/>
              <w:start w:w="120" w:type="dxa"/>
              <w:bottom w:w="100" w:type="dxa"/>
              <w:end w:w="120" w:type="dxa"/>
            </w:tcMar>
            <w:vAlign w:val="center"/>
          </w:tcPr>
          <w:p>
            <w:pPr>
              <w:jc w:val="center"/>
            </w:pPr>
            <w:r>
              <w:rPr>
                <w:rFonts w:ascii="Arial" w:hAnsi="Arial"/>
                <w:b w:val="0"/>
                <w:i w:val="0"/>
                <w:color w:val="191919"/>
                <w:sz w:val="17"/>
              </w:rPr>
              <w:t>149,00 €</w:t>
            </w:r>
          </w:p>
        </w:tc>
        <w:tc>
          <w:tcPr>
            <w:tcW w:type="dxa" w:w="2438"/>
            <w:tcMar>
              <w:top w:w="100" w:type="dxa"/>
              <w:start w:w="120" w:type="dxa"/>
              <w:bottom w:w="100" w:type="dxa"/>
              <w:end w:w="120" w:type="dxa"/>
            </w:tcMar>
            <w:vAlign w:val="center"/>
          </w:tcPr>
          <w:p>
            <w:pPr>
              <w:jc w:val="center"/>
            </w:pPr>
            <w:r>
              <w:rPr>
                <w:rFonts w:ascii="Arial" w:hAnsi="Arial"/>
                <w:b w:val="0"/>
                <w:i w:val="0"/>
                <w:color w:val="191919"/>
                <w:sz w:val="17"/>
              </w:rPr>
              <w:t>1.827,00 €</w:t>
            </w:r>
          </w:p>
        </w:tc>
        <w:tc>
          <w:tcPr>
            <w:tcW w:type="dxa" w:w="3798"/>
            <w:tcMar>
              <w:top w:w="100" w:type="dxa"/>
              <w:start w:w="120" w:type="dxa"/>
              <w:bottom w:w="100" w:type="dxa"/>
              <w:end w:w="120" w:type="dxa"/>
            </w:tcMar>
            <w:vAlign w:val="center"/>
          </w:tcPr>
          <w:p>
            <w:pPr>
              <w:jc w:val="left"/>
            </w:pPr>
            <w:r>
              <w:rPr>
                <w:rFonts w:ascii="Arial" w:hAnsi="Arial"/>
                <w:b w:val="0"/>
                <w:i w:val="0"/>
                <w:color w:val="191919"/>
                <w:sz w:val="17"/>
              </w:rPr>
              <w:t>Bis zu 3 Behandlungen aus PURE</w:t>
            </w:r>
          </w:p>
        </w:tc>
      </w:tr>
      <w:tr>
        <w:tc>
          <w:tcPr>
            <w:tcW w:type="dxa" w:w="567"/>
            <w:tcMar>
              <w:top w:w="100" w:type="dxa"/>
              <w:start w:w="120" w:type="dxa"/>
              <w:bottom w:w="100" w:type="dxa"/>
              <w:end w:w="120" w:type="dxa"/>
            </w:tcMar>
            <w:vAlign w:val="center"/>
          </w:tcPr>
          <w:p>
            <w:pPr>
              <w:jc w:val="center"/>
            </w:pPr>
            <w:r>
              <w:rPr>
                <w:rFonts w:ascii="Arial" w:hAnsi="Arial"/>
                <w:b w:val="0"/>
                <w:i w:val="0"/>
                <w:color w:val="191919"/>
                <w:sz w:val="17"/>
              </w:rPr>
              <w:t>☐</w:t>
            </w:r>
          </w:p>
        </w:tc>
        <w:tc>
          <w:tcPr>
            <w:tcW w:type="dxa" w:w="1757"/>
            <w:tcMar>
              <w:top w:w="100" w:type="dxa"/>
              <w:start w:w="120" w:type="dxa"/>
              <w:bottom w:w="100" w:type="dxa"/>
              <w:end w:w="120" w:type="dxa"/>
            </w:tcMar>
            <w:vAlign w:val="center"/>
          </w:tcPr>
          <w:p>
            <w:pPr>
              <w:jc w:val="left"/>
            </w:pPr>
            <w:r>
              <w:rPr>
                <w:rFonts w:ascii="Arial" w:hAnsi="Arial"/>
                <w:b/>
                <w:i w:val="0"/>
                <w:color w:val="191919"/>
                <w:sz w:val="17"/>
              </w:rPr>
              <w:t>DEFINE</w:t>
            </w:r>
          </w:p>
        </w:tc>
        <w:tc>
          <w:tcPr>
            <w:tcW w:type="dxa" w:w="1531"/>
            <w:tcMar>
              <w:top w:w="100" w:type="dxa"/>
              <w:start w:w="120" w:type="dxa"/>
              <w:bottom w:w="100" w:type="dxa"/>
              <w:end w:w="120" w:type="dxa"/>
            </w:tcMar>
            <w:vAlign w:val="center"/>
          </w:tcPr>
          <w:p>
            <w:pPr>
              <w:jc w:val="center"/>
            </w:pPr>
            <w:r>
              <w:rPr>
                <w:rFonts w:ascii="Arial" w:hAnsi="Arial"/>
                <w:b w:val="0"/>
                <w:i w:val="0"/>
                <w:color w:val="191919"/>
                <w:sz w:val="17"/>
              </w:rPr>
              <w:t>169,00 €</w:t>
            </w:r>
          </w:p>
        </w:tc>
        <w:tc>
          <w:tcPr>
            <w:tcW w:type="dxa" w:w="2438"/>
            <w:tcMar>
              <w:top w:w="100" w:type="dxa"/>
              <w:start w:w="120" w:type="dxa"/>
              <w:bottom w:w="100" w:type="dxa"/>
              <w:end w:w="120" w:type="dxa"/>
            </w:tcMar>
            <w:vAlign w:val="center"/>
          </w:tcPr>
          <w:p>
            <w:pPr>
              <w:jc w:val="center"/>
            </w:pPr>
            <w:r>
              <w:rPr>
                <w:rFonts w:ascii="Arial" w:hAnsi="Arial"/>
                <w:b w:val="0"/>
                <w:i w:val="0"/>
                <w:color w:val="191919"/>
                <w:sz w:val="17"/>
              </w:rPr>
              <w:t>2.067,00 €</w:t>
            </w:r>
          </w:p>
        </w:tc>
        <w:tc>
          <w:tcPr>
            <w:tcW w:type="dxa" w:w="3798"/>
            <w:tcMar>
              <w:top w:w="100" w:type="dxa"/>
              <w:start w:w="120" w:type="dxa"/>
              <w:bottom w:w="100" w:type="dxa"/>
              <w:end w:w="120" w:type="dxa"/>
            </w:tcMar>
            <w:vAlign w:val="center"/>
          </w:tcPr>
          <w:p>
            <w:pPr>
              <w:jc w:val="left"/>
            </w:pPr>
            <w:r>
              <w:rPr>
                <w:rFonts w:ascii="Arial" w:hAnsi="Arial"/>
                <w:b w:val="0"/>
                <w:i w:val="0"/>
                <w:color w:val="191919"/>
                <w:sz w:val="17"/>
              </w:rPr>
              <w:t>1 × PURE und 1 × DEFINE</w:t>
            </w:r>
          </w:p>
        </w:tc>
      </w:tr>
      <w:tr>
        <w:tc>
          <w:tcPr>
            <w:tcW w:type="dxa" w:w="567"/>
            <w:tcMar>
              <w:top w:w="100" w:type="dxa"/>
              <w:start w:w="120" w:type="dxa"/>
              <w:bottom w:w="100" w:type="dxa"/>
              <w:end w:w="120" w:type="dxa"/>
            </w:tcMar>
            <w:vAlign w:val="center"/>
          </w:tcPr>
          <w:p>
            <w:pPr>
              <w:jc w:val="center"/>
            </w:pPr>
            <w:r>
              <w:rPr>
                <w:rFonts w:ascii="Arial" w:hAnsi="Arial"/>
                <w:b w:val="0"/>
                <w:i w:val="0"/>
                <w:color w:val="191919"/>
                <w:sz w:val="17"/>
              </w:rPr>
              <w:t>☐</w:t>
            </w:r>
          </w:p>
        </w:tc>
        <w:tc>
          <w:tcPr>
            <w:tcW w:type="dxa" w:w="1757"/>
            <w:tcMar>
              <w:top w:w="100" w:type="dxa"/>
              <w:start w:w="120" w:type="dxa"/>
              <w:bottom w:w="100" w:type="dxa"/>
              <w:end w:w="120" w:type="dxa"/>
            </w:tcMar>
            <w:vAlign w:val="center"/>
          </w:tcPr>
          <w:p>
            <w:pPr>
              <w:jc w:val="left"/>
            </w:pPr>
            <w:r>
              <w:rPr>
                <w:rFonts w:ascii="Arial" w:hAnsi="Arial"/>
                <w:b/>
                <w:i w:val="0"/>
                <w:color w:val="191919"/>
                <w:sz w:val="17"/>
              </w:rPr>
              <w:t>BEYOND</w:t>
            </w:r>
          </w:p>
        </w:tc>
        <w:tc>
          <w:tcPr>
            <w:tcW w:type="dxa" w:w="1531"/>
            <w:tcMar>
              <w:top w:w="100" w:type="dxa"/>
              <w:start w:w="120" w:type="dxa"/>
              <w:bottom w:w="100" w:type="dxa"/>
              <w:end w:w="120" w:type="dxa"/>
            </w:tcMar>
            <w:vAlign w:val="center"/>
          </w:tcPr>
          <w:p>
            <w:pPr>
              <w:jc w:val="center"/>
            </w:pPr>
            <w:r>
              <w:rPr>
                <w:rFonts w:ascii="Arial" w:hAnsi="Arial"/>
                <w:b w:val="0"/>
                <w:i w:val="0"/>
                <w:color w:val="191919"/>
                <w:sz w:val="17"/>
              </w:rPr>
              <w:t>199,00 €</w:t>
            </w:r>
          </w:p>
        </w:tc>
        <w:tc>
          <w:tcPr>
            <w:tcW w:type="dxa" w:w="2438"/>
            <w:tcMar>
              <w:top w:w="100" w:type="dxa"/>
              <w:start w:w="120" w:type="dxa"/>
              <w:bottom w:w="100" w:type="dxa"/>
              <w:end w:w="120" w:type="dxa"/>
            </w:tcMar>
            <w:vAlign w:val="center"/>
          </w:tcPr>
          <w:p>
            <w:pPr>
              <w:jc w:val="center"/>
            </w:pPr>
            <w:r>
              <w:rPr>
                <w:rFonts w:ascii="Arial" w:hAnsi="Arial"/>
                <w:b w:val="0"/>
                <w:i w:val="0"/>
                <w:color w:val="191919"/>
                <w:sz w:val="17"/>
              </w:rPr>
              <w:t>2.427,00 €</w:t>
            </w:r>
          </w:p>
        </w:tc>
        <w:tc>
          <w:tcPr>
            <w:tcW w:type="dxa" w:w="3798"/>
            <w:tcMar>
              <w:top w:w="100" w:type="dxa"/>
              <w:start w:w="120" w:type="dxa"/>
              <w:bottom w:w="100" w:type="dxa"/>
              <w:end w:w="120" w:type="dxa"/>
            </w:tcMar>
            <w:vAlign w:val="center"/>
          </w:tcPr>
          <w:p>
            <w:pPr>
              <w:jc w:val="left"/>
            </w:pPr>
            <w:r>
              <w:rPr>
                <w:rFonts w:ascii="Arial" w:hAnsi="Arial"/>
                <w:b w:val="0"/>
                <w:i w:val="0"/>
                <w:color w:val="191919"/>
                <w:sz w:val="17"/>
              </w:rPr>
              <w:t>1 Behandlung aus BEYOND</w:t>
            </w:r>
          </w:p>
        </w:tc>
      </w:tr>
      <w:tr>
        <w:tc>
          <w:tcPr>
            <w:tcW w:type="dxa" w:w="567"/>
            <w:tcMar>
              <w:top w:w="100" w:type="dxa"/>
              <w:start w:w="120" w:type="dxa"/>
              <w:bottom w:w="100" w:type="dxa"/>
              <w:end w:w="120" w:type="dxa"/>
            </w:tcMar>
            <w:vAlign w:val="center"/>
          </w:tcPr>
          <w:p>
            <w:pPr>
              <w:jc w:val="center"/>
            </w:pPr>
            <w:r>
              <w:rPr>
                <w:rFonts w:ascii="Arial" w:hAnsi="Arial"/>
                <w:b w:val="0"/>
                <w:i w:val="0"/>
                <w:color w:val="191919"/>
                <w:sz w:val="17"/>
              </w:rPr>
              <w:t>☐</w:t>
            </w:r>
          </w:p>
        </w:tc>
        <w:tc>
          <w:tcPr>
            <w:tcW w:type="dxa" w:w="1757"/>
            <w:tcMar>
              <w:top w:w="100" w:type="dxa"/>
              <w:start w:w="120" w:type="dxa"/>
              <w:bottom w:w="100" w:type="dxa"/>
              <w:end w:w="120" w:type="dxa"/>
            </w:tcMar>
            <w:vAlign w:val="center"/>
          </w:tcPr>
          <w:p>
            <w:pPr>
              <w:jc w:val="left"/>
            </w:pPr>
            <w:r>
              <w:rPr>
                <w:rFonts w:ascii="Arial" w:hAnsi="Arial"/>
                <w:b/>
                <w:i w:val="0"/>
                <w:color w:val="191919"/>
                <w:sz w:val="17"/>
              </w:rPr>
              <w:t>PRIVATE</w:t>
            </w:r>
          </w:p>
        </w:tc>
        <w:tc>
          <w:tcPr>
            <w:tcW w:type="dxa" w:w="1531"/>
            <w:tcMar>
              <w:top w:w="100" w:type="dxa"/>
              <w:start w:w="120" w:type="dxa"/>
              <w:bottom w:w="100" w:type="dxa"/>
              <w:end w:w="120" w:type="dxa"/>
            </w:tcMar>
            <w:vAlign w:val="center"/>
          </w:tcPr>
          <w:p>
            <w:pPr>
              <w:jc w:val="center"/>
            </w:pPr>
            <w:r>
              <w:rPr>
                <w:rFonts w:ascii="Arial" w:hAnsi="Arial"/>
                <w:b w:val="0"/>
                <w:i w:val="0"/>
                <w:color w:val="191919"/>
                <w:sz w:val="17"/>
              </w:rPr>
              <w:t>399,00 €</w:t>
            </w:r>
          </w:p>
        </w:tc>
        <w:tc>
          <w:tcPr>
            <w:tcW w:type="dxa" w:w="2438"/>
            <w:tcMar>
              <w:top w:w="100" w:type="dxa"/>
              <w:start w:w="120" w:type="dxa"/>
              <w:bottom w:w="100" w:type="dxa"/>
              <w:end w:w="120" w:type="dxa"/>
            </w:tcMar>
            <w:vAlign w:val="center"/>
          </w:tcPr>
          <w:p>
            <w:pPr>
              <w:jc w:val="center"/>
            </w:pPr>
            <w:r>
              <w:rPr>
                <w:rFonts w:ascii="Arial" w:hAnsi="Arial"/>
                <w:b w:val="0"/>
                <w:i w:val="0"/>
                <w:color w:val="191919"/>
                <w:sz w:val="17"/>
              </w:rPr>
              <w:t>4.827,00 €</w:t>
            </w:r>
          </w:p>
        </w:tc>
        <w:tc>
          <w:tcPr>
            <w:tcW w:type="dxa" w:w="3798"/>
            <w:tcMar>
              <w:top w:w="100" w:type="dxa"/>
              <w:start w:w="120" w:type="dxa"/>
              <w:bottom w:w="100" w:type="dxa"/>
              <w:end w:w="120" w:type="dxa"/>
            </w:tcMar>
            <w:vAlign w:val="center"/>
          </w:tcPr>
          <w:p>
            <w:pPr>
              <w:jc w:val="left"/>
            </w:pPr>
            <w:r>
              <w:rPr>
                <w:rFonts w:ascii="Arial" w:hAnsi="Arial"/>
                <w:b w:val="0"/>
                <w:i w:val="0"/>
                <w:color w:val="191919"/>
                <w:sz w:val="17"/>
              </w:rPr>
              <w:t>1 Behandlung aus PRIVATE</w:t>
            </w:r>
          </w:p>
        </w:tc>
      </w:tr>
    </w:tbl>
    <w:p>
      <w:pPr>
        <w:keepNext w:val="0"/>
        <w:spacing w:before="0" w:after="100" w:line="259" w:lineRule="auto"/>
        <w:jc w:val="left"/>
      </w:pPr>
      <w:r>
        <w:rPr>
          <w:rFonts w:ascii="Arial" w:hAnsi="Arial"/>
          <w:b w:val="0"/>
          <w:i/>
          <w:color w:val="5F5F5F"/>
          <w:sz w:val="16"/>
        </w:rPr>
        <w:t>Die Gesamtsumme umfasst die zwölf Monatsbeiträge der Mindestlaufzeit und die einmalige Einrichtungsgebühr. Zusatzleistungen werden nur nach gesonderter Buchung berechnet.</w:t>
      </w:r>
    </w:p>
    <w:p>
      <w:pPr>
        <w:pStyle w:val="Heading1"/>
        <w:keepNext/>
        <w:ind w:left="0" w:firstLine="0"/>
        <w:jc w:val="left"/>
      </w:pPr>
      <w:r>
        <w:t>3. Laufzeit, Nutzung und Termine</w:t>
      </w:r>
    </w:p>
    <w:p>
      <w:pPr>
        <w:keepNext w:val="0"/>
        <w:spacing w:before="0" w:after="80" w:line="259" w:lineRule="auto"/>
        <w:jc w:val="left"/>
      </w:pPr>
      <w:r>
        <w:rPr>
          <w:rFonts w:ascii="Arial" w:hAnsi="Arial"/>
          <w:b w:val="0"/>
          <w:i w:val="0"/>
          <w:color w:val="191919"/>
          <w:sz w:val="19"/>
        </w:rPr>
        <w:t>Die Mindestlaufzeit beträgt zwölf Monate ab Vertragsbeginn. Danach läuft der Vertrag auf unbestimmte Zeit weiter und kann jederzeit mit einer Frist von einem Monat in Textform gekündigt werden. Das Recht zur außerordentlichen Kündigung bleibt unberührt.</w:t>
      </w:r>
    </w:p>
    <w:p>
      <w:pPr>
        <w:keepNext w:val="0"/>
        <w:spacing w:before="0" w:after="80" w:line="259" w:lineRule="auto"/>
        <w:jc w:val="left"/>
      </w:pPr>
      <w:r>
        <w:rPr>
          <w:rFonts w:ascii="Arial" w:hAnsi="Arial"/>
          <w:b w:val="0"/>
          <w:i w:val="0"/>
          <w:color w:val="191919"/>
          <w:sz w:val="19"/>
        </w:rPr>
        <w:t>Die Mitgliedschaft ist persönlich und nicht übertragbar. Nicht genutzte Monatsansprüche verfallen am Monatsende. Verhindert PDB die Nutzung aus einem von PDB zu vertretenden Grund, wird eine gleichwertige Ersatzleistung oder eine angemessene Verlängerung angeboten.</w:t>
      </w:r>
    </w:p>
    <w:p>
      <w:pPr>
        <w:keepNext w:val="0"/>
        <w:spacing w:before="0" w:after="80" w:line="259" w:lineRule="auto"/>
        <w:jc w:val="left"/>
      </w:pPr>
      <w:r>
        <w:rPr>
          <w:rFonts w:ascii="Arial" w:hAnsi="Arial"/>
          <w:b w:val="0"/>
          <w:i w:val="0"/>
          <w:color w:val="191919"/>
          <w:sz w:val="19"/>
        </w:rPr>
        <w:t>Termine werden über das von PDB eingesetzte Buchungssystem vereinbart. Kostenfreie Absage: mindestens 24 Stunden vorher. Bei späterer Absage oder Nichterscheinen darf der reservierte Monatsanspruch als genutzt gelten; das Mitglied kann nachweisen, dass kein oder ein wesentlich geringerer Schaden entstanden ist.</w:t>
      </w:r>
    </w:p>
    <w:p>
      <w:pPr>
        <w:pStyle w:val="Heading1"/>
        <w:keepNext/>
        <w:ind w:left="0" w:firstLine="0"/>
        <w:jc w:val="left"/>
      </w:pPr>
      <w:r>
        <w:t>4. Zahlung und SEPA-Vorankündigung</w:t>
      </w:r>
    </w:p>
    <w:p>
      <w:pPr>
        <w:keepNext w:val="0"/>
        <w:spacing w:before="0" w:after="80" w:line="259" w:lineRule="auto"/>
        <w:jc w:val="left"/>
      </w:pPr>
      <w:r>
        <w:rPr>
          <w:rFonts w:ascii="Arial" w:hAnsi="Arial"/>
          <w:b w:val="0"/>
          <w:i w:val="0"/>
          <w:color w:val="191919"/>
          <w:sz w:val="19"/>
        </w:rPr>
        <w:t>Abbuchungstag: jeweils am ________ Kalendertag eines Monats. Fällt der Tag auf keinen Bankarbeitstag, erfolgt die Belastung am folgenden Bankarbeitstag. Die erste Belastung umfasst den ersten Monatsbeitrag und die Einrichtungsgebühr von 39,00 €.</w:t>
      </w:r>
    </w:p>
    <w:p>
      <w:pPr>
        <w:keepNext w:val="0"/>
        <w:spacing w:before="0" w:after="80" w:line="259" w:lineRule="auto"/>
        <w:jc w:val="left"/>
      </w:pPr>
      <w:r>
        <w:rPr>
          <w:rFonts w:ascii="Arial" w:hAnsi="Arial"/>
          <w:b w:val="0"/>
          <w:i w:val="0"/>
          <w:color w:val="191919"/>
          <w:sz w:val="19"/>
        </w:rPr>
        <w:t>Diese Vereinbarung gilt zugleich als Vorabinformation über die wiederkehrenden Belastungen. Änderungen von Betrag oder Fälligkeit teilt PDB mindestens drei Kalendertage vor der Belastung in Textform mit. Die Parteien vereinbaren damit eine von der regulären 14-Tage-Frist abweichende Vorankündigungsfrist von drei Kalendertagen.</w:t>
      </w:r>
    </w:p>
    <w:p>
      <w:pPr>
        <w:pStyle w:val="Heading1"/>
        <w:keepNext/>
        <w:ind w:left="0" w:firstLine="0"/>
        <w:jc w:val="left"/>
      </w:pPr>
      <w:r>
        <w:t>SEPA-Basislastschriftmandat für wiederkehrende Zahlungen</w:t>
      </w:r>
    </w:p>
    <w:p>
      <w:pPr>
        <w:keepNext w:val="0"/>
        <w:spacing w:before="0" w:after="80" w:line="259" w:lineRule="auto"/>
        <w:jc w:val="left"/>
      </w:pPr>
      <w:r>
        <w:rPr>
          <w:rFonts w:ascii="Arial" w:hAnsi="Arial"/>
          <w:b/>
          <w:i w:val="0"/>
          <w:color w:val="191919"/>
          <w:sz w:val="19"/>
        </w:rPr>
        <w:t>Zahlungsempfänger: PDB – AESTHETIC ROOM, Rheinstraße 59, 65185 Wiesbaden</w:t>
      </w:r>
    </w:p>
    <w:p>
      <w:pPr>
        <w:keepNext w:val="0"/>
        <w:spacing w:before="0" w:after="80" w:line="259" w:lineRule="auto"/>
        <w:jc w:val="left"/>
      </w:pPr>
      <w:r>
        <w:rPr>
          <w:rFonts w:ascii="Arial" w:hAnsi="Arial"/>
          <w:b/>
          <w:i w:val="0"/>
          <w:color w:val="191919"/>
          <w:sz w:val="19"/>
        </w:rPr>
        <w:t>Gläubiger-Identifikationsnummer: DE73ZZZ00002018874</w:t>
      </w:r>
    </w:p>
    <w:p>
      <w:pPr>
        <w:keepNext w:val="0"/>
        <w:spacing w:before="0" w:after="140" w:line="259" w:lineRule="auto"/>
        <w:jc w:val="left"/>
      </w:pPr>
      <w:r>
        <w:rPr>
          <w:rFonts w:ascii="Arial" w:hAnsi="Arial"/>
          <w:b/>
          <w:i w:val="0"/>
          <w:color w:val="191919"/>
          <w:sz w:val="19"/>
        </w:rPr>
        <w:t>Mandatsreferenz: wird nach Vertragsabschluss gesondert mitgeteilt</w:t>
      </w:r>
    </w:p>
    <w:p>
      <w:pPr>
        <w:keepNext w:val="0"/>
        <w:spacing w:before="0" w:after="80" w:line="259" w:lineRule="auto"/>
        <w:jc w:val="left"/>
      </w:pPr>
      <w:r>
        <w:rPr>
          <w:rFonts w:ascii="Arial" w:hAnsi="Arial"/>
          <w:b w:val="0"/>
          <w:i w:val="0"/>
          <w:color w:val="191919"/>
          <w:sz w:val="19"/>
        </w:rPr>
        <w:t>Ich ermächtige PDB – AESTHETIC ROOM, Zahlungen aus dieser Premium-Mitgliedschaft mittels Lastschrift von meinem Konto einzuziehen. Zugleich weise ich mein Kreditinstitut an, die von PDB – AESTHETIC ROOM auf mein Konto gezogenen Lastschriften einzulösen.</w:t>
      </w:r>
    </w:p>
    <w:p>
      <w:pPr>
        <w:keepNext w:val="0"/>
        <w:spacing w:before="0" w:after="140" w:line="259" w:lineRule="auto"/>
        <w:jc w:val="left"/>
      </w:pPr>
      <w:r>
        <w:rPr>
          <w:rFonts w:ascii="Arial" w:hAnsi="Arial"/>
          <w:b w:val="0"/>
          <w:i w:val="0"/>
          <w:color w:val="191919"/>
          <w:sz w:val="17"/>
        </w:rPr>
        <w:t>Hinweis: Ich kann innerhalb von acht Wochen, beginnend mit dem Belastungsdatum, die Erstattung des belasteten Betrags verlangen. Es gelten dabei die mit meinem Kreditinstitut vereinbarten Bedingungen.</w:t>
      </w:r>
    </w:p>
    <w:tbl>
      <w:tblPr>
        <w:tblStyle w:val="TableGrid"/>
        <w:tblW w:type="auto" w:w="0"/>
        <w:tblLayout w:type="fixed"/>
        <w:tblLook w:firstColumn="1" w:firstRow="1" w:lastColumn="0" w:lastRow="0" w:noHBand="0" w:noVBand="1" w:val="04A0"/>
      </w:tblPr>
      <w:tblGrid>
        <w:gridCol w:w="5046"/>
        <w:gridCol w:w="5046"/>
      </w:tblGrid>
      <w:tr>
        <w:tc>
          <w:tcPr>
            <w:tcW w:type="dxa" w:w="2835"/>
            <w:tcMar>
              <w:top w:w="100" w:type="dxa"/>
              <w:start w:w="120" w:type="dxa"/>
              <w:bottom w:w="100" w:type="dxa"/>
              <w:end w:w="120" w:type="dxa"/>
            </w:tcMar>
            <w:vAlign w:val="center"/>
            <w:shd w:fill="F2F2F2"/>
          </w:tcPr>
          <w:p>
            <w:r>
              <w:rPr>
                <w:rFonts w:ascii="Arial" w:hAnsi="Arial"/>
                <w:b/>
                <w:i w:val="0"/>
                <w:color w:val="191919"/>
                <w:sz w:val="18"/>
              </w:rPr>
              <w:t>Kontoinhaber/in</w:t>
            </w:r>
          </w:p>
        </w:tc>
        <w:tc>
          <w:tcPr>
            <w:tcW w:type="dxa" w:w="7257"/>
            <w:tcMar>
              <w:top w:w="100" w:type="dxa"/>
              <w:start w:w="120" w:type="dxa"/>
              <w:bottom w:w="100" w:type="dxa"/>
              <w:end w:w="120" w:type="dxa"/>
            </w:tcMar>
            <w:vAlign w:val="center"/>
          </w:tcPr>
          <w:p>
            <w:r>
              <w:t xml:space="preserve"> </w:t>
            </w:r>
          </w:p>
        </w:tc>
      </w:tr>
      <w:tr>
        <w:tc>
          <w:tcPr>
            <w:tcW w:type="dxa" w:w="2835"/>
            <w:tcMar>
              <w:top w:w="100" w:type="dxa"/>
              <w:start w:w="120" w:type="dxa"/>
              <w:bottom w:w="100" w:type="dxa"/>
              <w:end w:w="120" w:type="dxa"/>
            </w:tcMar>
            <w:vAlign w:val="center"/>
            <w:shd w:fill="F2F2F2"/>
          </w:tcPr>
          <w:p>
            <w:r>
              <w:rPr>
                <w:rFonts w:ascii="Arial" w:hAnsi="Arial"/>
                <w:b/>
                <w:i w:val="0"/>
                <w:color w:val="191919"/>
                <w:sz w:val="18"/>
              </w:rPr>
              <w:t>Anschrift Kontoinhaber/in</w:t>
            </w:r>
          </w:p>
        </w:tc>
        <w:tc>
          <w:tcPr>
            <w:tcW w:type="dxa" w:w="7257"/>
            <w:tcMar>
              <w:top w:w="100" w:type="dxa"/>
              <w:start w:w="120" w:type="dxa"/>
              <w:bottom w:w="100" w:type="dxa"/>
              <w:end w:w="120" w:type="dxa"/>
            </w:tcMar>
            <w:vAlign w:val="center"/>
          </w:tcPr>
          <w:p>
            <w:r>
              <w:t xml:space="preserve"> </w:t>
            </w:r>
          </w:p>
        </w:tc>
      </w:tr>
      <w:tr>
        <w:tc>
          <w:tcPr>
            <w:tcW w:type="dxa" w:w="2835"/>
            <w:tcMar>
              <w:top w:w="100" w:type="dxa"/>
              <w:start w:w="120" w:type="dxa"/>
              <w:bottom w:w="100" w:type="dxa"/>
              <w:end w:w="120" w:type="dxa"/>
            </w:tcMar>
            <w:vAlign w:val="center"/>
            <w:shd w:fill="F2F2F2"/>
          </w:tcPr>
          <w:p>
            <w:r>
              <w:rPr>
                <w:rFonts w:ascii="Arial" w:hAnsi="Arial"/>
                <w:b/>
                <w:i w:val="0"/>
                <w:color w:val="191919"/>
                <w:sz w:val="18"/>
              </w:rPr>
              <w:t>IBAN</w:t>
            </w:r>
          </w:p>
        </w:tc>
        <w:tc>
          <w:tcPr>
            <w:tcW w:type="dxa" w:w="7257"/>
            <w:tcMar>
              <w:top w:w="100" w:type="dxa"/>
              <w:start w:w="120" w:type="dxa"/>
              <w:bottom w:w="100" w:type="dxa"/>
              <w:end w:w="120" w:type="dxa"/>
            </w:tcMar>
            <w:vAlign w:val="center"/>
          </w:tcPr>
          <w:p>
            <w:r>
              <w:t xml:space="preserve"> </w:t>
            </w:r>
          </w:p>
        </w:tc>
      </w:tr>
      <w:tr>
        <w:tc>
          <w:tcPr>
            <w:tcW w:type="dxa" w:w="2835"/>
            <w:tcMar>
              <w:top w:w="100" w:type="dxa"/>
              <w:start w:w="120" w:type="dxa"/>
              <w:bottom w:w="100" w:type="dxa"/>
              <w:end w:w="120" w:type="dxa"/>
            </w:tcMar>
            <w:vAlign w:val="center"/>
            <w:shd w:fill="F2F2F2"/>
          </w:tcPr>
          <w:p>
            <w:r>
              <w:rPr>
                <w:rFonts w:ascii="Arial" w:hAnsi="Arial"/>
                <w:b/>
                <w:i w:val="0"/>
                <w:color w:val="191919"/>
                <w:sz w:val="18"/>
              </w:rPr>
              <w:t>Ort und Datum</w:t>
            </w:r>
          </w:p>
        </w:tc>
        <w:tc>
          <w:tcPr>
            <w:tcW w:type="dxa" w:w="7257"/>
            <w:tcMar>
              <w:top w:w="100" w:type="dxa"/>
              <w:start w:w="120" w:type="dxa"/>
              <w:bottom w:w="100" w:type="dxa"/>
              <w:end w:w="120" w:type="dxa"/>
            </w:tcMar>
            <w:vAlign w:val="center"/>
          </w:tcPr>
          <w:p>
            <w:r>
              <w:t xml:space="preserve"> </w:t>
            </w:r>
          </w:p>
        </w:tc>
      </w:tr>
      <w:tr>
        <w:tc>
          <w:tcPr>
            <w:tcW w:type="dxa" w:w="2835"/>
            <w:tcMar>
              <w:top w:w="100" w:type="dxa"/>
              <w:start w:w="120" w:type="dxa"/>
              <w:bottom w:w="100" w:type="dxa"/>
              <w:end w:w="120" w:type="dxa"/>
            </w:tcMar>
            <w:vAlign w:val="center"/>
            <w:shd w:fill="F2F2F2"/>
          </w:tcPr>
          <w:p>
            <w:r>
              <w:rPr>
                <w:rFonts w:ascii="Arial" w:hAnsi="Arial"/>
                <w:b/>
                <w:i w:val="0"/>
                <w:color w:val="191919"/>
                <w:sz w:val="18"/>
              </w:rPr>
              <w:t>Unterschrift / elektronische Zustimmung</w:t>
            </w:r>
          </w:p>
        </w:tc>
        <w:tc>
          <w:tcPr>
            <w:tcW w:type="dxa" w:w="7257"/>
            <w:tcMar>
              <w:top w:w="100" w:type="dxa"/>
              <w:start w:w="120" w:type="dxa"/>
              <w:bottom w:w="100" w:type="dxa"/>
              <w:end w:w="120" w:type="dxa"/>
            </w:tcMar>
            <w:vAlign w:val="center"/>
          </w:tcPr>
          <w:p>
            <w:r>
              <w:t xml:space="preserve"> </w:t>
            </w:r>
          </w:p>
        </w:tc>
      </w:tr>
    </w:tbl>
    <w:p>
      <w:pPr>
        <w:keepNext w:val="0"/>
        <w:spacing w:before="0" w:after="160" w:line="259" w:lineRule="auto"/>
        <w:jc w:val="left"/>
      </w:pPr>
      <w:r>
        <w:rPr>
          <w:rFonts w:ascii="Arial" w:hAnsi="Arial"/>
          <w:b w:val="0"/>
          <w:i/>
          <w:color w:val="5F5F5F"/>
          <w:sz w:val="16"/>
        </w:rPr>
        <w:t>Das Mandat und der Nachweis der Zustimmung werden getrennt von öffentlich sichtbaren Shopify-Kundendaten und entsprechend den gesetzlichen Aufbewahrungs- und Datenschutzanforderungen gespeichert.</w:t>
      </w:r>
    </w:p>
    <w:p>
      <w:pPr>
        <w:pStyle w:val="Heading1"/>
        <w:keepNext/>
        <w:ind w:left="0" w:firstLine="0"/>
        <w:jc w:val="left"/>
      </w:pPr>
      <w:r>
        <w:t>Erklärungen für den Onlineabschluss</w:t>
      </w:r>
    </w:p>
    <w:p>
      <w:pPr>
        <w:keepNext w:val="0"/>
        <w:spacing w:before="0" w:after="60" w:line="259" w:lineRule="auto"/>
        <w:jc w:val="left"/>
      </w:pPr>
      <w:r>
        <w:rPr>
          <w:rFonts w:ascii="Arial" w:hAnsi="Arial"/>
          <w:b w:val="0"/>
          <w:i w:val="0"/>
          <w:color w:val="191919"/>
          <w:sz w:val="18"/>
        </w:rPr>
        <w:t>☐ Ich habe die Vertragsübersicht, die AGB und die Datenschutzhinweise erhalten und konnte sie speichern.</w:t>
      </w:r>
    </w:p>
    <w:p>
      <w:pPr>
        <w:keepNext w:val="0"/>
        <w:spacing w:before="0" w:after="60" w:line="259" w:lineRule="auto"/>
        <w:jc w:val="left"/>
      </w:pPr>
      <w:r>
        <w:rPr>
          <w:rFonts w:ascii="Arial" w:hAnsi="Arial"/>
          <w:b w:val="0"/>
          <w:i w:val="0"/>
          <w:color w:val="191919"/>
          <w:sz w:val="18"/>
        </w:rPr>
        <w:t>☐ Ich habe die Widerrufsbelehrung und das Muster-Widerrufsformular erhalten.</w:t>
      </w:r>
    </w:p>
    <w:p>
      <w:pPr>
        <w:keepNext w:val="0"/>
        <w:spacing w:before="0" w:after="140" w:line="259" w:lineRule="auto"/>
        <w:jc w:val="left"/>
      </w:pPr>
      <w:r>
        <w:rPr>
          <w:rFonts w:ascii="Arial" w:hAnsi="Arial"/>
          <w:b w:val="0"/>
          <w:i w:val="0"/>
          <w:color w:val="191919"/>
          <w:sz w:val="18"/>
        </w:rPr>
        <w:t>☐ Optional: Ich verlange ausdrücklich, dass PDB vor Ablauf der Widerrufsfrist mit der Leistung beginnt. Mir ist bekannt, dass ich bei einem Widerruf Wertersatz für bis dahin vertragsgemäß erbrachte Leistungen schulden kann und mein Widerrufsrecht bei vollständiger Vertragserfüllung unter den gesetzlichen Voraussetzungen erlischt.</w:t>
      </w:r>
    </w:p>
    <w:p>
      <w:pPr>
        <w:keepNext w:val="0"/>
        <w:spacing w:before="0" w:after="80" w:line="259" w:lineRule="auto"/>
        <w:jc w:val="left"/>
      </w:pPr>
      <w:r>
        <w:rPr>
          <w:rFonts w:ascii="Arial" w:hAnsi="Arial"/>
          <w:b w:val="0"/>
          <w:i/>
          <w:color w:val="5F5F5F"/>
          <w:sz w:val="16"/>
        </w:rPr>
        <w:t>Online muss der letzte Bestellbutton ausschließlich und eindeutig mit „zahlungspflichtig bestellen“ oder einer gleichwertigen Formulierung beschriftet sein. Diese Zeile ist eine Umsetzungsvorgabe und wird im finalen Kundenvertrag entfernt.</w:t>
      </w:r>
    </w:p>
    <w:p>
      <w:r>
        <w:br w:type="page"/>
      </w:r>
    </w:p>
    <w:p>
      <w:pPr>
        <w:pStyle w:val="Heading1"/>
        <w:keepNext/>
        <w:ind w:left="0" w:firstLine="0"/>
        <w:jc w:val="left"/>
      </w:pPr>
      <w:r>
        <w:t>Allgemeine Geschäftsbedingungen für Premium-Mitgliedschaften</w:t>
      </w:r>
    </w:p>
    <w:p>
      <w:pPr>
        <w:pStyle w:val="Heading2"/>
        <w:keepNext/>
        <w:ind w:left="0" w:firstLine="0"/>
        <w:jc w:val="left"/>
      </w:pPr>
      <w:r>
        <w:t>§ 1 Geltungsbereich und Vertragsgegenstand</w:t>
      </w:r>
    </w:p>
    <w:p>
      <w:pPr>
        <w:keepNext w:val="0"/>
        <w:spacing w:before="0" w:after="80" w:line="259" w:lineRule="auto"/>
        <w:jc w:val="left"/>
      </w:pPr>
      <w:r>
        <w:rPr>
          <w:rFonts w:ascii="Arial" w:hAnsi="Arial"/>
          <w:b w:val="0"/>
          <w:i w:val="0"/>
          <w:color w:val="191919"/>
          <w:sz w:val="18"/>
        </w:rPr>
        <w:t>Diese AGB gelten für Premium-Mitgliedschaften zwischen PDB – AESTHETIC ROOM und Verbraucherinnen oder Verbrauchern. Geschuldet werden die im gewählten Paket beschriebenen kosmetischen beziehungsweise ästhetischen Dienstleistungen. Ein bestimmter Behandlungserfolg wird nicht geschuldet. Medizinische Leistungen sind nicht Gegenstand der Mitgliedschaft.</w:t>
      </w:r>
    </w:p>
    <w:p>
      <w:pPr>
        <w:pStyle w:val="Heading2"/>
        <w:keepNext/>
        <w:ind w:left="0" w:firstLine="0"/>
        <w:jc w:val="left"/>
      </w:pPr>
      <w:r>
        <w:t>§ 2 Vertragsschluss</w:t>
      </w:r>
    </w:p>
    <w:p>
      <w:pPr>
        <w:keepNext w:val="0"/>
        <w:spacing w:before="0" w:after="80" w:line="259" w:lineRule="auto"/>
        <w:jc w:val="left"/>
      </w:pPr>
      <w:r>
        <w:rPr>
          <w:rFonts w:ascii="Arial" w:hAnsi="Arial"/>
          <w:b w:val="0"/>
          <w:i w:val="0"/>
          <w:color w:val="191919"/>
          <w:sz w:val="18"/>
        </w:rPr>
        <w:t>Im Studio kommt der Vertrag durch Unterzeichnung der Mitgliedschaftsvereinbarung zustande. Online gibt das Mitglied durch Betätigung der eindeutig als zahlungspflichtig gekennzeichneten Schaltfläche eine verbindliche Bestellung ab. PDB bestätigt den Zugang elektronisch; der Vertrag kommt mit der ausdrücklichen Annahmebestätigung von PDB zustande. Vertrag, AGB und Widerrufsinformationen werden dem Mitglied anschließend auf einem dauerhaften Datenträger zur Verfügung gestellt.</w:t>
      </w:r>
    </w:p>
    <w:p>
      <w:pPr>
        <w:pStyle w:val="Heading2"/>
        <w:keepNext/>
        <w:ind w:left="0" w:firstLine="0"/>
        <w:jc w:val="left"/>
      </w:pPr>
      <w:r>
        <w:t>§ 3 Laufzeit und Kündigung</w:t>
      </w:r>
    </w:p>
    <w:p>
      <w:pPr>
        <w:keepNext w:val="0"/>
        <w:spacing w:before="0" w:after="80" w:line="259" w:lineRule="auto"/>
        <w:jc w:val="left"/>
      </w:pPr>
      <w:r>
        <w:rPr>
          <w:rFonts w:ascii="Arial" w:hAnsi="Arial"/>
          <w:b w:val="0"/>
          <w:i w:val="0"/>
          <w:color w:val="191919"/>
          <w:sz w:val="18"/>
        </w:rPr>
        <w:t>Die Mindestlaufzeit beträgt zwölf Monate ab dem vereinbarten Vertragsbeginn. Während der Mindestlaufzeit ist die ordentliche Kündigung ausgeschlossen. Danach verlängert sich der Vertrag auf unbestimmte Zeit und kann jederzeit mit einer Frist von einem Monat in Textform gekündigt werden. Das Recht zur außerordentlichen Kündigung aus wichtigem Grund bleibt unberührt. Für online abschließbare Mitgliedschaften stellt PDB auf der Webseite eine gesetzeskonforme Kündigungsschaltfläche bereit.</w:t>
      </w:r>
    </w:p>
    <w:p>
      <w:pPr>
        <w:pStyle w:val="Heading2"/>
        <w:keepNext/>
        <w:ind w:left="0" w:firstLine="0"/>
        <w:jc w:val="left"/>
      </w:pPr>
      <w:r>
        <w:t>§ 4 Beiträge und Zahlung</w:t>
      </w:r>
    </w:p>
    <w:p>
      <w:pPr>
        <w:keepNext w:val="0"/>
        <w:spacing w:before="0" w:after="80" w:line="259" w:lineRule="auto"/>
        <w:jc w:val="left"/>
      </w:pPr>
      <w:r>
        <w:rPr>
          <w:rFonts w:ascii="Arial" w:hAnsi="Arial"/>
          <w:b w:val="0"/>
          <w:i w:val="0"/>
          <w:color w:val="191919"/>
          <w:sz w:val="18"/>
        </w:rPr>
        <w:t>Der Monatsbeitrag und die einmalige Einrichtungsgebühr ergeben sich aus der Vertragsübersicht. Monatsbeiträge werden im Voraus per SEPA-Basislastschrift eingezogen. Eine Preisänderung während der Mindestlaufzeit erfolgt nicht. Rücklastschriftkosten können nur in tatsächlich entstandener Höhe verlangt werden, wenn das Mitglied die Rücklastschrift zu vertreten hat; der Nachweis eines geringeren oder fehlenden Schadens bleibt möglich. Bei Zahlungsverzug darf PDB nach Mahnung und angemessener Fristsetzung Leistungen bis zum Ausgleich fälliger Beträge aussetzen.</w:t>
      </w:r>
    </w:p>
    <w:p>
      <w:pPr>
        <w:pStyle w:val="Heading2"/>
        <w:keepNext/>
        <w:ind w:left="0" w:firstLine="0"/>
        <w:jc w:val="left"/>
      </w:pPr>
      <w:r>
        <w:t>§ 5 Leistungsumfang und Paketstruktur</w:t>
      </w:r>
    </w:p>
    <w:p>
      <w:pPr>
        <w:keepNext w:val="0"/>
        <w:spacing w:before="0" w:after="80" w:line="259" w:lineRule="auto"/>
        <w:jc w:val="left"/>
      </w:pPr>
      <w:r>
        <w:rPr>
          <w:rFonts w:ascii="Arial" w:hAnsi="Arial"/>
          <w:b w:val="0"/>
          <w:i w:val="0"/>
          <w:color w:val="191919"/>
          <w:sz w:val="18"/>
        </w:rPr>
        <w:t>PURE umfasst monatlich bis zu drei Behandlungen aus dem Bereich PURE. DEFINE umfasst monatlich eine Behandlung aus PURE und eine Behandlung aus DEFINE. BEYOND umfasst monatlich eine Behandlung aus BEYOND. PRIVATE umfasst monatlich eine Behandlung aus PRIVATE. Maßgeblich ist die beim Vertragsschluss bereitgestellte Leistungsbeschreibung. Eine Behandlung kann aus fachlichen oder gesundheitlichen Gründen abgelehnt werden; soweit möglich, wird eine gleichwertige Alternative innerhalb des gebuchten Pakets angeboten.</w:t>
      </w:r>
    </w:p>
    <w:p>
      <w:pPr>
        <w:pStyle w:val="Heading2"/>
        <w:keepNext/>
        <w:ind w:left="0" w:firstLine="0"/>
        <w:jc w:val="left"/>
      </w:pPr>
      <w:r>
        <w:t>§ 6 Änderungen des Leistungsangebots</w:t>
      </w:r>
    </w:p>
    <w:p>
      <w:pPr>
        <w:keepNext w:val="0"/>
        <w:spacing w:before="0" w:after="80" w:line="259" w:lineRule="auto"/>
        <w:jc w:val="left"/>
      </w:pPr>
      <w:r>
        <w:rPr>
          <w:rFonts w:ascii="Arial" w:hAnsi="Arial"/>
          <w:b w:val="0"/>
          <w:i w:val="0"/>
          <w:color w:val="191919"/>
          <w:sz w:val="18"/>
        </w:rPr>
        <w:t>PDB darf einzelne Behandlungen nur aus sachlichem Grund, insbesondere bei Sicherheitsrisiken, fehlender Geräteverfügbarkeit oder dauerhaftem Wegfall eines Verfahrens, durch mindestens gleichwertige Leistungen ersetzen. Der wirtschaftliche Kern und der monatliche Umfang des Pakets dürfen nicht einseitig reduziert werden. Bei einer wesentlichen nachteiligen Änderung steht dem Mitglied ein Sonderkündigungsrecht zum Änderungszeitpunkt zu.</w:t>
      </w:r>
    </w:p>
    <w:p>
      <w:pPr>
        <w:pStyle w:val="Heading2"/>
        <w:keepNext/>
        <w:ind w:left="0" w:firstLine="0"/>
        <w:jc w:val="left"/>
      </w:pPr>
      <w:r>
        <w:t>§ 7 Nutzung und Verfall</w:t>
      </w:r>
    </w:p>
    <w:p>
      <w:pPr>
        <w:keepNext w:val="0"/>
        <w:spacing w:before="0" w:after="80" w:line="259" w:lineRule="auto"/>
        <w:jc w:val="left"/>
      </w:pPr>
      <w:r>
        <w:rPr>
          <w:rFonts w:ascii="Arial" w:hAnsi="Arial"/>
          <w:b w:val="0"/>
          <w:i w:val="0"/>
          <w:color w:val="191919"/>
          <w:sz w:val="18"/>
        </w:rPr>
        <w:t>Die Mitgliedschaft ist personenbezogen und nicht übertragbar. Nicht genutzte Monatsansprüche verfallen am Monatsende und werden nicht ausgezahlt. Kann eine bereits vereinbarte Leistung aus einem von PDB zu vertretenden Grund nicht erbracht werden, bietet PDB eine gleichwertige Ersatzleistung, Übertragung oder angemessene Verlängerung an.</w:t>
      </w:r>
    </w:p>
    <w:p>
      <w:r>
        <w:br w:type="page"/>
      </w:r>
    </w:p>
    <w:p>
      <w:pPr>
        <w:pStyle w:val="Heading2"/>
        <w:keepNext/>
        <w:ind w:left="0" w:firstLine="0"/>
        <w:jc w:val="left"/>
      </w:pPr>
      <w:r>
        <w:t>§ 8 Termine und Stornierung</w:t>
      </w:r>
    </w:p>
    <w:p>
      <w:pPr>
        <w:keepNext w:val="0"/>
        <w:spacing w:before="0" w:after="80" w:line="259" w:lineRule="auto"/>
        <w:jc w:val="left"/>
      </w:pPr>
      <w:r>
        <w:rPr>
          <w:rFonts w:ascii="Arial" w:hAnsi="Arial"/>
          <w:b w:val="0"/>
          <w:i w:val="0"/>
          <w:color w:val="191919"/>
          <w:sz w:val="18"/>
        </w:rPr>
        <w:t>Termine sind verbindlich. Eine kostenfreie Absage oder Umbuchung ist bis 24 Stunden vor dem Termin möglich. Bei späterer Absage oder Nichterscheinen kann der reservierte Monatsanspruch als genutzt behandelt werden, soweit der Termin nicht anderweitig vergeben werden konnte. Das Mitglied kann nachweisen, dass kein oder ein wesentlich geringerer Schaden entstanden ist. Bei verspätetem Erscheinen kann die Behandlung aus organisatorischen oder sicherheitsrelevanten Gründen verkürzt werden.</w:t>
      </w:r>
    </w:p>
    <w:p>
      <w:pPr>
        <w:pStyle w:val="Heading2"/>
        <w:keepNext/>
        <w:ind w:left="0" w:firstLine="0"/>
        <w:jc w:val="left"/>
      </w:pPr>
      <w:r>
        <w:t>§ 9 Gesundheit und Mitwirkung</w:t>
      </w:r>
    </w:p>
    <w:p>
      <w:pPr>
        <w:keepNext w:val="0"/>
        <w:spacing w:before="0" w:after="80" w:line="259" w:lineRule="auto"/>
        <w:jc w:val="left"/>
      </w:pPr>
      <w:r>
        <w:rPr>
          <w:rFonts w:ascii="Arial" w:hAnsi="Arial"/>
          <w:b w:val="0"/>
          <w:i w:val="0"/>
          <w:color w:val="191919"/>
          <w:sz w:val="18"/>
        </w:rPr>
        <w:t>Vor der ersten Behandlung und bei gesundheitlichen Änderungen macht das Mitglied vollständige und wahrheitsgemäße Angaben im Anamnesebogen. PDB kann Behandlungen aus fachlichen, gesundheitlichen oder sicherheitsrelevanten Gründen verschieben, anpassen oder ablehnen. Dies dient dem Schutz des Mitglieds und begründet, soweit möglich, das Angebot einer geeigneten Alternative.</w:t>
      </w:r>
    </w:p>
    <w:p>
      <w:pPr>
        <w:pStyle w:val="Heading2"/>
        <w:keepNext/>
        <w:ind w:left="0" w:firstLine="0"/>
        <w:jc w:val="left"/>
      </w:pPr>
      <w:r>
        <w:t>§ 10 Betriebsruhe und Verfügbarkeit</w:t>
      </w:r>
    </w:p>
    <w:p>
      <w:pPr>
        <w:keepNext w:val="0"/>
        <w:spacing w:before="0" w:after="80" w:line="259" w:lineRule="auto"/>
        <w:jc w:val="left"/>
      </w:pPr>
      <w:r>
        <w:rPr>
          <w:rFonts w:ascii="Arial" w:hAnsi="Arial"/>
          <w:b w:val="0"/>
          <w:i w:val="0"/>
          <w:color w:val="191919"/>
          <w:sz w:val="18"/>
        </w:rPr>
        <w:t>Betriebsferien und absehbare Einschränkungen werden rechtzeitig angekündigt. Kann ein Monatsanspruch wegen einer von PDB veranlassten Betriebsruhe nicht zumutbar genutzt werden, wird eine gleichwertige Ersatzmöglichkeit oder angemessene Verlängerung angeboten. Ein Anspruch auf einen bestimmten Wunschtermin besteht nicht.</w:t>
      </w:r>
    </w:p>
    <w:p>
      <w:pPr>
        <w:pStyle w:val="Heading2"/>
        <w:keepNext/>
        <w:ind w:left="0" w:firstLine="0"/>
        <w:jc w:val="left"/>
      </w:pPr>
      <w:r>
        <w:t>§ 11 Haftung</w:t>
      </w:r>
    </w:p>
    <w:p>
      <w:pPr>
        <w:keepNext w:val="0"/>
        <w:spacing w:before="0" w:after="80" w:line="259" w:lineRule="auto"/>
        <w:jc w:val="left"/>
      </w:pPr>
      <w:r>
        <w:rPr>
          <w:rFonts w:ascii="Arial" w:hAnsi="Arial"/>
          <w:b w:val="0"/>
          <w:i w:val="0"/>
          <w:color w:val="191919"/>
          <w:sz w:val="18"/>
        </w:rPr>
        <w:t>PDB haftet unbeschränkt bei Vorsatz und grober Fahrlässigkeit sowie bei schuldhafter Verletzung von Leben, Körper oder Gesundheit. Bei leicht fahrlässiger Verletzung einer wesentlichen Vertragspflicht ist die Haftung auf den vertragstypischen, vorhersehbaren Schaden begrenzt. Die Haftung nach dem Produkthaftungsgesetz sowie aus ausdrücklich übernommenen Garantien bleibt unberührt. Für unvermeidbare individuelle Reaktionen oder ausbleibende Ergebnisse haftet PDB nur, wenn eine Pflichtverletzung vorliegt.</w:t>
      </w:r>
    </w:p>
    <w:p>
      <w:pPr>
        <w:pStyle w:val="Heading2"/>
        <w:keepNext/>
        <w:ind w:left="0" w:firstLine="0"/>
        <w:jc w:val="left"/>
      </w:pPr>
      <w:r>
        <w:t>§ 12 Datenschutz</w:t>
      </w:r>
    </w:p>
    <w:p>
      <w:pPr>
        <w:keepNext w:val="0"/>
        <w:spacing w:before="0" w:after="80" w:line="259" w:lineRule="auto"/>
        <w:jc w:val="left"/>
      </w:pPr>
      <w:r>
        <w:rPr>
          <w:rFonts w:ascii="Arial" w:hAnsi="Arial"/>
          <w:b w:val="0"/>
          <w:i w:val="0"/>
          <w:color w:val="191919"/>
          <w:sz w:val="18"/>
        </w:rPr>
        <w:t>Personen-, Gesundheits- und Zahlungsdaten werden nur für Vertrag, Terminorganisation, Behandlungsdokumentation und Zahlungsabwicklung verarbeitet. Einzelheiten, Empfänger, Speicherdauer und Betroffenenrechte ergeben sich aus den gesondert bereitgestellten Datenschutzhinweisen. Gesundheitsdaten werden nur auf einer hierfür einschlägigen Rechtsgrundlage verarbeitet.</w:t>
      </w:r>
    </w:p>
    <w:p>
      <w:pPr>
        <w:pStyle w:val="Heading2"/>
        <w:keepNext/>
        <w:ind w:left="0" w:firstLine="0"/>
        <w:jc w:val="left"/>
      </w:pPr>
      <w:r>
        <w:t>§ 13 Aufrechnung und Zurückbehaltung</w:t>
      </w:r>
    </w:p>
    <w:p>
      <w:pPr>
        <w:keepNext w:val="0"/>
        <w:spacing w:before="0" w:after="80" w:line="259" w:lineRule="auto"/>
        <w:jc w:val="left"/>
      </w:pPr>
      <w:r>
        <w:rPr>
          <w:rFonts w:ascii="Arial" w:hAnsi="Arial"/>
          <w:b w:val="0"/>
          <w:i w:val="0"/>
          <w:color w:val="191919"/>
          <w:sz w:val="18"/>
        </w:rPr>
        <w:t>Das Mitglied kann mit unbestrittenen, rechtskräftig festgestellten oder aus demselben Vertragsverhältnis stammenden Forderungen aufrechnen. Gesetzliche Zurückbehaltungsrechte bleiben unberührt.</w:t>
      </w:r>
    </w:p>
    <w:p>
      <w:pPr>
        <w:pStyle w:val="Heading2"/>
        <w:keepNext/>
        <w:ind w:left="0" w:firstLine="0"/>
        <w:jc w:val="left"/>
      </w:pPr>
      <w:r>
        <w:t>§ 14 Schlussbestimmungen</w:t>
      </w:r>
    </w:p>
    <w:p>
      <w:pPr>
        <w:keepNext w:val="0"/>
        <w:spacing w:before="0" w:after="80" w:line="259" w:lineRule="auto"/>
        <w:jc w:val="left"/>
      </w:pPr>
      <w:r>
        <w:rPr>
          <w:rFonts w:ascii="Arial" w:hAnsi="Arial"/>
          <w:b w:val="0"/>
          <w:i w:val="0"/>
          <w:color w:val="191919"/>
          <w:sz w:val="18"/>
        </w:rPr>
        <w:t>Es gilt deutsches Recht unter Wahrung zwingender Verbraucherschutzvorschriften. Für Verbraucherinnen und Verbraucher gelten die gesetzlichen Gerichtsstände. Sollte eine Bestimmung unwirksam sein oder werden, gelten an ihrer Stelle die gesetzlichen Vorschriften; die Wirksamkeit des Vertrags im Übrigen bleibt unberührt.</w:t>
      </w:r>
    </w:p>
    <w:p>
      <w:r>
        <w:br w:type="page"/>
      </w:r>
    </w:p>
    <w:p>
      <w:pPr>
        <w:pStyle w:val="Heading1"/>
        <w:keepNext/>
        <w:ind w:left="0" w:firstLine="0"/>
        <w:jc w:val="left"/>
      </w:pPr>
      <w:r>
        <w:t>Widerrufsbelehrung</w:t>
      </w:r>
    </w:p>
    <w:p>
      <w:pPr>
        <w:pStyle w:val="Heading2"/>
        <w:keepNext/>
        <w:ind w:left="0" w:firstLine="0"/>
        <w:jc w:val="left"/>
      </w:pPr>
      <w:r>
        <w:t>Widerrufsrecht</w:t>
      </w:r>
    </w:p>
    <w:p>
      <w:pPr>
        <w:keepNext w:val="0"/>
        <w:spacing w:before="0" w:after="80" w:line="259" w:lineRule="auto"/>
        <w:jc w:val="left"/>
      </w:pPr>
      <w:r>
        <w:rPr>
          <w:rFonts w:ascii="Arial" w:hAnsi="Arial"/>
          <w:b w:val="0"/>
          <w:i w:val="0"/>
          <w:color w:val="191919"/>
          <w:sz w:val="19"/>
        </w:rPr>
        <w:t>Sie haben das Recht, binnen vierzehn Tagen ohne Angabe von Gründen diesen Vertrag zu widerrufen. Die Widerrufsfrist beträgt vierzehn Tage ab dem Tag des Vertragsabschlusses.</w:t>
      </w:r>
    </w:p>
    <w:p>
      <w:pPr>
        <w:keepNext w:val="0"/>
        <w:spacing w:before="0" w:after="80" w:line="259" w:lineRule="auto"/>
        <w:jc w:val="left"/>
      </w:pPr>
      <w:r>
        <w:rPr>
          <w:rFonts w:ascii="Arial" w:hAnsi="Arial"/>
          <w:b w:val="0"/>
          <w:i w:val="0"/>
          <w:color w:val="191919"/>
          <w:sz w:val="19"/>
        </w:rPr>
        <w:t>Um Ihr Widerrufsrecht auszuüben, müssen Sie uns (PDB – AESTHETIC ROOM, Rheinstraße 59, 65185 Wiesbaden, E-Mail: info@palaisdebeaute.de, Telefon: 0178 600 11 03) mittels einer eindeutigen Erklärung, zum Beispiel per Post oder E-Mail, über Ihren Entschluss informieren, diesen Vertrag zu widerrufen. Sie können dafür das beigefügte Muster-Widerrufsformular verwenden; dies ist jedoch nicht vorgeschrieben.</w:t>
      </w:r>
    </w:p>
    <w:p>
      <w:pPr>
        <w:keepNext w:val="0"/>
        <w:spacing w:before="0" w:after="80" w:line="259" w:lineRule="auto"/>
        <w:jc w:val="left"/>
      </w:pPr>
      <w:r>
        <w:rPr>
          <w:rFonts w:ascii="Arial" w:hAnsi="Arial"/>
          <w:b w:val="0"/>
          <w:i w:val="0"/>
          <w:color w:val="191919"/>
          <w:sz w:val="19"/>
        </w:rPr>
        <w:t>Zur Wahrung der Widerrufsfrist reicht es aus, dass Sie die Mitteilung über die Ausübung des Widerrufsrechts vor Ablauf der Widerrufsfrist absenden.</w:t>
      </w:r>
    </w:p>
    <w:p>
      <w:pPr>
        <w:pStyle w:val="Heading2"/>
        <w:keepNext/>
        <w:ind w:left="0" w:firstLine="0"/>
        <w:jc w:val="left"/>
      </w:pPr>
      <w:r>
        <w:t>Folgen des Widerrufs</w:t>
      </w:r>
    </w:p>
    <w:p>
      <w:pPr>
        <w:keepNext w:val="0"/>
        <w:spacing w:before="0" w:after="80" w:line="259" w:lineRule="auto"/>
        <w:jc w:val="left"/>
      </w:pPr>
      <w:r>
        <w:rPr>
          <w:rFonts w:ascii="Arial" w:hAnsi="Arial"/>
          <w:b w:val="0"/>
          <w:i w:val="0"/>
          <w:color w:val="191919"/>
          <w:sz w:val="19"/>
        </w:rPr>
        <w:t>Wenn Sie diesen Vertrag widerrufen, erstatten wir Ihnen alle Zahlungen, die wir von Ihnen erhalten haben, unverzüglich und spätestens binnen vierzehn Tagen ab dem Tag, an dem Ihre Widerrufserklärung bei uns eingegangen ist. Für die Rückzahlung verwenden wir grundsätzlich dasselbe Zahlungsmittel, das Sie bei der ursprünglichen Transaktion eingesetzt haben; hierfür werden keine Entgelte berechnet.</w:t>
      </w:r>
    </w:p>
    <w:p>
      <w:pPr>
        <w:keepNext w:val="0"/>
        <w:spacing w:before="0" w:after="80" w:line="259" w:lineRule="auto"/>
        <w:jc w:val="left"/>
      </w:pPr>
      <w:r>
        <w:rPr>
          <w:rFonts w:ascii="Arial" w:hAnsi="Arial"/>
          <w:b w:val="0"/>
          <w:i w:val="0"/>
          <w:color w:val="191919"/>
          <w:sz w:val="19"/>
        </w:rPr>
        <w:t>Haben Sie verlangt, dass die Dienstleistungen während der Widerrufsfrist beginnen sollen, zahlen Sie uns einen angemessenen Betrag, der dem Anteil der bis zu Ihrem Widerruf bereits erbrachten Leistungen im Vergleich zum Gesamtumfang der vertraglich vorgesehenen Leistungen entspricht, soweit die gesetzlichen Voraussetzungen für Wertersatz erfüllt sind.</w:t>
      </w:r>
    </w:p>
    <w:p>
      <w:pPr>
        <w:pStyle w:val="Heading1"/>
        <w:keepNext/>
        <w:ind w:left="0" w:firstLine="0"/>
        <w:jc w:val="left"/>
      </w:pPr>
      <w:r>
        <w:t>Widerrufsformular</w:t>
      </w:r>
    </w:p>
    <w:p>
      <w:pPr>
        <w:keepNext w:val="0"/>
        <w:spacing w:before="0" w:after="80" w:line="259" w:lineRule="auto"/>
        <w:jc w:val="left"/>
      </w:pPr>
      <w:r>
        <w:rPr>
          <w:rFonts w:ascii="Arial" w:hAnsi="Arial"/>
          <w:b w:val="0"/>
          <w:i/>
          <w:color w:val="191919"/>
          <w:sz w:val="19"/>
        </w:rPr>
        <w:t>Wenn Sie den Vertrag widerrufen wollen, füllen Sie dieses Formular aus und senden Sie es zurück.</w:t>
      </w:r>
    </w:p>
    <w:p>
      <w:pPr>
        <w:keepNext w:val="0"/>
        <w:spacing w:before="0" w:after="80" w:line="259" w:lineRule="auto"/>
        <w:jc w:val="left"/>
      </w:pPr>
      <w:r>
        <w:rPr>
          <w:rFonts w:ascii="Arial" w:hAnsi="Arial"/>
          <w:b w:val="0"/>
          <w:i w:val="0"/>
          <w:color w:val="191919"/>
          <w:sz w:val="19"/>
        </w:rPr>
        <w:t>An: PDB – AESTHETIC ROOM, Rheinstraße 59, 65185 Wiesbaden, info@palaisdebeaute.de</w:t>
      </w:r>
    </w:p>
    <w:p>
      <w:pPr>
        <w:keepNext w:val="0"/>
        <w:spacing w:before="0" w:after="80" w:line="259" w:lineRule="auto"/>
        <w:jc w:val="left"/>
      </w:pPr>
      <w:r>
        <w:rPr>
          <w:rFonts w:ascii="Arial" w:hAnsi="Arial"/>
          <w:b w:val="0"/>
          <w:i w:val="0"/>
          <w:color w:val="191919"/>
          <w:sz w:val="19"/>
        </w:rPr>
        <w:t>Hiermit widerrufe ich den von mir abgeschlossenen Vertrag über die folgende Premium-Mitgliedschaft:</w:t>
      </w:r>
    </w:p>
    <w:p>
      <w:pPr>
        <w:keepNext w:val="0"/>
        <w:spacing w:before="0" w:after="100" w:line="259" w:lineRule="auto"/>
        <w:jc w:val="left"/>
      </w:pPr>
      <w:r>
        <w:rPr>
          <w:rFonts w:ascii="Arial" w:hAnsi="Arial"/>
          <w:b w:val="0"/>
          <w:i w:val="0"/>
          <w:color w:val="191919"/>
          <w:sz w:val="19"/>
        </w:rPr>
        <w:t>Paket: __________________________________________</w:t>
      </w:r>
    </w:p>
    <w:p>
      <w:pPr>
        <w:keepNext w:val="0"/>
        <w:spacing w:before="0" w:after="100" w:line="259" w:lineRule="auto"/>
        <w:jc w:val="left"/>
      </w:pPr>
      <w:r>
        <w:rPr>
          <w:rFonts w:ascii="Arial" w:hAnsi="Arial"/>
          <w:b w:val="0"/>
          <w:i w:val="0"/>
          <w:color w:val="191919"/>
          <w:sz w:val="19"/>
        </w:rPr>
        <w:t>Vertrag abgeschlossen am: _________________________</w:t>
      </w:r>
    </w:p>
    <w:p>
      <w:pPr>
        <w:keepNext w:val="0"/>
        <w:spacing w:before="0" w:after="100" w:line="259" w:lineRule="auto"/>
        <w:jc w:val="left"/>
      </w:pPr>
      <w:r>
        <w:rPr>
          <w:rFonts w:ascii="Arial" w:hAnsi="Arial"/>
          <w:b w:val="0"/>
          <w:i w:val="0"/>
          <w:color w:val="191919"/>
          <w:sz w:val="19"/>
        </w:rPr>
        <w:t>Name: __________________________________________</w:t>
      </w:r>
    </w:p>
    <w:p>
      <w:pPr>
        <w:keepNext w:val="0"/>
        <w:spacing w:before="0" w:after="100" w:line="259" w:lineRule="auto"/>
        <w:jc w:val="left"/>
      </w:pPr>
      <w:r>
        <w:rPr>
          <w:rFonts w:ascii="Arial" w:hAnsi="Arial"/>
          <w:b w:val="0"/>
          <w:i w:val="0"/>
          <w:color w:val="191919"/>
          <w:sz w:val="19"/>
        </w:rPr>
        <w:t>Anschrift: _______________________________________</w:t>
      </w:r>
    </w:p>
    <w:p>
      <w:pPr>
        <w:keepNext w:val="0"/>
        <w:spacing w:before="0" w:after="100" w:line="259" w:lineRule="auto"/>
        <w:jc w:val="left"/>
      </w:pPr>
      <w:r>
        <w:rPr>
          <w:rFonts w:ascii="Arial" w:hAnsi="Arial"/>
          <w:b w:val="0"/>
          <w:i w:val="0"/>
          <w:color w:val="191919"/>
          <w:sz w:val="19"/>
        </w:rPr>
        <w:t>Datum: __________________________________________</w:t>
      </w:r>
    </w:p>
    <w:p>
      <w:pPr>
        <w:keepNext w:val="0"/>
        <w:spacing w:before="0" w:after="100" w:line="259" w:lineRule="auto"/>
        <w:jc w:val="left"/>
      </w:pPr>
      <w:r>
        <w:rPr>
          <w:rFonts w:ascii="Arial" w:hAnsi="Arial"/>
          <w:b w:val="0"/>
          <w:i w:val="0"/>
          <w:color w:val="191919"/>
          <w:sz w:val="19"/>
        </w:rPr>
        <w:t>Unterschrift (nur bei Papier): ______________________</w:t>
      </w:r>
    </w:p>
    <w:p>
      <w:pPr>
        <w:pStyle w:val="Heading1"/>
        <w:keepNext/>
        <w:ind w:left="0" w:firstLine="0"/>
        <w:jc w:val="left"/>
      </w:pPr>
      <w:r>
        <w:t>Umsetzungshinweise – nicht Bestandteil des Kundenvertrags</w:t>
      </w:r>
    </w:p>
    <w:p>
      <w:pPr>
        <w:keepNext w:val="0"/>
        <w:spacing w:before="0" w:after="80" w:line="259" w:lineRule="auto"/>
        <w:jc w:val="left"/>
      </w:pPr>
      <w:r>
        <w:rPr>
          <w:rFonts w:ascii="Arial" w:hAnsi="Arial"/>
          <w:b w:val="0"/>
          <w:i w:val="0"/>
          <w:color w:val="191919"/>
          <w:sz w:val="18"/>
        </w:rPr>
        <w:t>☐ Online unmittelbar vor dem Button anzeigen: Paket, Monatsbeitrag, Einrichtungsgebühr, Mindestlaufzeit, Gesamtpreis der Mindestlaufzeit, Kündigungsregel und SEPA-Zahlungsweise.</w:t>
      </w:r>
    </w:p>
    <w:p>
      <w:pPr>
        <w:keepNext w:val="0"/>
        <w:spacing w:before="0" w:after="80" w:line="259" w:lineRule="auto"/>
        <w:jc w:val="left"/>
      </w:pPr>
      <w:r>
        <w:rPr>
          <w:rFonts w:ascii="Arial" w:hAnsi="Arial"/>
          <w:b w:val="0"/>
          <w:i w:val="0"/>
          <w:color w:val="191919"/>
          <w:sz w:val="18"/>
        </w:rPr>
        <w:t>☐ Button: „zahlungspflichtig bestellen“. AGB, Widerruf und Datenschutz als speicherbare Dokumente verlinken; Einwilligungen nicht vorankreuzen.</w:t>
      </w:r>
    </w:p>
    <w:p>
      <w:pPr>
        <w:keepNext w:val="0"/>
        <w:spacing w:before="0" w:after="80" w:line="259" w:lineRule="auto"/>
        <w:jc w:val="left"/>
      </w:pPr>
      <w:r>
        <w:rPr>
          <w:rFonts w:ascii="Arial" w:hAnsi="Arial"/>
          <w:b w:val="0"/>
          <w:i w:val="0"/>
          <w:color w:val="191919"/>
          <w:sz w:val="18"/>
        </w:rPr>
        <w:t>☐ Kündigungsbutton ständig und unmittelbar erreichbar: erste Schaltfläche „Verträge hier kündigen“, Bestätigungsschaltfläche „jetzt kündigen“, anschließend sofortige elektronische Bestätigung mit Datum und Uhrzeit.</w:t>
      </w:r>
    </w:p>
    <w:p>
      <w:pPr>
        <w:keepNext w:val="0"/>
        <w:spacing w:before="0" w:after="80" w:line="259" w:lineRule="auto"/>
        <w:jc w:val="left"/>
      </w:pPr>
      <w:r>
        <w:rPr>
          <w:rFonts w:ascii="Arial" w:hAnsi="Arial"/>
          <w:b w:val="0"/>
          <w:i w:val="0"/>
          <w:color w:val="191919"/>
          <w:sz w:val="18"/>
        </w:rPr>
        <w:t>☐ Mandatsreferenz automatisiert vergeben und zusammen mit Gläubiger-ID in jeder Lastschrift übermitteln. Zustimmungsnachweis, Dokumentversion und Zeitstempel revisionssicher speichern.</w:t>
      </w:r>
    </w:p>
    <w:p>
      <w:pPr>
        <w:keepNext w:val="0"/>
        <w:spacing w:before="0" w:after="80" w:line="259" w:lineRule="auto"/>
        <w:jc w:val="left"/>
      </w:pPr>
      <w:r>
        <w:rPr>
          <w:rFonts w:ascii="Arial" w:hAnsi="Arial"/>
          <w:b w:val="0"/>
          <w:i w:val="0"/>
          <w:color w:val="191919"/>
          <w:sz w:val="18"/>
        </w:rPr>
        <w:t>☐ IBAN und Mandatsdaten nicht in öffentlich sichtbaren Shopify-Feldern, Kundentags oder unverschlüsselten E-Mails speichern.</w:t>
      </w:r>
    </w:p>
    <w:p>
      <w:pPr>
        <w:keepNext w:val="0"/>
        <w:spacing w:before="0" w:after="80" w:line="259" w:lineRule="auto"/>
        <w:jc w:val="left"/>
      </w:pPr>
      <w:r>
        <w:rPr>
          <w:rFonts w:ascii="Arial" w:hAnsi="Arial"/>
          <w:b w:val="0"/>
          <w:i w:val="0"/>
          <w:color w:val="191919"/>
          <w:sz w:val="18"/>
        </w:rPr>
        <w:t>☐ BEYOND 249 € erst ab dem tatsächlich festgelegten Stichtag für Neuverträge in Vertrag und Gesamtsumme übernehmen; vorher nicht als durchgestrichenen ehemaligen Preis darstellen.</w:t>
      </w:r>
    </w:p>
    <w:sectPr w:rsidR="00FC693F" w:rsidRPr="0006063C" w:rsidSect="00034616">
      <w:footerReference w:type="default" r:id="rId9"/>
      <w:pgSz w:w="11906" w:h="16838"/>
      <w:pgMar w:top="822" w:right="907" w:bottom="822" w:left="90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F5F5F"/>
        <w:sz w:val="15"/>
      </w:rPr>
      <w:t>PDB – AESTHETIC ROOM · Premium-Mitgliedschaft · Arbeitsfassung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9191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jc w:val="left"/>
      <w:outlineLvl w:val="0"/>
    </w:pPr>
    <w:rPr>
      <w:rFonts w:asciiTheme="majorHAnsi" w:eastAsiaTheme="majorEastAsia" w:hAnsiTheme="majorHAnsi" w:cstheme="majorBidi" w:ascii="Arial" w:hAnsi="Arial"/>
      <w:b/>
      <w:bCs/>
      <w:color w:val="191919"/>
      <w:sz w:val="27"/>
      <w:szCs w:val="28"/>
    </w:rPr>
  </w:style>
  <w:style w:type="paragraph" w:styleId="Heading2">
    <w:name w:val="heading 2"/>
    <w:basedOn w:val="Normal"/>
    <w:next w:val="Normal"/>
    <w:link w:val="Heading2Char"/>
    <w:uiPriority w:val="9"/>
    <w:unhideWhenUsed/>
    <w:qFormat/>
    <w:rsid w:val="00FC693F"/>
    <w:pPr>
      <w:keepNext/>
      <w:keepLines/>
      <w:spacing w:before="160" w:after="60"/>
      <w:jc w:val="left"/>
      <w:outlineLvl w:val="1"/>
    </w:pPr>
    <w:rPr>
      <w:rFonts w:asciiTheme="majorHAnsi" w:eastAsiaTheme="majorEastAsia" w:hAnsiTheme="majorHAnsi" w:cstheme="majorBidi" w:ascii="Arial" w:hAnsi="Arial"/>
      <w:b/>
      <w:bCs/>
      <w:color w:val="191919"/>
      <w:sz w:val="22"/>
      <w:szCs w:val="26"/>
    </w:rPr>
  </w:style>
  <w:style w:type="paragraph" w:styleId="Heading3">
    <w:name w:val="heading 3"/>
    <w:basedOn w:val="Normal"/>
    <w:next w:val="Normal"/>
    <w:link w:val="Heading3Char"/>
    <w:uiPriority w:val="9"/>
    <w:unhideWhenUsed/>
    <w:qFormat/>
    <w:rsid w:val="00FC693F"/>
    <w:pPr>
      <w:keepNext/>
      <w:keepLines/>
      <w:spacing w:before="120" w:after="40"/>
      <w:jc w:val="left"/>
      <w:outlineLvl w:val="2"/>
    </w:pPr>
    <w:rPr>
      <w:rFonts w:asciiTheme="majorHAnsi" w:eastAsiaTheme="majorEastAsia" w:hAnsiTheme="majorHAnsi" w:cstheme="majorBidi" w:ascii="Arial" w:hAnsi="Arial"/>
      <w:b/>
      <w:bCs/>
      <w:color w:val="19191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Premium-Vertrag, SEPA und AGB – Arbeitsfassung</dc:title>
  <dc:subject>Überarbeitete Arbeitsfassung für Studio- und Onlineabschlüsse</dc:subject>
  <dc:creator>PDB – AESTHETIC ROOM</dc:creator>
  <cp:keywords/>
  <dc:description>generated by python-docx</dc:description>
  <cp:lastModifiedBy/>
  <cp:revision>1</cp:revision>
  <dcterms:created xsi:type="dcterms:W3CDTF">2013-12-23T23:15:00Z</dcterms:created>
  <dcterms:modified xsi:type="dcterms:W3CDTF">2013-12-23T23:15:00Z</dcterms:modified>
  <cp:category/>
</cp:coreProperties>
</file>