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400"/>
        <w:jc w:val="center"/>
      </w:pPr>
      <w:r>
        <w:rPr>
          <w:rFonts w:ascii="Times New Roman" w:cs="Times New Roman" w:eastAsia="Times New Roman" w:hAnsi="Times New Roman"/>
          <w:b/>
          <w:bCs/>
          <w:color w:val="1A1F16"/>
          <w:sz w:val="72"/>
          <w:szCs w:val="72"/>
        </w:rPr>
        <w:t xml:space="preserve">RUN HEALTH CENTRE</w:t>
      </w:r>
    </w:p>
    <w:p>
      <w:pPr>
        <w:spacing w:after="200"/>
        <w:jc w:val="center"/>
      </w:pPr>
      <w:r>
        <w:rPr>
          <w:rFonts w:ascii="Times New Roman" w:cs="Times New Roman" w:eastAsia="Times New Roman" w:hAnsi="Times New Roman"/>
          <w:color w:val="4A5548"/>
          <w:sz w:val="36"/>
          <w:szCs w:val="36"/>
        </w:rPr>
        <w:t xml:space="preserve">Redeemer's University Health Management System</w:t>
      </w:r>
    </w:p>
    <w:p>
      <w:pPr>
        <w:spacing w:after="200" w:before="800"/>
        <w:jc w:val="center"/>
      </w:pPr>
      <w:r>
        <w:rPr>
          <w:color w:val="94A3B8"/>
          <w:sz w:val="24"/>
          <w:szCs w:val="24"/>
        </w:rPr>
        <w:t xml:space="preserve">━━━━━━━━━━━━━━━━━━━━━━━━━━━━━━━</w:t>
      </w:r>
    </w:p>
    <w:p>
      <w:pPr>
        <w:spacing w:before="600"/>
        <w:jc w:val="center"/>
      </w:pPr>
      <w:r>
        <w:rPr>
          <w:rFonts w:ascii="Times New Roman" w:cs="Times New Roman" w:eastAsia="Times New Roman" w:hAnsi="Times New Roman"/>
          <w:b/>
          <w:bCs/>
          <w:color w:val="1A1F16"/>
          <w:sz w:val="40"/>
          <w:szCs w:val="40"/>
        </w:rPr>
        <w:t xml:space="preserve">COMPREHENSIVE PROJECT DOCUMENTATION</w:t>
      </w:r>
    </w:p>
    <w:p>
      <w:pPr>
        <w:spacing w:before="400"/>
        <w:jc w:val="center"/>
      </w:pPr>
      <w:r>
        <w:rPr>
          <w:rFonts w:ascii="Times New Roman" w:cs="Times New Roman" w:eastAsia="Times New Roman" w:hAnsi="Times New Roman"/>
          <w:color w:val="4A5548"/>
          <w:sz w:val="24"/>
          <w:szCs w:val="24"/>
        </w:rPr>
        <w:t xml:space="preserve">Version 2.5.1 | February 2026</w:t>
      </w:r>
    </w:p>
    <w:p>
      <w:pPr>
        <w:spacing w:before="2000"/>
        <w:jc w:val="center"/>
      </w:pPr>
      <w:r>
        <w:rPr>
          <w:rFonts w:ascii="Times New Roman" w:cs="Times New Roman" w:eastAsia="Times New Roman" w:hAnsi="Times New Roman"/>
          <w:b/>
          <w:bCs/>
          <w:color w:val="94A3B8"/>
          <w:sz w:val="28"/>
          <w:szCs w:val="28"/>
        </w:rPr>
        <w:t xml:space="preserve">RUHC-2026</w:t>
      </w:r>
    </w:p>
    <w:p>
      <w:pPr>
        <w:spacing w:before="200"/>
        <w:jc w:val="center"/>
      </w:pPr>
      <w:r>
        <w:rPr>
          <w:rFonts w:ascii="Times New Roman" w:cs="Times New Roman" w:eastAsia="Times New Roman" w:hAnsi="Times New Roman"/>
          <w:i/>
          <w:iCs/>
          <w:color w:val="4A5548"/>
          <w:sz w:val="22"/>
          <w:szCs w:val="22"/>
        </w:rPr>
        <w:t xml:space="preserve">"Excellence in Healthcare Management"</w:t>
      </w:r>
    </w:p>
    <w:p>
      <w:pPr>
        <w:sectPr>
          <w:pgSz w:w="11906" w:h="16838" w:orient="portrait"/>
          <w:pgMar w:top="0" w:right="0" w:bottom="0" w:left="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pPr>
            <w:pStyle w:val="9"/>
            <w:tabs>
              <w:tab w:val="right" w:leader="dot" w:pos="9026"/>
            </w:tabs>
          </w:pPr>
          <w:r>
            <w:t>1. Executive Summary</w:t>
          </w:r>
          <w:r>
            <w:tab/>
          </w:r>
          <w:r>
            <w:t>3</w:t>
          </w:r>
        </w:p>
        <w:p>
          <w:pPr>
            <w:pStyle w:val="9"/>
            <w:tabs>
              <w:tab w:val="right" w:leader="dot" w:pos="9026"/>
            </w:tabs>
          </w:pPr>
          <w:r>
            <w:t>2. System Architecture</w:t>
          </w:r>
          <w:r>
            <w:tab/>
          </w:r>
          <w:r>
            <w:t>3</w:t>
          </w:r>
        </w:p>
        <w:p>
          <w:pPr>
            <w:pStyle w:val="11"/>
            <w:ind w:left="360"/>
            <w:tabs>
              <w:tab w:val="right" w:leader="dot" w:pos="9026"/>
            </w:tabs>
          </w:pPr>
          <w:r>
            <w:t>2.1 Technology Stack</w:t>
          </w:r>
          <w:r>
            <w:tab/>
          </w:r>
          <w:r>
            <w:t>3</w:t>
          </w:r>
        </w:p>
        <w:p>
          <w:pPr>
            <w:pStyle w:val="11"/>
            <w:ind w:left="360"/>
            <w:tabs>
              <w:tab w:val="right" w:leader="dot" w:pos="9026"/>
            </w:tabs>
          </w:pPr>
          <w:r>
            <w:t>2.2 Database Connection Architecture</w:t>
          </w:r>
          <w:r>
            <w:tab/>
          </w:r>
          <w:r>
            <w:t>4</w:t>
          </w:r>
        </w:p>
        <w:p>
          <w:pPr>
            <w:pStyle w:val="9"/>
            <w:tabs>
              <w:tab w:val="right" w:leader="dot" w:pos="9026"/>
            </w:tabs>
          </w:pPr>
          <w:r>
            <w:t>3. User Roles and Permissions</w:t>
          </w:r>
          <w:r>
            <w:tab/>
          </w:r>
          <w:r>
            <w:t>4</w:t>
          </w:r>
        </w:p>
        <w:p>
          <w:pPr>
            <w:pStyle w:val="9"/>
            <w:tabs>
              <w:tab w:val="right" w:leader="dot" w:pos="9026"/>
            </w:tabs>
          </w:pPr>
          <w:r>
            <w:t>4. Core Features and Modules</w:t>
          </w:r>
          <w:r>
            <w:tab/>
          </w:r>
          <w:r>
            <w:t>5</w:t>
          </w:r>
        </w:p>
        <w:p>
          <w:pPr>
            <w:pStyle w:val="11"/>
            <w:ind w:left="360"/>
            <w:tabs>
              <w:tab w:val="right" w:leader="dot" w:pos="9026"/>
            </w:tabs>
          </w:pPr>
          <w:r>
            <w:t>4.1 Patient Management</w:t>
          </w:r>
          <w:r>
            <w:tab/>
          </w:r>
          <w:r>
            <w:t>5</w:t>
          </w:r>
        </w:p>
        <w:p>
          <w:pPr>
            <w:pStyle w:val="11"/>
            <w:ind w:left="360"/>
            <w:tabs>
              <w:tab w:val="right" w:leader="dot" w:pos="9026"/>
            </w:tabs>
          </w:pPr>
          <w:r>
            <w:t>4.2 Clinical Workflow System</w:t>
          </w:r>
          <w:r>
            <w:tab/>
          </w:r>
          <w:r>
            <w:t>5</w:t>
          </w:r>
        </w:p>
        <w:p>
          <w:pPr>
            <w:pStyle w:val="11"/>
            <w:ind w:left="360"/>
            <w:tabs>
              <w:tab w:val="right" w:leader="dot" w:pos="9026"/>
            </w:tabs>
          </w:pPr>
          <w:r>
            <w:t>4.3 Pharmacy Management</w:t>
          </w:r>
          <w:r>
            <w:tab/>
          </w:r>
          <w:r>
            <w:t>5</w:t>
          </w:r>
        </w:p>
        <w:p>
          <w:pPr>
            <w:pStyle w:val="11"/>
            <w:ind w:left="360"/>
            <w:tabs>
              <w:tab w:val="right" w:leader="dot" w:pos="9026"/>
            </w:tabs>
          </w:pPr>
          <w:r>
            <w:t>4.4 Laboratory Services</w:t>
          </w:r>
          <w:r>
            <w:tab/>
          </w:r>
          <w:r>
            <w:t>6</w:t>
          </w:r>
        </w:p>
        <w:p>
          <w:pPr>
            <w:pStyle w:val="11"/>
            <w:ind w:left="360"/>
            <w:tabs>
              <w:tab w:val="right" w:leader="dot" w:pos="9026"/>
            </w:tabs>
          </w:pPr>
          <w:r>
            <w:t>4.5 Administrative Functions</w:t>
          </w:r>
          <w:r>
            <w:tab/>
          </w:r>
          <w:r>
            <w:t>6</w:t>
          </w:r>
        </w:p>
        <w:p>
          <w:pPr>
            <w:pStyle w:val="9"/>
            <w:tabs>
              <w:tab w:val="right" w:leader="dot" w:pos="9026"/>
            </w:tabs>
          </w:pPr>
          <w:r>
            <w:t>5. Security Implementation</w:t>
          </w:r>
          <w:r>
            <w:tab/>
          </w:r>
          <w:r>
            <w:t>6</w:t>
          </w:r>
        </w:p>
        <w:p>
          <w:pPr>
            <w:pStyle w:val="11"/>
            <w:ind w:left="360"/>
            <w:tabs>
              <w:tab w:val="right" w:leader="dot" w:pos="9026"/>
            </w:tabs>
          </w:pPr>
          <w:r>
            <w:t>5.1 Authentication and Authorization</w:t>
          </w:r>
          <w:r>
            <w:tab/>
          </w:r>
          <w:r>
            <w:t>6</w:t>
          </w:r>
        </w:p>
        <w:p>
          <w:pPr>
            <w:pStyle w:val="11"/>
            <w:ind w:left="360"/>
            <w:tabs>
              <w:tab w:val="right" w:leader="dot" w:pos="9026"/>
            </w:tabs>
          </w:pPr>
          <w:r>
            <w:t>5.2 Data Protection</w:t>
          </w:r>
          <w:r>
            <w:tab/>
          </w:r>
          <w:r>
            <w:t>7</w:t>
          </w:r>
        </w:p>
        <w:p>
          <w:pPr>
            <w:pStyle w:val="9"/>
            <w:tabs>
              <w:tab w:val="right" w:leader="dot" w:pos="9026"/>
            </w:tabs>
          </w:pPr>
          <w:r>
            <w:t>6. Offline-First Architecture</w:t>
          </w:r>
          <w:r>
            <w:tab/>
          </w:r>
          <w:r>
            <w:t>7</w:t>
          </w:r>
        </w:p>
        <w:p>
          <w:pPr>
            <w:pStyle w:val="9"/>
            <w:tabs>
              <w:tab w:val="right" w:leader="dot" w:pos="9026"/>
            </w:tabs>
          </w:pPr>
          <w:r>
            <w:t>7. Database Schema Overview</w:t>
          </w:r>
          <w:r>
            <w:tab/>
          </w:r>
          <w:r>
            <w:t>7</w:t>
          </w:r>
        </w:p>
        <w:p>
          <w:pPr>
            <w:pStyle w:val="9"/>
            <w:tabs>
              <w:tab w:val="right" w:leader="dot" w:pos="9026"/>
            </w:tabs>
          </w:pPr>
          <w:r>
            <w:t>8. System Access Credentials</w:t>
          </w:r>
          <w:r>
            <w:tab/>
          </w:r>
          <w:r>
            <w:t>8</w:t>
          </w:r>
        </w:p>
        <w:p>
          <w:pPr>
            <w:pStyle w:val="9"/>
            <w:tabs>
              <w:tab w:val="right" w:leader="dot" w:pos="9026"/>
            </w:tabs>
          </w:pPr>
          <w:r>
            <w:t>9. Future Enhancements</w:t>
          </w:r>
          <w:r>
            <w:tab/>
          </w:r>
          <w:r>
            <w:t>8</w:t>
          </w:r>
        </w:p>
        <w:p>
          <w:pPr>
            <w:pStyle w:val="9"/>
            <w:tabs>
              <w:tab w:val="right" w:leader="dot" w:pos="9026"/>
            </w:tabs>
          </w:pPr>
          <w:r>
            <w:t>10. Conclusion</w:t>
          </w:r>
          <w:r>
            <w:tab/>
          </w:r>
          <w:r>
            <w:t>9</w:t>
          </w:r>
        </w:p>
        <w:p>
          <w:r>
            <w:fldChar w:fldCharType="end"/>
          </w:r>
        </w:p>
      </w:sdtContent>
    </w:sdt>
    <w:p>
      <w:pPr>
        <w:jc w:val="center"/>
      </w:pPr>
      <w:r>
        <w:rPr>
          <w:i/>
          <w:iCs/>
          <w:color w:val="999999"/>
          <w:sz w:val="18"/>
          <w:szCs w:val="18"/>
        </w:rPr>
        <w:t xml:space="preserve">Note: Right-click the Table of Contents and select 'Update Field' to refresh page numbers.</w:t>
      </w:r>
    </w:p>
    <w:p>
      <w:r>
        <w:br w:type="page"/>
      </w:r>
    </w:p>
    <w:p>
      <w:pPr>
        <w:pStyle w:val="Heading1"/>
      </w:pPr>
      <w:r>
        <w:t xml:space="preserve">1. Executive Summary</w:t>
      </w:r>
    </w:p>
    <w:p>
      <w:pPr>
        <w:spacing w:line="250"/>
      </w:pPr>
      <w:r>
        <w:rPr>
          <w:rFonts w:ascii="Times New Roman" w:cs="Times New Roman" w:eastAsia="Times New Roman" w:hAnsi="Times New Roman"/>
          <w:sz w:val="24"/>
          <w:szCs w:val="24"/>
        </w:rPr>
        <w:t xml:space="preserve">The Redeemer's University Health Centre (RUHC) Management System represents a comprehensive digital transformation initiative designed to modernize healthcare administration at Redeemer's University. This sophisticated web-based platform integrates patient management, clinical workflows, pharmacy operations, laboratory services, and administrative functions into a unified, efficient, and secure ecosystem. The system addresses critical challenges in healthcare delivery by streamlining processes, reducing administrative overhead, and improving the quality of patient care through data-driven decision making.</w:t>
      </w:r>
    </w:p>
    <w:p>
      <w:pPr>
        <w:spacing w:line="250"/>
      </w:pPr>
      <w:r>
        <w:rPr>
          <w:rFonts w:ascii="Times New Roman" w:cs="Times New Roman" w:eastAsia="Times New Roman" w:hAnsi="Times New Roman"/>
          <w:sz w:val="24"/>
          <w:szCs w:val="24"/>
        </w:rPr>
        <w:t xml:space="preserve">Built on modern technology stacks including Next.js 15, PostgreSQL (Neon), and TypeScript, the system delivers exceptional performance, reliability, and scalability. The architecture supports offline-first functionality, ensuring continuous operation even in environments with intermittent internet connectivity—a crucial feature for healthcare facilities in developing regions. Real-time synchronization capabilities ensure data consistency across all system components while maintaining robust security protocols to protect sensitive patient information.</w:t>
      </w:r>
    </w:p>
    <w:p>
      <w:pPr>
        <w:pStyle w:val="Heading1"/>
      </w:pPr>
      <w:r>
        <w:t xml:space="preserve">2. System Architecture</w:t>
      </w:r>
    </w:p>
    <w:p>
      <w:pPr>
        <w:pStyle w:val="Heading2"/>
      </w:pPr>
      <w:r>
        <w:t xml:space="preserve">2.1 Technology Stack</w:t>
      </w:r>
    </w:p>
    <w:p>
      <w:pPr>
        <w:spacing w:line="250"/>
      </w:pPr>
      <w:r>
        <w:rPr>
          <w:rFonts w:ascii="Times New Roman" w:cs="Times New Roman" w:eastAsia="Times New Roman" w:hAnsi="Times New Roman"/>
          <w:sz w:val="24"/>
          <w:szCs w:val="24"/>
        </w:rPr>
        <w:t xml:space="preserve">The RUHC system employs a carefully selected technology stack optimized for healthcare applications requiring high availability, security, and performance. The frontend leverages Next.js 15 with React, providing server-side rendering capabilities that enhance both performance and SEO. TypeScript ensures type safety throughout the codebase, reducing runtime errors and improving maintainability. The user interface components are built using shadcn/ui, offering a consistent, accessible, and professionally designed interface that healthcare workers can navigate intuitively.</w:t>
      </w:r>
    </w:p>
    <w:p>
      <w:pPr>
        <w:spacing w:line="250"/>
      </w:pPr>
      <w:r>
        <w:rPr>
          <w:rFonts w:ascii="Times New Roman" w:cs="Times New Roman" w:eastAsia="Times New Roman" w:hAnsi="Times New Roman"/>
          <w:sz w:val="24"/>
          <w:szCs w:val="24"/>
        </w:rPr>
        <w:t xml:space="preserve">The database layer utilizes PostgreSQL hosted on Neon's serverless platform, providing automatic scaling, point-in-time recovery, and branching capabilities for development and testing. Prisma ORM facilitates type-safe database queries while raw SQL capabilities remain available for complex operations requiring optimized performance. The connection pooling strategy ensures efficient resource utilization, preventing connection exhaustion that could impact system availability.</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6000"/>
      </w:tblGrid>
      <w:tr>
        <w:trPr>
          <w:tblHeader/>
        </w:trPr>
        <w:tc>
          <w:tcPr>
            <w:tcBorders>
              <w:top w:val="single" w:color="4A5548" w:sz="12"/>
              <w:left w:val="none"/>
              <w:bottom w:val="single" w:color="4A5548" w:sz="12"/>
              <w:right w:val="none"/>
            </w:tcBorders>
            <w:shd w:fill="E8EDE6" w:val="clear"/>
          </w:tcPr>
          <w:p>
            <w:pPr>
              <w:jc w:val="center"/>
            </w:pPr>
            <w:r>
              <w:rPr>
                <w:b/>
                <w:bCs/>
                <w:sz w:val="22"/>
                <w:szCs w:val="22"/>
              </w:rPr>
              <w:t xml:space="preserve">Component</w:t>
            </w:r>
          </w:p>
        </w:tc>
        <w:tc>
          <w:tcPr>
            <w:tcBorders>
              <w:top w:val="single" w:color="4A5548" w:sz="12"/>
              <w:left w:val="none"/>
              <w:bottom w:val="single" w:color="4A5548" w:sz="12"/>
              <w:right w:val="none"/>
            </w:tcBorders>
            <w:shd w:fill="E8EDE6" w:val="clear"/>
          </w:tcPr>
          <w:p>
            <w:pPr>
              <w:jc w:val="center"/>
            </w:pPr>
            <w:r>
              <w:rPr>
                <w:b/>
                <w:bCs/>
                <w:sz w:val="22"/>
                <w:szCs w:val="22"/>
              </w:rPr>
              <w:t xml:space="preserve">Technology</w:t>
            </w:r>
          </w:p>
        </w:tc>
      </w:tr>
      <w:tr>
        <w:tc>
          <w:tcPr>
            <w:tcBorders>
              <w:top w:val="single" w:color="4A5548" w:sz="12"/>
              <w:left w:val="none"/>
              <w:bottom w:val="single" w:color="4A5548" w:sz="12"/>
              <w:right w:val="none"/>
            </w:tcBorders>
          </w:tcPr>
          <w:p>
            <w:r>
              <w:rPr>
                <w:sz w:val="22"/>
                <w:szCs w:val="22"/>
              </w:rPr>
              <w:t xml:space="preserve">Frontend Framework</w:t>
            </w:r>
          </w:p>
        </w:tc>
        <w:tc>
          <w:tcPr>
            <w:tcBorders>
              <w:top w:val="single" w:color="4A5548" w:sz="12"/>
              <w:left w:val="none"/>
              <w:bottom w:val="single" w:color="4A5548" w:sz="12"/>
              <w:right w:val="none"/>
            </w:tcBorders>
          </w:tcPr>
          <w:p>
            <w:r>
              <w:rPr>
                <w:sz w:val="22"/>
                <w:szCs w:val="22"/>
              </w:rPr>
              <w:t xml:space="preserve">Next.js 15, React 18, TypeScript</w:t>
            </w:r>
          </w:p>
        </w:tc>
      </w:tr>
      <w:tr>
        <w:tc>
          <w:tcPr>
            <w:tcBorders>
              <w:top w:val="single" w:color="4A5548" w:sz="12"/>
              <w:left w:val="none"/>
              <w:bottom w:val="single" w:color="4A5548" w:sz="12"/>
              <w:right w:val="none"/>
            </w:tcBorders>
          </w:tcPr>
          <w:p>
            <w:r>
              <w:rPr>
                <w:sz w:val="22"/>
                <w:szCs w:val="22"/>
              </w:rPr>
              <w:t xml:space="preserve">UI Components</w:t>
            </w:r>
          </w:p>
        </w:tc>
        <w:tc>
          <w:tcPr>
            <w:tcBorders>
              <w:top w:val="single" w:color="4A5548" w:sz="12"/>
              <w:left w:val="none"/>
              <w:bottom w:val="single" w:color="4A5548" w:sz="12"/>
              <w:right w:val="none"/>
            </w:tcBorders>
          </w:tcPr>
          <w:p>
            <w:r>
              <w:rPr>
                <w:sz w:val="22"/>
                <w:szCs w:val="22"/>
              </w:rPr>
              <w:t xml:space="preserve">shadcn/ui, Tailwind CSS 4</w:t>
            </w:r>
          </w:p>
        </w:tc>
      </w:tr>
      <w:tr>
        <w:tc>
          <w:tcPr>
            <w:tcBorders>
              <w:top w:val="single" w:color="4A5548" w:sz="12"/>
              <w:left w:val="none"/>
              <w:bottom w:val="single" w:color="4A5548" w:sz="12"/>
              <w:right w:val="none"/>
            </w:tcBorders>
          </w:tcPr>
          <w:p>
            <w:r>
              <w:rPr>
                <w:sz w:val="22"/>
                <w:szCs w:val="22"/>
              </w:rPr>
              <w:t xml:space="preserve">Database</w:t>
            </w:r>
          </w:p>
        </w:tc>
        <w:tc>
          <w:tcPr>
            <w:tcBorders>
              <w:top w:val="single" w:color="4A5548" w:sz="12"/>
              <w:left w:val="none"/>
              <w:bottom w:val="single" w:color="4A5548" w:sz="12"/>
              <w:right w:val="none"/>
            </w:tcBorders>
          </w:tcPr>
          <w:p>
            <w:r>
              <w:rPr>
                <w:sz w:val="22"/>
                <w:szCs w:val="22"/>
              </w:rPr>
              <w:t xml:space="preserve">PostgreSQL (Neon Serverless)</w:t>
            </w:r>
          </w:p>
        </w:tc>
      </w:tr>
      <w:tr>
        <w:tc>
          <w:tcPr>
            <w:tcBorders>
              <w:top w:val="single" w:color="4A5548" w:sz="12"/>
              <w:left w:val="none"/>
              <w:bottom w:val="single" w:color="4A5548" w:sz="12"/>
              <w:right w:val="none"/>
            </w:tcBorders>
          </w:tcPr>
          <w:p>
            <w:r>
              <w:rPr>
                <w:sz w:val="22"/>
                <w:szCs w:val="22"/>
              </w:rPr>
              <w:t xml:space="preserve">ORM</w:t>
            </w:r>
          </w:p>
        </w:tc>
        <w:tc>
          <w:tcPr>
            <w:tcBorders>
              <w:top w:val="single" w:color="4A5548" w:sz="12"/>
              <w:left w:val="none"/>
              <w:bottom w:val="single" w:color="4A5548" w:sz="12"/>
              <w:right w:val="none"/>
            </w:tcBorders>
          </w:tcPr>
          <w:p>
            <w:r>
              <w:rPr>
                <w:sz w:val="22"/>
                <w:szCs w:val="22"/>
              </w:rPr>
              <w:t xml:space="preserve">Prisma with Raw SQL Support</w:t>
            </w:r>
          </w:p>
        </w:tc>
      </w:tr>
      <w:tr>
        <w:tc>
          <w:tcPr>
            <w:tcBorders>
              <w:top w:val="single" w:color="4A5548" w:sz="12"/>
              <w:left w:val="none"/>
              <w:bottom w:val="single" w:color="4A5548" w:sz="12"/>
              <w:right w:val="none"/>
            </w:tcBorders>
          </w:tcPr>
          <w:p>
            <w:r>
              <w:rPr>
                <w:sz w:val="22"/>
                <w:szCs w:val="22"/>
              </w:rPr>
              <w:t xml:space="preserve">Offline Storage</w:t>
            </w:r>
          </w:p>
        </w:tc>
        <w:tc>
          <w:tcPr>
            <w:tcBorders>
              <w:top w:val="single" w:color="4A5548" w:sz="12"/>
              <w:left w:val="none"/>
              <w:bottom w:val="single" w:color="4A5548" w:sz="12"/>
              <w:right w:val="none"/>
            </w:tcBorders>
          </w:tcPr>
          <w:p>
            <w:r>
              <w:rPr>
                <w:sz w:val="22"/>
                <w:szCs w:val="22"/>
              </w:rPr>
              <w:t xml:space="preserve">IndexedDB with Sync Manager</w:t>
            </w:r>
          </w:p>
        </w:tc>
      </w:tr>
      <w:tr>
        <w:tc>
          <w:tcPr>
            <w:tcBorders>
              <w:top w:val="single" w:color="4A5548" w:sz="12"/>
              <w:left w:val="none"/>
              <w:bottom w:val="single" w:color="4A5548" w:sz="12"/>
              <w:right w:val="none"/>
            </w:tcBorders>
          </w:tcPr>
          <w:p>
            <w:r>
              <w:rPr>
                <w:sz w:val="22"/>
                <w:szCs w:val="22"/>
              </w:rPr>
              <w:t xml:space="preserve">Authentication</w:t>
            </w:r>
          </w:p>
        </w:tc>
        <w:tc>
          <w:tcPr>
            <w:tcBorders>
              <w:top w:val="single" w:color="4A5548" w:sz="12"/>
              <w:left w:val="none"/>
              <w:bottom w:val="single" w:color="4A5548" w:sz="12"/>
              <w:right w:val="none"/>
            </w:tcBorders>
          </w:tcPr>
          <w:p>
            <w:r>
              <w:rPr>
                <w:sz w:val="22"/>
                <w:szCs w:val="22"/>
              </w:rPr>
              <w:t xml:space="preserve">Custom JWT with Role-Based Access</w:t>
            </w:r>
          </w:p>
        </w:tc>
      </w:tr>
      <w:tr>
        <w:tc>
          <w:tcPr>
            <w:tcBorders>
              <w:top w:val="single" w:color="4A5548" w:sz="12"/>
              <w:left w:val="none"/>
              <w:bottom w:val="single" w:color="4A5548" w:sz="12"/>
              <w:right w:val="none"/>
            </w:tcBorders>
          </w:tcPr>
          <w:p>
            <w:r>
              <w:rPr>
                <w:sz w:val="22"/>
                <w:szCs w:val="22"/>
              </w:rPr>
              <w:t xml:space="preserve">Real-time Updates</w:t>
            </w:r>
          </w:p>
        </w:tc>
        <w:tc>
          <w:tcPr>
            <w:tcBorders>
              <w:top w:val="single" w:color="4A5548" w:sz="12"/>
              <w:left w:val="none"/>
              <w:bottom w:val="single" w:color="4A5548" w:sz="12"/>
              <w:right w:val="none"/>
            </w:tcBorders>
          </w:tcPr>
          <w:p>
            <w:r>
              <w:rPr>
                <w:sz w:val="22"/>
                <w:szCs w:val="22"/>
              </w:rPr>
              <w:t xml:space="preserve">Server-Sent Events (SSE)</w:t>
            </w:r>
          </w:p>
        </w:tc>
      </w:tr>
    </w:tbl>
    <w:p>
      <w:pPr>
        <w:spacing w:before="100"/>
        <w:jc w:val="center"/>
      </w:pPr>
      <w:r>
        <w:rPr>
          <w:i/>
          <w:iCs/>
          <w:color w:val="4A5548"/>
          <w:sz w:val="18"/>
          <w:szCs w:val="18"/>
        </w:rPr>
        <w:t xml:space="preserve">Table 1: Core Technology Stack Components</w:t>
      </w:r>
    </w:p>
    <w:p>
      <w:pPr>
        <w:pStyle w:val="Heading2"/>
      </w:pPr>
      <w:r>
        <w:t xml:space="preserve">2.2 Database Connection Architecture</w:t>
      </w:r>
    </w:p>
    <w:p>
      <w:pPr>
        <w:spacing w:line="250"/>
      </w:pPr>
      <w:r>
        <w:rPr>
          <w:rFonts w:ascii="Times New Roman" w:cs="Times New Roman" w:eastAsia="Times New Roman" w:hAnsi="Times New Roman"/>
          <w:sz w:val="24"/>
          <w:szCs w:val="24"/>
        </w:rPr>
        <w:t xml:space="preserve">The database connection architecture implements a sophisticated pooling strategy designed to maximize connection efficiency on Neon's serverless platform. Unlike traditional approaches that create new connection pools per request, RUHC maintains a single shared pool instance across all API routes. This design prevents connection exhaustion—a critical issue when serverless platforms impose connection limits—while ensuring optimal resource utilization. The shared pool pattern, combined with careful management of connection lifecycle (avoiding premature pool.termination), has resolved historical data persistence issues that plagued earlier iterations of the system.</w:t>
      </w:r>
    </w:p>
    <w:p>
      <w:pPr>
        <w:pStyle w:val="Heading1"/>
      </w:pPr>
      <w:r>
        <w:t xml:space="preserve">3. User Roles and Permissions</w:t>
      </w:r>
    </w:p>
    <w:p>
      <w:pPr>
        <w:spacing w:line="250"/>
      </w:pPr>
      <w:r>
        <w:rPr>
          <w:rFonts w:ascii="Times New Roman" w:cs="Times New Roman" w:eastAsia="Times New Roman" w:hAnsi="Times New Roman"/>
          <w:sz w:val="24"/>
          <w:szCs w:val="24"/>
        </w:rPr>
        <w:t xml:space="preserve">The system implements a comprehensive role-based access control (RBAC) system that defines precise permissions for each user category. This multi-tiered approach ensures that healthcare workers access only the functionality relevant to their responsibilities, maintaining both security and workflow efficiency. Each role is configured with specific privileges governing patient data access, clinical documentation, administrative functions, and system configuration capabilities.</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000"/>
        <w:gridCol w:w="7000"/>
      </w:tblGrid>
      <w:tr>
        <w:trPr>
          <w:tblHeader/>
        </w:trPr>
        <w:tc>
          <w:tcPr>
            <w:tcBorders>
              <w:top w:val="single" w:color="4A5548" w:sz="12"/>
              <w:left w:val="none"/>
              <w:bottom w:val="single" w:color="4A5548" w:sz="12"/>
              <w:right w:val="none"/>
            </w:tcBorders>
            <w:shd w:fill="E8EDE6" w:val="clear"/>
          </w:tcPr>
          <w:p>
            <w:pPr>
              <w:jc w:val="center"/>
            </w:pPr>
            <w:r>
              <w:rPr>
                <w:b/>
                <w:bCs/>
                <w:sz w:val="22"/>
                <w:szCs w:val="22"/>
              </w:rPr>
              <w:t xml:space="preserve">Role</w:t>
            </w:r>
          </w:p>
        </w:tc>
        <w:tc>
          <w:tcPr>
            <w:tcBorders>
              <w:top w:val="single" w:color="4A5548" w:sz="12"/>
              <w:left w:val="none"/>
              <w:bottom w:val="single" w:color="4A5548" w:sz="12"/>
              <w:right w:val="none"/>
            </w:tcBorders>
            <w:shd w:fill="E8EDE6" w:val="clear"/>
          </w:tcPr>
          <w:p>
            <w:pPr>
              <w:jc w:val="center"/>
            </w:pPr>
            <w:r>
              <w:rPr>
                <w:b/>
                <w:bCs/>
                <w:sz w:val="22"/>
                <w:szCs w:val="22"/>
              </w:rPr>
              <w:t xml:space="preserve">Permissions and Responsibilities</w:t>
            </w:r>
          </w:p>
        </w:tc>
      </w:tr>
      <w:tr>
        <w:tc>
          <w:tcPr>
            <w:tcBorders>
              <w:top w:val="single" w:color="4A5548" w:sz="12"/>
              <w:left w:val="none"/>
              <w:bottom w:val="single" w:color="4A5548" w:sz="12"/>
              <w:right w:val="none"/>
            </w:tcBorders>
          </w:tcPr>
          <w:p>
            <w:r>
              <w:rPr>
                <w:b/>
                <w:bCs/>
                <w:sz w:val="22"/>
                <w:szCs w:val="22"/>
              </w:rPr>
              <w:t xml:space="preserve">SUPER_ADMIN</w:t>
            </w:r>
          </w:p>
        </w:tc>
        <w:tc>
          <w:tcPr>
            <w:tcBorders>
              <w:top w:val="single" w:color="4A5548" w:sz="12"/>
              <w:left w:val="none"/>
              <w:bottom w:val="single" w:color="4A5548" w:sz="12"/>
              <w:right w:val="none"/>
            </w:tcBorders>
          </w:tcPr>
          <w:p>
            <w:r>
              <w:rPr>
                <w:sz w:val="22"/>
                <w:szCs w:val="22"/>
              </w:rPr>
              <w:t xml:space="preserve">Full system access, user management, system configuration, audit log review, data backup/restore, all clinical functions</w:t>
            </w:r>
          </w:p>
        </w:tc>
      </w:tr>
      <w:tr>
        <w:tc>
          <w:tcPr>
            <w:tcBorders>
              <w:top w:val="single" w:color="4A5548" w:sz="12"/>
              <w:left w:val="none"/>
              <w:bottom w:val="single" w:color="4A5548" w:sz="12"/>
              <w:right w:val="none"/>
            </w:tcBorders>
          </w:tcPr>
          <w:p>
            <w:r>
              <w:rPr>
                <w:b/>
                <w:bCs/>
                <w:sz w:val="22"/>
                <w:szCs w:val="22"/>
              </w:rPr>
              <w:t xml:space="preserve">ADMIN</w:t>
            </w:r>
          </w:p>
        </w:tc>
        <w:tc>
          <w:tcPr>
            <w:tcBorders>
              <w:top w:val="single" w:color="4A5548" w:sz="12"/>
              <w:left w:val="none"/>
              <w:bottom w:val="single" w:color="4A5548" w:sz="12"/>
              <w:right w:val="none"/>
            </w:tcBorders>
          </w:tcPr>
          <w:p>
            <w:r>
              <w:rPr>
                <w:sz w:val="22"/>
                <w:szCs w:val="22"/>
              </w:rPr>
              <w:t xml:space="preserve">User approval, staff management, reports generation, payments oversight, pharmacy inventory, announcements</w:t>
            </w:r>
          </w:p>
        </w:tc>
      </w:tr>
      <w:tr>
        <w:tc>
          <w:tcPr>
            <w:tcBorders>
              <w:top w:val="single" w:color="4A5548" w:sz="12"/>
              <w:left w:val="none"/>
              <w:bottom w:val="single" w:color="4A5548" w:sz="12"/>
              <w:right w:val="none"/>
            </w:tcBorders>
          </w:tcPr>
          <w:p>
            <w:r>
              <w:rPr>
                <w:b/>
                <w:bCs/>
                <w:sz w:val="22"/>
                <w:szCs w:val="22"/>
              </w:rPr>
              <w:t xml:space="preserve">DOCTOR</w:t>
            </w:r>
          </w:p>
        </w:tc>
        <w:tc>
          <w:tcPr>
            <w:tcBorders>
              <w:top w:val="single" w:color="4A5548" w:sz="12"/>
              <w:left w:val="none"/>
              <w:bottom w:val="single" w:color="4A5548" w:sz="12"/>
              <w:right w:val="none"/>
            </w:tcBorders>
          </w:tcPr>
          <w:p>
            <w:r>
              <w:rPr>
                <w:sz w:val="22"/>
                <w:szCs w:val="22"/>
              </w:rPr>
              <w:t xml:space="preserve">Patient consultations, diagnosis, prescriptions, lab requests, medical certificates, referral letters, discharge summaries</w:t>
            </w:r>
          </w:p>
        </w:tc>
      </w:tr>
      <w:tr>
        <w:tc>
          <w:tcPr>
            <w:tcBorders>
              <w:top w:val="single" w:color="4A5548" w:sz="12"/>
              <w:left w:val="none"/>
              <w:bottom w:val="single" w:color="4A5548" w:sz="12"/>
              <w:right w:val="none"/>
            </w:tcBorders>
          </w:tcPr>
          <w:p>
            <w:r>
              <w:rPr>
                <w:b/>
                <w:bCs/>
                <w:sz w:val="22"/>
                <w:szCs w:val="22"/>
              </w:rPr>
              <w:t xml:space="preserve">NURSE</w:t>
            </w:r>
          </w:p>
        </w:tc>
        <w:tc>
          <w:tcPr>
            <w:tcBorders>
              <w:top w:val="single" w:color="4A5548" w:sz="12"/>
              <w:left w:val="none"/>
              <w:bottom w:val="single" w:color="4A5548" w:sz="12"/>
              <w:right w:val="none"/>
            </w:tcBorders>
          </w:tcPr>
          <w:p>
            <w:r>
              <w:rPr>
                <w:sz w:val="22"/>
                <w:szCs w:val="22"/>
              </w:rPr>
              <w:t xml:space="preserve">Patient registration, vitals recording, triage, file routing to doctors, task management, medication administration</w:t>
            </w:r>
          </w:p>
        </w:tc>
      </w:tr>
      <w:tr>
        <w:tc>
          <w:tcPr>
            <w:tcBorders>
              <w:top w:val="single" w:color="4A5548" w:sz="12"/>
              <w:left w:val="none"/>
              <w:bottom w:val="single" w:color="4A5548" w:sz="12"/>
              <w:right w:val="none"/>
            </w:tcBorders>
          </w:tcPr>
          <w:p>
            <w:r>
              <w:rPr>
                <w:b/>
                <w:bCs/>
                <w:sz w:val="22"/>
                <w:szCs w:val="22"/>
              </w:rPr>
              <w:t xml:space="preserve">PHARMACIST</w:t>
            </w:r>
          </w:p>
        </w:tc>
        <w:tc>
          <w:tcPr>
            <w:tcBorders>
              <w:top w:val="single" w:color="4A5548" w:sz="12"/>
              <w:left w:val="none"/>
              <w:bottom w:val="single" w:color="4A5548" w:sz="12"/>
              <w:right w:val="none"/>
            </w:tcBorders>
          </w:tcPr>
          <w:p>
            <w:r>
              <w:rPr>
                <w:sz w:val="22"/>
                <w:szCs w:val="22"/>
              </w:rPr>
              <w:t xml:space="preserve">Drug inventory management, prescription dispensing, stock monitoring, drug interaction alerts, dispensing records</w:t>
            </w:r>
          </w:p>
        </w:tc>
      </w:tr>
      <w:tr>
        <w:tc>
          <w:tcPr>
            <w:tcBorders>
              <w:top w:val="single" w:color="4A5548" w:sz="12"/>
              <w:left w:val="none"/>
              <w:bottom w:val="single" w:color="4A5548" w:sz="12"/>
              <w:right w:val="none"/>
            </w:tcBorders>
          </w:tcPr>
          <w:p>
            <w:r>
              <w:rPr>
                <w:b/>
                <w:bCs/>
                <w:sz w:val="22"/>
                <w:szCs w:val="22"/>
              </w:rPr>
              <w:t xml:space="preserve">LAB_TECHNICIAN</w:t>
            </w:r>
          </w:p>
        </w:tc>
        <w:tc>
          <w:tcPr>
            <w:tcBorders>
              <w:top w:val="single" w:color="4A5548" w:sz="12"/>
              <w:left w:val="none"/>
              <w:bottom w:val="single" w:color="4A5548" w:sz="12"/>
              <w:right w:val="none"/>
            </w:tcBorders>
          </w:tcPr>
          <w:p>
            <w:r>
              <w:rPr>
                <w:sz w:val="22"/>
                <w:szCs w:val="22"/>
              </w:rPr>
              <w:t xml:space="preserve">Lab test management, result entry, specimen tracking, test pricing, result reporting to doctors</w:t>
            </w:r>
          </w:p>
        </w:tc>
      </w:tr>
      <w:tr>
        <w:tc>
          <w:tcPr>
            <w:tcBorders>
              <w:top w:val="single" w:color="4A5548" w:sz="12"/>
              <w:left w:val="none"/>
              <w:bottom w:val="single" w:color="4A5548" w:sz="12"/>
              <w:right w:val="none"/>
            </w:tcBorders>
          </w:tcPr>
          <w:p>
            <w:r>
              <w:rPr>
                <w:b/>
                <w:bCs/>
                <w:sz w:val="22"/>
                <w:szCs w:val="22"/>
              </w:rPr>
              <w:t xml:space="preserve">MATRON</w:t>
            </w:r>
          </w:p>
        </w:tc>
        <w:tc>
          <w:tcPr>
            <w:tcBorders>
              <w:top w:val="single" w:color="4A5548" w:sz="12"/>
              <w:left w:val="none"/>
              <w:bottom w:val="single" w:color="4A5548" w:sz="12"/>
              <w:right w:val="none"/>
            </w:tcBorders>
          </w:tcPr>
          <w:p>
            <w:r>
              <w:rPr>
                <w:sz w:val="22"/>
                <w:szCs w:val="22"/>
              </w:rPr>
              <w:t xml:space="preserve">Nursing supervision, duty roster management, ward oversight, staff coordination, task assignment</w:t>
            </w:r>
          </w:p>
        </w:tc>
      </w:tr>
      <w:tr>
        <w:tc>
          <w:tcPr>
            <w:tcBorders>
              <w:top w:val="single" w:color="4A5548" w:sz="12"/>
              <w:left w:val="none"/>
              <w:bottom w:val="single" w:color="4A5548" w:sz="12"/>
              <w:right w:val="none"/>
            </w:tcBorders>
          </w:tcPr>
          <w:p>
            <w:r>
              <w:rPr>
                <w:b/>
                <w:bCs/>
                <w:sz w:val="22"/>
                <w:szCs w:val="22"/>
              </w:rPr>
              <w:t xml:space="preserve">RECORDS_OFFICER</w:t>
            </w:r>
          </w:p>
        </w:tc>
        <w:tc>
          <w:tcPr>
            <w:tcBorders>
              <w:top w:val="single" w:color="4A5548" w:sz="12"/>
              <w:left w:val="none"/>
              <w:bottom w:val="single" w:color="4A5548" w:sz="12"/>
              <w:right w:val="none"/>
            </w:tcBorders>
          </w:tcPr>
          <w:p>
            <w:r>
              <w:rPr>
                <w:sz w:val="22"/>
                <w:szCs w:val="22"/>
              </w:rPr>
              <w:t xml:space="preserve">Patient record management, file retrieval, document archiving, medical records requests</w:t>
            </w:r>
          </w:p>
        </w:tc>
      </w:tr>
    </w:tbl>
    <w:p>
      <w:pPr>
        <w:spacing w:before="100"/>
        <w:jc w:val="center"/>
      </w:pPr>
      <w:r>
        <w:rPr>
          <w:i/>
          <w:iCs/>
          <w:color w:val="4A5548"/>
          <w:sz w:val="18"/>
          <w:szCs w:val="18"/>
        </w:rPr>
        <w:t xml:space="preserve">Table 2: User Roles and Their Associated Permissions</w:t>
      </w:r>
    </w:p>
    <w:p>
      <w:pPr>
        <w:pStyle w:val="Heading1"/>
      </w:pPr>
      <w:r>
        <w:t xml:space="preserve">4. Core Features and Modules</w:t>
      </w:r>
    </w:p>
    <w:p>
      <w:pPr>
        <w:pStyle w:val="Heading2"/>
      </w:pPr>
      <w:r>
        <w:t xml:space="preserve">4.1 Patient Management</w:t>
      </w:r>
    </w:p>
    <w:p>
      <w:pPr>
        <w:spacing w:line="250"/>
      </w:pPr>
      <w:r>
        <w:rPr>
          <w:rFonts w:ascii="Times New Roman" w:cs="Times New Roman" w:eastAsia="Times New Roman" w:hAnsi="Times New Roman"/>
          <w:sz w:val="24"/>
          <w:szCs w:val="24"/>
        </w:rPr>
        <w:t xml:space="preserve">The patient management module provides comprehensive functionality for the entire patient lifecycle, from initial registration through ongoing care management. The system automatically generates unique hospital numbers (HN######) and RUHC codes (RUHC-######) for each patient, ensuring proper identification across all system interactions. Patient records capture demographic information, medical history, insurance details, emergency contacts, and next-of-kin information. The system supports multiple patient types including students, academic staff, non-academic staff, and external patients, each with appropriate classification and care pathways.</w:t>
      </w:r>
    </w:p>
    <w:p>
      <w:pPr>
        <w:spacing w:line="250"/>
      </w:pPr>
      <w:r>
        <w:rPr>
          <w:rFonts w:ascii="Times New Roman" w:cs="Times New Roman" w:eastAsia="Times New Roman" w:hAnsi="Times New Roman"/>
          <w:sz w:val="24"/>
          <w:szCs w:val="24"/>
        </w:rPr>
        <w:t xml:space="preserve">Advanced features include QR code generation for patient identification, enabling rapid access to patient records during clinical encounters. The import functionality supports bulk patient registration via CSV upload, streamlining data migration and mass enrollment processes. A comprehensive audit trail tracks all access to patient records, maintaining HIPAA-compliant documentation of who accessed what information and when.</w:t>
      </w:r>
    </w:p>
    <w:p>
      <w:pPr>
        <w:pStyle w:val="Heading2"/>
      </w:pPr>
      <w:r>
        <w:t xml:space="preserve">4.2 Clinical Workflow System</w:t>
      </w:r>
    </w:p>
    <w:p>
      <w:pPr>
        <w:spacing w:line="250"/>
      </w:pPr>
      <w:r>
        <w:rPr>
          <w:rFonts w:ascii="Times New Roman" w:cs="Times New Roman" w:eastAsia="Times New Roman" w:hAnsi="Times New Roman"/>
          <w:sz w:val="24"/>
          <w:szCs w:val="24"/>
        </w:rPr>
        <w:t xml:space="preserve">The clinical workflow system orchestrates the complex interactions between different healthcare roles, ensuring smooth patient flow from registration through treatment and discharge. The consultation module supports comprehensive clinical documentation including chief complaints, history of present illness, vital signs, examination findings, differential diagnoses, treatment plans, and prescriptions. Doctors can request laboratory investigations and imaging studies directly from the consultation interface, with results automatically linked to patient records.</w:t>
      </w:r>
    </w:p>
    <w:p>
      <w:pPr>
        <w:spacing w:line="250"/>
      </w:pPr>
      <w:r>
        <w:rPr>
          <w:rFonts w:ascii="Times New Roman" w:cs="Times New Roman" w:eastAsia="Times New Roman" w:hAnsi="Times New Roman"/>
          <w:sz w:val="24"/>
          <w:szCs w:val="24"/>
        </w:rPr>
        <w:t xml:space="preserve">The routing system enables seamless file transfer between departments. Nurses can route patients to doctors after initial triage, doctors can send prescriptions to pharmacy or requests to laboratory, and results flow back to requesting physicians automatically. Real-time notifications alert relevant staff when files arrive in their queue, reducing wait times and improving patient throughput. The system tracks the complete journey of each patient file, providing visibility into current location and pending actions.</w:t>
      </w:r>
    </w:p>
    <w:p>
      <w:pPr>
        <w:pStyle w:val="Heading2"/>
      </w:pPr>
      <w:r>
        <w:t xml:space="preserve">4.3 Pharmacy Management</w:t>
      </w:r>
    </w:p>
    <w:p>
      <w:pPr>
        <w:spacing w:line="250"/>
      </w:pPr>
      <w:r>
        <w:rPr>
          <w:rFonts w:ascii="Times New Roman" w:cs="Times New Roman" w:eastAsia="Times New Roman" w:hAnsi="Times New Roman"/>
          <w:sz w:val="24"/>
          <w:szCs w:val="24"/>
        </w:rPr>
        <w:t xml:space="preserve">The pharmacy module delivers comprehensive medication management capabilities essential for safe and efficient pharmaceutical services. The drug inventory system tracks stock levels in real-time, generates low-stock alerts when quantities fall below reorder thresholds, and maintains complete dispensing history for each medication. Drug interaction checking automatically alerts pharmacists when prescribed medications may interact adversely with other drugs in the patient's regimen or with documented allergies.</w:t>
      </w:r>
    </w:p>
    <w:p>
      <w:pPr>
        <w:spacing w:line="250"/>
      </w:pPr>
      <w:r>
        <w:rPr>
          <w:rFonts w:ascii="Times New Roman" w:cs="Times New Roman" w:eastAsia="Times New Roman" w:hAnsi="Times New Roman"/>
          <w:sz w:val="24"/>
          <w:szCs w:val="24"/>
        </w:rPr>
        <w:t xml:space="preserve">Prescription processing integrates directly with the clinical workflow, enabling pharmacists to view prescription details, verify dosing, check for interactions, and record dispensing. The system maintains audit trails for all dispensing activities, supporting regulatory compliance and enabling retrospective analysis of medication utilization patterns. Stock adjustment capabilities allow pharmacists to record receipts, losses, and adjustments while maintaining complete inventory transaction history.</w:t>
      </w:r>
    </w:p>
    <w:p>
      <w:pPr>
        <w:pStyle w:val="Heading2"/>
      </w:pPr>
      <w:r>
        <w:t xml:space="preserve">4.4 Laboratory Services</w:t>
      </w:r>
    </w:p>
    <w:p>
      <w:pPr>
        <w:spacing w:line="250"/>
      </w:pPr>
      <w:r>
        <w:rPr>
          <w:rFonts w:ascii="Times New Roman" w:cs="Times New Roman" w:eastAsia="Times New Roman" w:hAnsi="Times New Roman"/>
          <w:sz w:val="24"/>
          <w:szCs w:val="24"/>
        </w:rPr>
        <w:t xml:space="preserve">The laboratory module streamlines the entire diagnostic testing workflow from test ordering through result reporting. Doctors can order individual tests or panels directly from consultation notes, with requests automatically appearing in the laboratory worklist. Lab technicians can view pending requests, record specimen collection, enter results, and mark tests as completed. Results become immediately available to the ordering physician, with critical values flagged for urgent attention.</w:t>
      </w:r>
    </w:p>
    <w:p>
      <w:pPr>
        <w:spacing w:line="250"/>
      </w:pPr>
      <w:r>
        <w:rPr>
          <w:rFonts w:ascii="Times New Roman" w:cs="Times New Roman" w:eastAsia="Times New Roman" w:hAnsi="Times New Roman"/>
          <w:sz w:val="24"/>
          <w:szCs w:val="24"/>
        </w:rPr>
        <w:t xml:space="preserve">The test catalog maintains pricing information, turnaround times, and preparation instructions for each test. Historical results are preserved in patient records, enabling trend analysis and comparison over time. The system supports multiple specimen types and test categories, accommodating the full range of diagnostic services offered by the health centre.</w:t>
      </w:r>
    </w:p>
    <w:p>
      <w:pPr>
        <w:pStyle w:val="Heading2"/>
      </w:pPr>
      <w:r>
        <w:t xml:space="preserve">4.5 Administrative Functions</w:t>
      </w:r>
    </w:p>
    <w:p>
      <w:pPr>
        <w:spacing w:line="250"/>
      </w:pPr>
      <w:r>
        <w:rPr>
          <w:rFonts w:ascii="Times New Roman" w:cs="Times New Roman" w:eastAsia="Times New Roman" w:hAnsi="Times New Roman"/>
          <w:sz w:val="24"/>
          <w:szCs w:val="24"/>
        </w:rPr>
        <w:t xml:space="preserve">Administrative modules provide the operational backbone supporting efficient health centre management. The staff management system handles user account creation, role assignment, approval workflows for new accounts, and password administration. Duty roster functionality enables scheduling of staff across different shifts and units, with attendance tracking integrated to verify staff presence during assigned shifts. The announcements system facilitates broadcast communications to all staff or specific role groups.</w:t>
      </w:r>
    </w:p>
    <w:p>
      <w:pPr>
        <w:spacing w:line="250"/>
      </w:pPr>
      <w:r>
        <w:rPr>
          <w:rFonts w:ascii="Times New Roman" w:cs="Times New Roman" w:eastAsia="Times New Roman" w:hAnsi="Times New Roman"/>
          <w:sz w:val="24"/>
          <w:szCs w:val="24"/>
        </w:rPr>
        <w:t xml:space="preserve">Financial management includes payment recording for services rendered, expense tracking, and wallet functionality for patient accounts. The reporting module generates comprehensive statistics on patient visits, diagnoses, treatments, and revenue. Reports can be exported in multiple formats supporting both internal analysis and regulatory reporting requirements. The audit log system maintains complete records of all system activities, supporting accountability and enabling investigation of any security incidents.</w:t>
      </w:r>
    </w:p>
    <w:p>
      <w:pPr>
        <w:pStyle w:val="Heading1"/>
      </w:pPr>
      <w:r>
        <w:t xml:space="preserve">5. Security Implementation</w:t>
      </w:r>
    </w:p>
    <w:p>
      <w:pPr>
        <w:pStyle w:val="Heading2"/>
      </w:pPr>
      <w:r>
        <w:t xml:space="preserve">5.1 Authentication and Authorization</w:t>
      </w:r>
    </w:p>
    <w:p>
      <w:pPr>
        <w:spacing w:line="250"/>
      </w:pPr>
      <w:r>
        <w:rPr>
          <w:rFonts w:ascii="Times New Roman" w:cs="Times New Roman" w:eastAsia="Times New Roman" w:hAnsi="Times New Roman"/>
          <w:sz w:val="24"/>
          <w:szCs w:val="24"/>
        </w:rPr>
        <w:t xml:space="preserve">The authentication system implements multiple layers of security to protect against unauthorized access. Password requirements enforce minimum length, complexity rules, and expiration policies. First-login password change requirements ensure that initial passwords distributed by administrators are immediately replaced. Rate limiting prevents brute-force attacks by temporarily locking accounts after multiple failed login attempts. Session timeout functionality automatically logs out inactive users, with configurable timeout periods based on security requirements.</w:t>
      </w:r>
    </w:p>
    <w:p>
      <w:pPr>
        <w:spacing w:line="250"/>
      </w:pPr>
      <w:r>
        <w:rPr>
          <w:rFonts w:ascii="Times New Roman" w:cs="Times New Roman" w:eastAsia="Times New Roman" w:hAnsi="Times New Roman"/>
          <w:sz w:val="24"/>
          <w:szCs w:val="24"/>
        </w:rPr>
        <w:t xml:space="preserve">Two-factor authentication (2FA) provides an optional additional security layer for accounts with elevated privileges. The system supports both time-based one-time passwords (TOTP) and backup codes for account recovery. Remember-me functionality uses secure tokens with configurable expiration, balancing convenience with security for frequently used devices.</w:t>
      </w:r>
    </w:p>
    <w:p>
      <w:pPr>
        <w:pStyle w:val="Heading2"/>
      </w:pPr>
      <w:r>
        <w:t xml:space="preserve">5.2 Data Protection</w:t>
      </w:r>
    </w:p>
    <w:p>
      <w:pPr>
        <w:spacing w:line="250"/>
      </w:pPr>
      <w:r>
        <w:rPr>
          <w:rFonts w:ascii="Times New Roman" w:cs="Times New Roman" w:eastAsia="Times New Roman" w:hAnsi="Times New Roman"/>
          <w:sz w:val="24"/>
          <w:szCs w:val="24"/>
        </w:rPr>
        <w:t xml:space="preserve">Data protection measures ensure the confidentiality and integrity of sensitive patient information. All database connections utilize SSL/TLS encryption in transit, while the Neon platform provides encryption at rest for stored data. The system maintains comprehensive audit logs documenting all access to patient records, modifications to clinical data, and administrative actions. These logs support compliance with healthcare data protection regulations and enable investigation of any unauthorized access attempts.</w:t>
      </w:r>
    </w:p>
    <w:p>
      <w:pPr>
        <w:spacing w:line="250"/>
      </w:pPr>
      <w:r>
        <w:rPr>
          <w:rFonts w:ascii="Times New Roman" w:cs="Times New Roman" w:eastAsia="Times New Roman" w:hAnsi="Times New Roman"/>
          <w:sz w:val="24"/>
          <w:szCs w:val="24"/>
        </w:rPr>
        <w:t xml:space="preserve">Access controls enforce the principle of least privilege, ensuring users can access only the data and functions necessary for their role. Patient record access is logged with user identification, timestamp, and access type (view, edit, delete). The break-glass functionality allows authorized personnel to access restricted records in emergency situations while generating alerts and audit trail entries.</w:t>
      </w:r>
    </w:p>
    <w:p>
      <w:pPr>
        <w:pStyle w:val="Heading1"/>
      </w:pPr>
      <w:r>
        <w:t xml:space="preserve">6. Offline-First Architecture</w:t>
      </w:r>
    </w:p>
    <w:p>
      <w:pPr>
        <w:spacing w:line="250"/>
      </w:pPr>
      <w:r>
        <w:rPr>
          <w:rFonts w:ascii="Times New Roman" w:cs="Times New Roman" w:eastAsia="Times New Roman" w:hAnsi="Times New Roman"/>
          <w:sz w:val="24"/>
          <w:szCs w:val="24"/>
        </w:rPr>
        <w:t xml:space="preserve">The offline-first architecture ensures continuous system operation regardless of network connectivity status. IndexedDB provides local storage for patient data, consultations, prescriptions, and other critical information, enabling staff to continue working during internet outages. The synchronization manager automatically queues modifications made while offline and synchronizes them with the central database when connectivity is restored. Conflict resolution strategies handle situations where the same record is modified both locally and remotely.</w:t>
      </w:r>
    </w:p>
    <w:p>
      <w:pPr>
        <w:spacing w:line="250"/>
      </w:pPr>
      <w:r>
        <w:rPr>
          <w:rFonts w:ascii="Times New Roman" w:cs="Times New Roman" w:eastAsia="Times New Roman" w:hAnsi="Times New Roman"/>
          <w:sz w:val="24"/>
          <w:szCs w:val="24"/>
        </w:rPr>
        <w:t xml:space="preserve">Real-time status indicators inform users of their current connectivity state and pending synchronization operations. The system prioritizes critical data for synchronization first, ensuring that patient safety information such as allergies and current medications is always current. Background synchronization operates continuously when online, minimizing any delay between local modifications and database persistence. The architecture has proven essential in environments with unreliable internet connectivity, ensuring healthcare delivery continues uninterrupted.</w:t>
      </w:r>
    </w:p>
    <w:p>
      <w:pPr>
        <w:pStyle w:val="Heading1"/>
      </w:pPr>
      <w:r>
        <w:t xml:space="preserve">7. Database Schema Overview</w:t>
      </w:r>
    </w:p>
    <w:p>
      <w:pPr>
        <w:spacing w:line="250"/>
      </w:pPr>
      <w:r>
        <w:rPr>
          <w:rFonts w:ascii="Times New Roman" w:cs="Times New Roman" w:eastAsia="Times New Roman" w:hAnsi="Times New Roman"/>
          <w:sz w:val="24"/>
          <w:szCs w:val="24"/>
        </w:rPr>
        <w:t xml:space="preserve">The database schema encompasses over 50 interconnected tables designed to capture the full spectrum of health centre operations. Core tables include patients, users, consultations, prescriptions, drugs, lab_tests, and attendance, each with appropriate relationships and constraints. JSON columns store complex nested data such as prescription items, investigation panels, and patient demographics while maintaining query flexibility. The schema implements soft delete patterns for critical records, preserving data for audit purposes while hiding deleted entries from normal queries.</w:t>
      </w:r>
    </w:p>
    <w:p>
      <w:pPr>
        <w:spacing w:line="250"/>
      </w:pPr>
      <w:r>
        <w:rPr>
          <w:rFonts w:ascii="Times New Roman" w:cs="Times New Roman" w:eastAsia="Times New Roman" w:hAnsi="Times New Roman"/>
          <w:sz w:val="24"/>
          <w:szCs w:val="24"/>
        </w:rPr>
        <w:t xml:space="preserve">Temporal fields track record creation, modification, and soft deletion timestamps, enabling complete audit trails. Indexes on frequently queried columns ensure performant operation even as data volumes grow. The schema supports the full range of clinical documentation including medical certificates, referral letters, discharge summaries, and vital signs records. Financial tables track payments, expenses, insurance claims, and patient wallet balances with appropriate precision for monetary calculations.</w:t>
      </w:r>
    </w:p>
    <w:p>
      <w:pPr>
        <w:pStyle w:val="Heading1"/>
      </w:pPr>
      <w:r>
        <w:t xml:space="preserve">8. System Access Credentials</w:t>
      </w:r>
    </w:p>
    <w:p>
      <w:pPr>
        <w:spacing w:line="250"/>
      </w:pPr>
      <w:r>
        <w:rPr>
          <w:rFonts w:ascii="Times New Roman" w:cs="Times New Roman" w:eastAsia="Times New Roman" w:hAnsi="Times New Roman"/>
          <w:sz w:val="24"/>
          <w:szCs w:val="24"/>
        </w:rPr>
        <w:t xml:space="preserve">The following table provides the default login credentials for each user role. These credentials are pre-configured for testing and demonstration purposes. In production environments, administrators should ensure all default passwords are changed and strong password policies are enforced.</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3500"/>
        <w:gridCol w:w="3000"/>
      </w:tblGrid>
      <w:tr>
        <w:trPr>
          <w:tblHeader/>
        </w:trPr>
        <w:tc>
          <w:tcPr>
            <w:tcBorders>
              <w:top w:val="single" w:color="4A5548" w:sz="12"/>
              <w:left w:val="none"/>
              <w:bottom w:val="single" w:color="4A5548" w:sz="12"/>
              <w:right w:val="none"/>
            </w:tcBorders>
            <w:shd w:fill="E8EDE6" w:val="clear"/>
          </w:tcPr>
          <w:p>
            <w:pPr>
              <w:jc w:val="center"/>
            </w:pPr>
            <w:r>
              <w:rPr>
                <w:b/>
                <w:bCs/>
                <w:sz w:val="22"/>
                <w:szCs w:val="22"/>
              </w:rPr>
              <w:t xml:space="preserve">Role</w:t>
            </w:r>
          </w:p>
        </w:tc>
        <w:tc>
          <w:tcPr>
            <w:tcBorders>
              <w:top w:val="single" w:color="4A5548" w:sz="12"/>
              <w:left w:val="none"/>
              <w:bottom w:val="single" w:color="4A5548" w:sz="12"/>
              <w:right w:val="none"/>
            </w:tcBorders>
            <w:shd w:fill="E8EDE6" w:val="clear"/>
          </w:tcPr>
          <w:p>
            <w:pPr>
              <w:jc w:val="center"/>
            </w:pPr>
            <w:r>
              <w:rPr>
                <w:b/>
                <w:bCs/>
                <w:sz w:val="22"/>
                <w:szCs w:val="22"/>
              </w:rPr>
              <w:t xml:space="preserve">Email</w:t>
            </w:r>
          </w:p>
        </w:tc>
        <w:tc>
          <w:tcPr>
            <w:tcBorders>
              <w:top w:val="single" w:color="4A5548" w:sz="12"/>
              <w:left w:val="none"/>
              <w:bottom w:val="single" w:color="4A5548" w:sz="12"/>
              <w:right w:val="none"/>
            </w:tcBorders>
            <w:shd w:fill="E8EDE6" w:val="clear"/>
          </w:tcPr>
          <w:p>
            <w:pPr>
              <w:jc w:val="center"/>
            </w:pPr>
            <w:r>
              <w:rPr>
                <w:b/>
                <w:bCs/>
                <w:sz w:val="22"/>
                <w:szCs w:val="22"/>
              </w:rPr>
              <w:t xml:space="preserve">Password</w:t>
            </w:r>
          </w:p>
        </w:tc>
      </w:tr>
      <w:tr>
        <w:tc>
          <w:tcPr>
            <w:tcBorders>
              <w:top w:val="single" w:color="4A5548" w:sz="12"/>
              <w:left w:val="none"/>
              <w:bottom w:val="single" w:color="4A5548" w:sz="12"/>
              <w:right w:val="none"/>
            </w:tcBorders>
          </w:tcPr>
          <w:p>
            <w:r>
              <w:rPr>
                <w:sz w:val="22"/>
                <w:szCs w:val="22"/>
              </w:rPr>
              <w:t xml:space="preserve">Super Admin</w:t>
            </w:r>
          </w:p>
        </w:tc>
        <w:tc>
          <w:tcPr>
            <w:tcBorders>
              <w:top w:val="single" w:color="4A5548" w:sz="12"/>
              <w:left w:val="none"/>
              <w:bottom w:val="single" w:color="4A5548" w:sz="12"/>
              <w:right w:val="none"/>
            </w:tcBorders>
          </w:tcPr>
          <w:p>
            <w:r>
              <w:rPr>
                <w:sz w:val="22"/>
                <w:szCs w:val="22"/>
              </w:rPr>
              <w:t xml:space="preserve">wabithetechnurse@ruhc</w:t>
            </w:r>
          </w:p>
        </w:tc>
        <w:tc>
          <w:tcPr>
            <w:tcBorders>
              <w:top w:val="single" w:color="4A5548" w:sz="12"/>
              <w:left w:val="none"/>
              <w:bottom w:val="single" w:color="4A5548" w:sz="12"/>
              <w:right w:val="none"/>
            </w:tcBorders>
          </w:tcPr>
          <w:p>
            <w:r>
              <w:rPr>
                <w:sz w:val="22"/>
                <w:szCs w:val="22"/>
              </w:rPr>
              <w:t xml:space="preserve">#Abolaji7977</w:t>
            </w:r>
          </w:p>
        </w:tc>
      </w:tr>
      <w:tr>
        <w:tc>
          <w:tcPr>
            <w:tcBorders>
              <w:top w:val="single" w:color="4A5548" w:sz="12"/>
              <w:left w:val="none"/>
              <w:bottom w:val="single" w:color="4A5548" w:sz="12"/>
              <w:right w:val="none"/>
            </w:tcBorders>
          </w:tcPr>
          <w:p>
            <w:r>
              <w:rPr>
                <w:sz w:val="22"/>
                <w:szCs w:val="22"/>
              </w:rPr>
              <w:t xml:space="preserve">Admin</w:t>
            </w:r>
          </w:p>
        </w:tc>
        <w:tc>
          <w:tcPr>
            <w:tcBorders>
              <w:top w:val="single" w:color="4A5548" w:sz="12"/>
              <w:left w:val="none"/>
              <w:bottom w:val="single" w:color="4A5548" w:sz="12"/>
              <w:right w:val="none"/>
            </w:tcBorders>
          </w:tcPr>
          <w:p>
            <w:r>
              <w:rPr>
                <w:sz w:val="22"/>
                <w:szCs w:val="22"/>
              </w:rPr>
              <w:t xml:space="preserve">admin@ruhc</w:t>
            </w:r>
          </w:p>
        </w:tc>
        <w:tc>
          <w:tcPr>
            <w:tcBorders>
              <w:top w:val="single" w:color="4A5548" w:sz="12"/>
              <w:left w:val="none"/>
              <w:bottom w:val="single" w:color="4A5548" w:sz="12"/>
              <w:right w:val="none"/>
            </w:tcBorders>
          </w:tcPr>
          <w:p>
            <w:r>
              <w:rPr>
                <w:sz w:val="22"/>
                <w:szCs w:val="22"/>
              </w:rPr>
              <w:t xml:space="preserve">Admin@123</w:t>
            </w:r>
          </w:p>
        </w:tc>
      </w:tr>
      <w:tr>
        <w:tc>
          <w:tcPr>
            <w:tcBorders>
              <w:top w:val="single" w:color="4A5548" w:sz="12"/>
              <w:left w:val="none"/>
              <w:bottom w:val="single" w:color="4A5548" w:sz="12"/>
              <w:right w:val="none"/>
            </w:tcBorders>
          </w:tcPr>
          <w:p>
            <w:r>
              <w:rPr>
                <w:sz w:val="22"/>
                <w:szCs w:val="22"/>
              </w:rPr>
              <w:t xml:space="preserve">Doctor</w:t>
            </w:r>
          </w:p>
        </w:tc>
        <w:tc>
          <w:tcPr>
            <w:tcBorders>
              <w:top w:val="single" w:color="4A5548" w:sz="12"/>
              <w:left w:val="none"/>
              <w:bottom w:val="single" w:color="4A5548" w:sz="12"/>
              <w:right w:val="none"/>
            </w:tcBorders>
          </w:tcPr>
          <w:p>
            <w:r>
              <w:rPr>
                <w:sz w:val="22"/>
                <w:szCs w:val="22"/>
              </w:rPr>
              <w:t xml:space="preserve">doctor@ruhc</w:t>
            </w:r>
          </w:p>
        </w:tc>
        <w:tc>
          <w:tcPr>
            <w:tcBorders>
              <w:top w:val="single" w:color="4A5548" w:sz="12"/>
              <w:left w:val="none"/>
              <w:bottom w:val="single" w:color="4A5548" w:sz="12"/>
              <w:right w:val="none"/>
            </w:tcBorders>
          </w:tcPr>
          <w:p>
            <w:r>
              <w:rPr>
                <w:sz w:val="22"/>
                <w:szCs w:val="22"/>
              </w:rPr>
              <w:t xml:space="preserve">Doctor@123</w:t>
            </w:r>
          </w:p>
        </w:tc>
      </w:tr>
      <w:tr>
        <w:tc>
          <w:tcPr>
            <w:tcBorders>
              <w:top w:val="single" w:color="4A5548" w:sz="12"/>
              <w:left w:val="none"/>
              <w:bottom w:val="single" w:color="4A5548" w:sz="12"/>
              <w:right w:val="none"/>
            </w:tcBorders>
          </w:tcPr>
          <w:p>
            <w:r>
              <w:rPr>
                <w:sz w:val="22"/>
                <w:szCs w:val="22"/>
              </w:rPr>
              <w:t xml:space="preserve">Nurse</w:t>
            </w:r>
          </w:p>
        </w:tc>
        <w:tc>
          <w:tcPr>
            <w:tcBorders>
              <w:top w:val="single" w:color="4A5548" w:sz="12"/>
              <w:left w:val="none"/>
              <w:bottom w:val="single" w:color="4A5548" w:sz="12"/>
              <w:right w:val="none"/>
            </w:tcBorders>
          </w:tcPr>
          <w:p>
            <w:r>
              <w:rPr>
                <w:sz w:val="22"/>
                <w:szCs w:val="22"/>
              </w:rPr>
              <w:t xml:space="preserve">nurse@ruhc</w:t>
            </w:r>
          </w:p>
        </w:tc>
        <w:tc>
          <w:tcPr>
            <w:tcBorders>
              <w:top w:val="single" w:color="4A5548" w:sz="12"/>
              <w:left w:val="none"/>
              <w:bottom w:val="single" w:color="4A5548" w:sz="12"/>
              <w:right w:val="none"/>
            </w:tcBorders>
          </w:tcPr>
          <w:p>
            <w:r>
              <w:rPr>
                <w:sz w:val="22"/>
                <w:szCs w:val="22"/>
              </w:rPr>
              <w:t xml:space="preserve">Nurse@123</w:t>
            </w:r>
          </w:p>
        </w:tc>
      </w:tr>
      <w:tr>
        <w:tc>
          <w:tcPr>
            <w:tcBorders>
              <w:top w:val="single" w:color="4A5548" w:sz="12"/>
              <w:left w:val="none"/>
              <w:bottom w:val="single" w:color="4A5548" w:sz="12"/>
              <w:right w:val="none"/>
            </w:tcBorders>
          </w:tcPr>
          <w:p>
            <w:r>
              <w:rPr>
                <w:sz w:val="22"/>
                <w:szCs w:val="22"/>
              </w:rPr>
              <w:t xml:space="preserve">Pharmacist</w:t>
            </w:r>
          </w:p>
        </w:tc>
        <w:tc>
          <w:tcPr>
            <w:tcBorders>
              <w:top w:val="single" w:color="4A5548" w:sz="12"/>
              <w:left w:val="none"/>
              <w:bottom w:val="single" w:color="4A5548" w:sz="12"/>
              <w:right w:val="none"/>
            </w:tcBorders>
          </w:tcPr>
          <w:p>
            <w:r>
              <w:rPr>
                <w:sz w:val="22"/>
                <w:szCs w:val="22"/>
              </w:rPr>
              <w:t xml:space="preserve">pharmacist@ruhc</w:t>
            </w:r>
          </w:p>
        </w:tc>
        <w:tc>
          <w:tcPr>
            <w:tcBorders>
              <w:top w:val="single" w:color="4A5548" w:sz="12"/>
              <w:left w:val="none"/>
              <w:bottom w:val="single" w:color="4A5548" w:sz="12"/>
              <w:right w:val="none"/>
            </w:tcBorders>
          </w:tcPr>
          <w:p>
            <w:r>
              <w:rPr>
                <w:sz w:val="22"/>
                <w:szCs w:val="22"/>
              </w:rPr>
              <w:t xml:space="preserve">Pharmacist@123</w:t>
            </w:r>
          </w:p>
        </w:tc>
      </w:tr>
      <w:tr>
        <w:tc>
          <w:tcPr>
            <w:tcBorders>
              <w:top w:val="single" w:color="4A5548" w:sz="12"/>
              <w:left w:val="none"/>
              <w:bottom w:val="single" w:color="4A5548" w:sz="12"/>
              <w:right w:val="none"/>
            </w:tcBorders>
          </w:tcPr>
          <w:p>
            <w:r>
              <w:rPr>
                <w:sz w:val="22"/>
                <w:szCs w:val="22"/>
              </w:rPr>
              <w:t xml:space="preserve">Lab Technician</w:t>
            </w:r>
          </w:p>
        </w:tc>
        <w:tc>
          <w:tcPr>
            <w:tcBorders>
              <w:top w:val="single" w:color="4A5548" w:sz="12"/>
              <w:left w:val="none"/>
              <w:bottom w:val="single" w:color="4A5548" w:sz="12"/>
              <w:right w:val="none"/>
            </w:tcBorders>
          </w:tcPr>
          <w:p>
            <w:r>
              <w:rPr>
                <w:sz w:val="22"/>
                <w:szCs w:val="22"/>
              </w:rPr>
              <w:t xml:space="preserve">labtech@ruhc</w:t>
            </w:r>
          </w:p>
        </w:tc>
        <w:tc>
          <w:tcPr>
            <w:tcBorders>
              <w:top w:val="single" w:color="4A5548" w:sz="12"/>
              <w:left w:val="none"/>
              <w:bottom w:val="single" w:color="4A5548" w:sz="12"/>
              <w:right w:val="none"/>
            </w:tcBorders>
          </w:tcPr>
          <w:p>
            <w:r>
              <w:rPr>
                <w:sz w:val="22"/>
                <w:szCs w:val="22"/>
              </w:rPr>
              <w:t xml:space="preserve">Labtech@123</w:t>
            </w:r>
          </w:p>
        </w:tc>
      </w:tr>
      <w:tr>
        <w:tc>
          <w:tcPr>
            <w:tcBorders>
              <w:top w:val="single" w:color="4A5548" w:sz="12"/>
              <w:left w:val="none"/>
              <w:bottom w:val="single" w:color="4A5548" w:sz="12"/>
              <w:right w:val="none"/>
            </w:tcBorders>
          </w:tcPr>
          <w:p>
            <w:r>
              <w:rPr>
                <w:sz w:val="22"/>
                <w:szCs w:val="22"/>
              </w:rPr>
              <w:t xml:space="preserve">Matron</w:t>
            </w:r>
          </w:p>
        </w:tc>
        <w:tc>
          <w:tcPr>
            <w:tcBorders>
              <w:top w:val="single" w:color="4A5548" w:sz="12"/>
              <w:left w:val="none"/>
              <w:bottom w:val="single" w:color="4A5548" w:sz="12"/>
              <w:right w:val="none"/>
            </w:tcBorders>
          </w:tcPr>
          <w:p>
            <w:r>
              <w:rPr>
                <w:sz w:val="22"/>
                <w:szCs w:val="22"/>
              </w:rPr>
              <w:t xml:space="preserve">matron@ruhc</w:t>
            </w:r>
          </w:p>
        </w:tc>
        <w:tc>
          <w:tcPr>
            <w:tcBorders>
              <w:top w:val="single" w:color="4A5548" w:sz="12"/>
              <w:left w:val="none"/>
              <w:bottom w:val="single" w:color="4A5548" w:sz="12"/>
              <w:right w:val="none"/>
            </w:tcBorders>
          </w:tcPr>
          <w:p>
            <w:r>
              <w:rPr>
                <w:sz w:val="22"/>
                <w:szCs w:val="22"/>
              </w:rPr>
              <w:t xml:space="preserve">Matron@123</w:t>
            </w:r>
          </w:p>
        </w:tc>
      </w:tr>
      <w:tr>
        <w:tc>
          <w:tcPr>
            <w:tcBorders>
              <w:top w:val="single" w:color="4A5548" w:sz="12"/>
              <w:left w:val="none"/>
              <w:bottom w:val="single" w:color="4A5548" w:sz="12"/>
              <w:right w:val="none"/>
            </w:tcBorders>
          </w:tcPr>
          <w:p>
            <w:r>
              <w:rPr>
                <w:sz w:val="22"/>
                <w:szCs w:val="22"/>
              </w:rPr>
              <w:t xml:space="preserve">Records Officer</w:t>
            </w:r>
          </w:p>
        </w:tc>
        <w:tc>
          <w:tcPr>
            <w:tcBorders>
              <w:top w:val="single" w:color="4A5548" w:sz="12"/>
              <w:left w:val="none"/>
              <w:bottom w:val="single" w:color="4A5548" w:sz="12"/>
              <w:right w:val="none"/>
            </w:tcBorders>
          </w:tcPr>
          <w:p>
            <w:r>
              <w:rPr>
                <w:sz w:val="22"/>
                <w:szCs w:val="22"/>
              </w:rPr>
              <w:t xml:space="preserve">records@ruhc</w:t>
            </w:r>
          </w:p>
        </w:tc>
        <w:tc>
          <w:tcPr>
            <w:tcBorders>
              <w:top w:val="single" w:color="4A5548" w:sz="12"/>
              <w:left w:val="none"/>
              <w:bottom w:val="single" w:color="4A5548" w:sz="12"/>
              <w:right w:val="none"/>
            </w:tcBorders>
          </w:tcPr>
          <w:p>
            <w:r>
              <w:rPr>
                <w:sz w:val="22"/>
                <w:szCs w:val="22"/>
              </w:rPr>
              <w:t xml:space="preserve">Records@123</w:t>
            </w:r>
          </w:p>
        </w:tc>
      </w:tr>
    </w:tbl>
    <w:p>
      <w:pPr>
        <w:spacing w:before="100"/>
        <w:jc w:val="center"/>
      </w:pPr>
      <w:r>
        <w:rPr>
          <w:i/>
          <w:iCs/>
          <w:color w:val="4A5548"/>
          <w:sz w:val="18"/>
          <w:szCs w:val="18"/>
        </w:rPr>
        <w:t xml:space="preserve">Table 3: Default Login Credentials by User Role</w:t>
      </w:r>
    </w:p>
    <w:p>
      <w:pPr>
        <w:pStyle w:val="Heading1"/>
      </w:pPr>
      <w:r>
        <w:t xml:space="preserve">9. Future Enhancements</w:t>
      </w:r>
    </w:p>
    <w:p>
      <w:pPr>
        <w:spacing w:line="250"/>
      </w:pPr>
      <w:r>
        <w:rPr>
          <w:rFonts w:ascii="Times New Roman" w:cs="Times New Roman" w:eastAsia="Times New Roman" w:hAnsi="Times New Roman"/>
          <w:sz w:val="24"/>
          <w:szCs w:val="24"/>
        </w:rPr>
        <w:t xml:space="preserve">The RUHC system architecture is designed for continuous evolution, with several planned enhancements identified for future development phases. Mobile application development will extend system access to smartphones and tablets, enabling point-of-care documentation and remote consultations. Telemedicine capabilities will support video consultations, enabling healthcare delivery to remote locations and improving access for patients with mobility constraints.</w:t>
      </w:r>
    </w:p>
    <w:p>
      <w:pPr>
        <w:spacing w:line="250"/>
      </w:pPr>
      <w:r>
        <w:rPr>
          <w:rFonts w:ascii="Times New Roman" w:cs="Times New Roman" w:eastAsia="Times New Roman" w:hAnsi="Times New Roman"/>
          <w:sz w:val="24"/>
          <w:szCs w:val="24"/>
        </w:rPr>
        <w:t xml:space="preserve">Integration with external systems will enable data exchange with national health information systems, insurance providers, and reference laboratories. Machine learning capabilities will support predictive analytics for patient risk stratification, drug interaction prediction, and resource optimization. Enhanced reporting dashboards will provide real-time operational intelligence, supporting data-driven decision making at all organizational levels. The modular architecture ensures these enhancements can be implemented incrementally without disrupting existing functionality.</w:t>
      </w:r>
    </w:p>
    <w:p>
      <w:pPr>
        <w:pStyle w:val="Heading1"/>
      </w:pPr>
      <w:r>
        <w:t xml:space="preserve">10. Conclusion</w:t>
      </w:r>
    </w:p>
    <w:p>
      <w:pPr>
        <w:spacing w:line="250"/>
      </w:pPr>
      <w:r>
        <w:rPr>
          <w:rFonts w:ascii="Times New Roman" w:cs="Times New Roman" w:eastAsia="Times New Roman" w:hAnsi="Times New Roman"/>
          <w:sz w:val="24"/>
          <w:szCs w:val="24"/>
        </w:rPr>
        <w:t xml:space="preserve">The Redeemer's University Health Centre Management System represents a significant advancement in healthcare information technology for tertiary education institutions in Nigeria. By integrating comprehensive clinical functionality with robust administrative capabilities, the system addresses the multifaceted challenges of modern healthcare delivery. The offline-first architecture ensures reliable operation in environments with infrastructure challenges, while the modern technology stack provides a foundation for sustainable evolution.</w:t>
      </w:r>
    </w:p>
    <w:p>
      <w:pPr>
        <w:spacing w:line="250"/>
      </w:pPr>
      <w:r>
        <w:rPr>
          <w:rFonts w:ascii="Times New Roman" w:cs="Times New Roman" w:eastAsia="Times New Roman" w:hAnsi="Times New Roman"/>
          <w:sz w:val="24"/>
          <w:szCs w:val="24"/>
        </w:rPr>
        <w:t xml:space="preserve">The successful implementation of this system demonstrates the potential for digital transformation to improve healthcare quality, efficiency, and accessibility. As the system continues to evolve through ongoing development and user feedback, it will serve as a model for similar institutions seeking to modernize their healthcare information management capabilities. The comprehensive audit trails, security measures, and data protection mechanisms ensure that patient information is handled with appropriate care, supporting both regulatory compliance and patient trust.</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548"/>
        <w:sz w:val="18"/>
        <w:szCs w:val="18"/>
      </w:rPr>
      <w:t xml:space="preserve">Page </w:t>
    </w:r>
    <w:r>
      <w:rPr>
        <w:color w:val="4A5548"/>
        <w:sz w:val="18"/>
        <w:szCs w:val="18"/>
      </w:rPr>
      <w:fldChar w:fldCharType="begin"/>
      <w:instrText xml:space="preserve">PAGE</w:instrText>
      <w:fldChar w:fldCharType="separate"/>
      <w:fldChar w:fldCharType="end"/>
    </w:r>
    <w:r>
      <w:rPr>
        <w:color w:val="4A5548"/>
        <w:sz w:val="18"/>
        <w:szCs w:val="18"/>
      </w:rPr>
      <w:t xml:space="preserve"> of </w:t>
    </w:r>
    <w:r>
      <w:rPr>
        <w:color w:val="4A554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4A5548"/>
        <w:sz w:val="18"/>
        <w:szCs w:val="18"/>
      </w:rPr>
      <w:t xml:space="preserve">RUN Health Centre | RUHC-2026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1A1F16"/>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A1F16"/>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4A5548"/>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2D332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2026-03-16T22:13:26.187Z</dcterms:created>
  <dcterms:modified xsi:type="dcterms:W3CDTF">2026-03-16T22:13:26.187Z</dcterms:modified>
</cp:coreProperties>
</file>

<file path=docProps/custom.xml><?xml version="1.0" encoding="utf-8"?>
<Properties xmlns="http://schemas.openxmlformats.org/officeDocument/2006/custom-properties" xmlns:vt="http://schemas.openxmlformats.org/officeDocument/2006/docPropsVTypes"/>
</file>