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CCA9" w14:textId="77777777" w:rsidR="00DB2D1A" w:rsidRDefault="00DB2D1A"/>
    <w:p w14:paraId="5E33B8EC" w14:textId="77777777" w:rsidR="005B0906" w:rsidRDefault="00DB2D1A">
      <w:r>
        <w:t xml:space="preserve">Frequency Stabilization of a Diode Laser to the Rubidium D2 Transition </w:t>
      </w:r>
    </w:p>
    <w:p w14:paraId="155D7CE0" w14:textId="77777777" w:rsidR="005B0906" w:rsidRDefault="005B0906"/>
    <w:p w14:paraId="26C1C6FC" w14:textId="77777777" w:rsidR="005B0906" w:rsidRDefault="00DB2D1A">
      <w:r>
        <w:t>Abstract Body:</w:t>
      </w:r>
    </w:p>
    <w:p w14:paraId="436A7BE5" w14:textId="3E8C4863" w:rsidR="00B27B0E" w:rsidRDefault="00DB2D1A">
      <w:r>
        <w:t xml:space="preserve"> The polarization of dense spin-polarized helium-3 targets can be measured using the Faraday Rotation of alkali metals. Small amounts of the alkali metals Rb and K will be present in the target if the helium-3 nuclei are polarized by spin exchange optical pumping. An external-cavity diode laser emitting frequencies of the D2 transitions of </w:t>
      </w:r>
      <w:proofErr w:type="gramStart"/>
      <w:r>
        <w:t>Rb</w:t>
      </w:r>
      <w:proofErr w:type="gramEnd"/>
      <w:r>
        <w:t xml:space="preserve"> or K will maximize the rotation of linearly polarized light due to the Faraday effect. Small magnetic fields due to the spin-polarized </w:t>
      </w:r>
      <w:r w:rsidRPr="005B0906">
        <w:rPr>
          <w:vertAlign w:val="superscript"/>
        </w:rPr>
        <w:t>3</w:t>
      </w:r>
      <w:r>
        <w:t>He nuclei can be measured because of this effect, given the laser's frequency remains stable over a long enough time frame. However, diode lasers will drift in frequency off the D2 resonance over time. We used a Saturated Absorption method to resolve a Doppler-Free spectrum as a reference for this frequency and optimized the peaks by leveraging polarization changes to overlap the paths of the "probe" and "pump" beams used to measure absorption. Rb85 F=3 transition provided a strong error signal optimal for the laser's Top of Fringe locking method. We successfully reduced drift by locking our laser to this transition using lock-in techniques.</w:t>
      </w:r>
    </w:p>
    <w:p w14:paraId="4D88EFC6" w14:textId="72FB7893" w:rsidR="00DB2D1A" w:rsidRDefault="00DB2D1A"/>
    <w:p w14:paraId="344DA719" w14:textId="6D7DCACA" w:rsidR="005B0906" w:rsidRDefault="005B0906">
      <w:proofErr w:type="gramStart"/>
      <w:r>
        <w:t>Funding :</w:t>
      </w:r>
      <w:proofErr w:type="gramEnd"/>
    </w:p>
    <w:p w14:paraId="12099DFC" w14:textId="34EA8710" w:rsidR="00DB2D1A" w:rsidRDefault="00DB2D1A">
      <w:r>
        <w:t>This material is based upon work supported by the U.S. National Science Foundation under Award Number PHY-1950795 (UK REU) and the U.S. Department of Energy, Office of Science, Office of Nuclear Physics, under Award Number DE-FG02-99ER41101."</w:t>
      </w:r>
    </w:p>
    <w:sectPr w:rsidR="00DB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8E"/>
    <w:rsid w:val="00477C3F"/>
    <w:rsid w:val="005B0906"/>
    <w:rsid w:val="0060778E"/>
    <w:rsid w:val="00B27B0E"/>
    <w:rsid w:val="00C91E1A"/>
    <w:rsid w:val="00DB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03C5"/>
  <w15:chartTrackingRefBased/>
  <w15:docId w15:val="{2D4A0E83-540E-4DE2-8538-E493E564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cbzehnder@outlook.com</dc:creator>
  <cp:keywords/>
  <dc:description/>
  <cp:lastModifiedBy>cbzehnder@outlook.com</cp:lastModifiedBy>
  <cp:revision>3</cp:revision>
  <dcterms:created xsi:type="dcterms:W3CDTF">2021-10-18T18:59:00Z</dcterms:created>
  <dcterms:modified xsi:type="dcterms:W3CDTF">2021-10-18T19:05:00Z</dcterms:modified>
</cp:coreProperties>
</file>