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lastRenderedPageBreak/>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0"/>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0"/>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77777777">
      <w:pPr>
        <w:tabs>
          <w:tab w:val="left" w:pos="567"/>
          <w:tab w:val="left" w:pos="1276"/>
        </w:tabs>
        <w:spacing w:line="360" w:lineRule="auto"/>
        <w:rPr>
          <w:sz w:val="24"/>
          <w:szCs w:val="24"/>
        </w:rPr>
      </w:pPr>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DE68F8" w14:paraId="748DD6B2" w14:textId="3425B682">
      <w:pPr>
        <w:tabs>
          <w:tab w:val="left" w:pos="567"/>
          <w:tab w:val="left" w:pos="1276"/>
        </w:tabs>
        <w:spacing w:line="360" w:lineRule="auto"/>
        <w:rPr>
          <w:sz w:val="24"/>
          <w:szCs w:val="24"/>
        </w:rPr>
      </w:pPr>
      <w:r w:rsidRPr="00B83544">
        <w:rPr>
          <w:rFonts w:hint="eastAsia"/>
          <w:sz w:val="24"/>
          <w:szCs w:val="24"/>
        </w:rPr>
        <w:t>____</w:t>
      </w:r>
      <w:r w:rsidRPr="00D6663A">
        <w:rPr>
          <w:rFonts w:hint="eastAsia"/>
          <w:sz w:val="24"/>
          <w:szCs w:val="24"/>
          <w:u w:val="single"/>
        </w:rPr>
        <w:t>_</w:t>
      </w:r>
      <w:bookmarkStart w:name="T2DealerName" w:id="1"/>
      <w:r w:rsidRPr="00D6663A">
        <w:rPr>
          <w:rFonts w:hint="eastAsia"/>
          <w:sz w:val="24"/>
          <w:szCs w:val="24"/>
          <w:u w:val="single"/>
        </w:rPr>
        <w:t>北京五道口医疗器械有限公司</w:t>
      </w:r>
      <w:bookmarkEnd w:id="1"/>
      <w:r w:rsidRPr="00B83544">
        <w:rPr>
          <w:rFonts w:hint="eastAsia"/>
          <w:sz w:val="24"/>
          <w:szCs w:val="24"/>
        </w:rPr>
        <w:t>___</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bookmarkStart w:name="_GoBack" w:id="2"/>
      <w:bookmarkEnd w:id="2"/>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p>
    <w:sectPr w:rsidRPr="00B83544" w:rsidR="00B64A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4DC02" w14:textId="77777777" w:rsidR="00BB6A52" w:rsidRDefault="00BB6A52" w:rsidP="0014458A">
      <w:r>
        <w:separator/>
      </w:r>
    </w:p>
  </w:endnote>
  <w:endnote w:type="continuationSeparator" w:id="0">
    <w:p w14:paraId="42B71B85" w14:textId="77777777" w:rsidR="00BB6A52" w:rsidRDefault="00BB6A52"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58A74" w14:textId="77777777" w:rsidR="00BB6A52" w:rsidRDefault="00BB6A52" w:rsidP="0014458A">
      <w:r>
        <w:separator/>
      </w:r>
    </w:p>
  </w:footnote>
  <w:footnote w:type="continuationSeparator" w:id="0">
    <w:p w14:paraId="16A5CF23" w14:textId="77777777" w:rsidR="00BB6A52" w:rsidRDefault="00BB6A52" w:rsidP="00144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3083"/>
    <w:rsid w:val="0031543E"/>
    <w:rsid w:val="00322BEA"/>
    <w:rsid w:val="00326984"/>
    <w:rsid w:val="00345D94"/>
    <w:rsid w:val="00355A37"/>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85ED7"/>
    <w:rsid w:val="00494496"/>
    <w:rsid w:val="004A4D90"/>
    <w:rsid w:val="004A5DA8"/>
    <w:rsid w:val="004A6422"/>
    <w:rsid w:val="004B730E"/>
    <w:rsid w:val="004B7C3A"/>
    <w:rsid w:val="004D0F66"/>
    <w:rsid w:val="004E18F4"/>
    <w:rsid w:val="004F0B8F"/>
    <w:rsid w:val="004F446D"/>
    <w:rsid w:val="004F5E18"/>
    <w:rsid w:val="004F6828"/>
    <w:rsid w:val="005061D2"/>
    <w:rsid w:val="0051205F"/>
    <w:rsid w:val="00515230"/>
    <w:rsid w:val="0051704F"/>
    <w:rsid w:val="00533537"/>
    <w:rsid w:val="00554469"/>
    <w:rsid w:val="005565B7"/>
    <w:rsid w:val="00557CE0"/>
    <w:rsid w:val="005640FD"/>
    <w:rsid w:val="00572CC8"/>
    <w:rsid w:val="005A0E0D"/>
    <w:rsid w:val="005A2FAE"/>
    <w:rsid w:val="005A47ED"/>
    <w:rsid w:val="005B101D"/>
    <w:rsid w:val="005C0B41"/>
    <w:rsid w:val="005E6F1E"/>
    <w:rsid w:val="005F620F"/>
    <w:rsid w:val="00603C99"/>
    <w:rsid w:val="00613C35"/>
    <w:rsid w:val="00615801"/>
    <w:rsid w:val="006328D3"/>
    <w:rsid w:val="00634E87"/>
    <w:rsid w:val="00642FE7"/>
    <w:rsid w:val="00645CE5"/>
    <w:rsid w:val="00656166"/>
    <w:rsid w:val="00660744"/>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D2273"/>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43B4"/>
    <w:rsid w:val="00D36F2D"/>
    <w:rsid w:val="00D37A1D"/>
    <w:rsid w:val="00D41A03"/>
    <w:rsid w:val="00D57166"/>
    <w:rsid w:val="00D6663A"/>
    <w:rsid w:val="00D70971"/>
    <w:rsid w:val="00D860FB"/>
    <w:rsid w:val="00D93DCF"/>
    <w:rsid w:val="00D96803"/>
    <w:rsid w:val="00DB5E72"/>
    <w:rsid w:val="00DC2976"/>
    <w:rsid w:val="00DC39CE"/>
    <w:rsid w:val="00DE68F8"/>
    <w:rsid w:val="00DF013F"/>
    <w:rsid w:val="00DF0572"/>
    <w:rsid w:val="00E10F2E"/>
    <w:rsid w:val="00E11D78"/>
    <w:rsid w:val="00E1723A"/>
    <w:rsid w:val="00E22366"/>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80598-C4C8-4946-8ED1-E7115C10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16</cp:revision>
  <dcterms:created xsi:type="dcterms:W3CDTF">2020-03-23T02:33:00Z</dcterms:created>
  <dcterms:modified xsi:type="dcterms:W3CDTF">2020-05-14T03:33:00Z</dcterms:modified>
</cp:coreProperties>
</file>