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上海荟黎医疗器械销售中心（有限合伙）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上海市奉贤区奉城镇东街98号13幢1207室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15104571057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周亚军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2020年02月06日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齐齐哈尔医学院第二附属医院,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2020年02月06日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3,390.00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52f9c25c-5cd4-4ec9-b1b4-3901c34db95d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a60175d8-c742-467d-8a1b-e359b42168d7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52f9c25c-5cd4-4ec9-b1b4-3901c34db95d" /><Relationship Type="http://schemas.openxmlformats.org/officeDocument/2006/relationships/aFChunk" Target="/word/afchunk2.dat" Id="AltChunkId-a60175d8-c742-467d-8a1b-e359b42168d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