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b8235f92-535c-4896-b598-576f05df7643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830048d5-2422-45d0-b47c-83adb44623b0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b8235f92-535c-4896-b598-576f05df7643" /><Relationship Type="http://schemas.openxmlformats.org/officeDocument/2006/relationships/aFChunk" Target="/word/afchunk2.dat" Id="AltChunkId-830048d5-2422-45d0-b47c-83adb44623b0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