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Planning Summary</w:t>
      </w:r>
    </w:p>
    <w:p>
      <w:r>
        <w:t>ClearLegacy fictional demonstration household</w:t>
      </w:r>
    </w:p>
    <w:p>
      <w:r>
        <w:t>FICTIONAL DEMO RECORD - NOT REAL CLIENT DATA</w:t>
      </w:r>
    </w:p>
    <w:p>
      <w:r>
        <w:t>Document ID: MORGAN-PLAN-2026-09-25</w:t>
      </w:r>
    </w:p>
    <w:p>
      <w:r>
        <w:t>Planning discussion date: 2026-09-25</w:t>
      </w:r>
    </w:p>
    <w:p>
      <w:r>
        <w:t>Client: Jordan Morgan</w:t>
      </w:r>
    </w:p>
    <w:p>
      <w:r>
        <w:t>Current spouse: Casey Morgan. Former spouse: Taylor Morgan.</w:t>
      </w:r>
    </w:p>
    <w:p>
      <w:r>
        <w:t>Jordan stated: "I want Casey Morgan to receive 100% as primary beneficiary of my IRA DEMO-MORGAN-IRA."</w:t>
      </w:r>
    </w:p>
    <w:p>
      <w:r>
        <w:t>Jordan stated: "If Casey cannot inherit, I want Avery Morgan and Riley Morgan to be contingent beneficiaries of that IRA, equally at 50% each."</w:t>
      </w:r>
    </w:p>
    <w:p>
      <w:r>
        <w:t>Jordan stated: "For brokerage account DEMO-MORGAN-BROKERAGE, I want Avery Morgan and Riley Morgan as primary transfer-on-death beneficiaries, equally at 50% each."</w:t>
      </w:r>
    </w:p>
    <w:p>
      <w:r>
        <w:t>These are stated intentions, not completed beneficiary-change instructions. No legal documents have been reviewed.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ClearLegacy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