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Planning Summary</w:t>
      </w:r>
    </w:p>
    <w:p>
      <w:r>
        <w:t>ClearLegacy fictional demonstration household</w:t>
      </w:r>
    </w:p>
    <w:p>
      <w:r>
        <w:t>FICTIONAL DEMO RECORD - NOT REAL CLIENT DATA</w:t>
      </w:r>
    </w:p>
    <w:p>
      <w:r>
        <w:t>Document ID: RIVERA-DISCUSSION-2026-09-24</w:t>
      </w:r>
    </w:p>
    <w:p>
      <w:r>
        <w:t>Planning discussion date: 2026-09-24</w:t>
      </w:r>
    </w:p>
    <w:p>
      <w:r>
        <w:t>Client: Robin Rivera</w:t>
      </w:r>
    </w:p>
    <w:p>
      <w:r>
        <w:t>Family: Spouse Quinn Rivera; adult child Drew Rivera; stepchild Harper Chen.</w:t>
      </w:r>
    </w:p>
    <w:p>
      <w:r>
        <w:t>Robin stated: "I want to make sure Harper is provided for. I have not decided whether that should be through my IRA, my brokerage account, insurance, or other arrangements."</w:t>
      </w:r>
    </w:p>
    <w:p>
      <w:r>
        <w:t>Robin stated: "I may have updated the IRA beneficiaries this summer, but I do not have confirmation here."</w:t>
      </w:r>
    </w:p>
    <w:p>
      <w:r>
        <w:t>No account-specific allocation percentages or instructions were given. No trust document, insurance designation, or completed beneficiary-change form was supplied.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ClearLegacy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