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Beneficiary Record Snapshot</w:t>
      </w:r>
    </w:p>
    <w:p>
      <w:r>
        <w:t>ClearLegacy fictional demonstration household</w:t>
      </w:r>
    </w:p>
    <w:p>
      <w:r>
        <w:t>FICTIONAL DEMO RECORD - NOT REAL CLIENT DATA</w:t>
      </w:r>
    </w:p>
    <w:p>
      <w:r>
        <w:t>Document ID: MORGAN-ACCOUNT-SNAPSHOT-2026-09-28</w:t>
      </w:r>
    </w:p>
    <w:p>
      <w:r>
        <w:t>Snapshot date: 2026-09-28</w:t>
      </w:r>
    </w:p>
    <w:p>
      <w:r>
        <w:t>Account DEMO-MORGAN-IRA: Primary beneficiary is Taylor Morgan, former spouse, 100%. Designation last updated 2020-06-15. No contingent beneficiaries are listed in this supplied snapshot.</w:t>
      </w:r>
    </w:p>
    <w:p>
      <w:r>
        <w:t>Account DEMO-MORGAN-BROKERAGE: Primary transfer-on-death beneficiaries are Avery Morgan, child, 50%, and Riley Morgan, child, 50%. Designation last updated 2026-09-26.</w:t>
      </w:r>
    </w:p>
    <w:p>
      <w:pPr>
        <w:pStyle w:val="Heading2"/>
      </w:pPr>
      <w:r>
        <w:t>Designation Details</w:t>
      </w:r>
    </w:p>
    <w:p>
      <w:r>
        <w:t>DEMO-MORGAN-IRA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Taylor Morgan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former spouse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100%</w:t>
            </w:r>
          </w:p>
        </w:tc>
      </w:tr>
    </w:tbl>
    <w:p/>
    <w:p>
      <w:r>
        <w:t>DEMO-MORGAN-BROKERAGE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Tier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Beneficiary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Relationship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EF5"/>
          </w:tcPr>
          <w:p>
            <w:pPr>
              <w:spacing w:before="80" w:after="80"/>
            </w:pPr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Avery Morgan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primary</w:t>
            </w:r>
          </w:p>
        </w:tc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Riley Morgan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child</w:t>
            </w:r>
          </w:p>
        </w:tc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80" w:after="80"/>
            </w:pPr>
            <w:r>
              <w:rPr>
                <w:b w:val="0"/>
                <w:sz w:val="18"/>
              </w:rPr>
              <w:t>50%</w:t>
            </w:r>
          </w:p>
        </w:tc>
      </w:tr>
    </w:tbl>
    <w:p/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ClearLegacy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