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Planning Summary</w:t>
      </w:r>
    </w:p>
    <w:p>
      <w:r>
        <w:t>ClearLegacy fictional demonstration household</w:t>
      </w:r>
    </w:p>
    <w:p>
      <w:r>
        <w:t>FICTIONAL DEMO RECORD - NOT REAL CLIENT DATA</w:t>
      </w:r>
    </w:p>
    <w:p>
      <w:r>
        <w:t>Document ID: PATEL-PLAN-2026-09-20</w:t>
      </w:r>
    </w:p>
    <w:p>
      <w:r>
        <w:t>Planning discussion date: 2026-09-20</w:t>
      </w:r>
    </w:p>
    <w:p>
      <w:r>
        <w:t>Client: Sam Patel</w:t>
      </w:r>
    </w:p>
    <w:p>
      <w:r>
        <w:t>Current spouse: Lee Patel. Children: Alex Patel and Jamie Patel.</w:t>
      </w:r>
    </w:p>
    <w:p>
      <w:r>
        <w:t>Sam stated: "For IRA DEMO-PATEL-IRA, Lee Patel should be primary beneficiary at 100%, with Alex Patel and Jamie Patel contingent at 50% each."</w:t>
      </w:r>
    </w:p>
    <w:p>
      <w:r>
        <w:t>Sam stated: "For brokerage account DEMO-PATEL-BROKERAGE, Alex Patel and Jamie Patel should be primary transfer-on-death beneficiaries at 50% each."</w:t>
      </w:r>
    </w:p>
    <w:p>
      <w:r>
        <w:t>Sam confirmed that Lee is intentionally not a primary beneficiary of the brokerage account. Different accounts have different intended allocations.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ClearLegacy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