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6. Administración de acceso a objetos en unidades de organización.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720"/>
        <w:contextualSpacing w:val="0"/>
      </w:pPr>
      <w:r w:rsidRPr="00000000" w:rsidR="00000000" w:rsidDel="00000000">
        <w:rPr>
          <w:rtl w:val="0"/>
        </w:rPr>
        <w:t xml:space="preserve">-Implementacion de politicas de grupos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La Directiva de grupo es un componente que posee la familia de sistemas operativos windows en el cual se definen las reglas o políticas que compondrá o compartirá todo un ambiente de cuentas de usuario en un sistema informático; este tipo de reglas controlan el contenido al que los usuarios pueden acceder o no de acuerdo a la configuración aplicada y mediante un sistema operativo windows server se determinará cuáles políticas del sistema serán aplicadas a cada usuario y/o equipo que se encuentre en un Dominio.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Ejemplo:</w:t>
      </w:r>
    </w:p>
    <w:p w:rsidP="00000000" w:rsidRPr="00000000" w:rsidR="00000000" w:rsidDel="00000000" w:rsidRDefault="00000000">
      <w:pPr>
        <w:ind w:left="0" w:firstLine="0"/>
        <w:contextualSpacing w:val="0"/>
      </w:pPr>
      <w:r w:rsidRPr="00000000" w:rsidR="00000000" w:rsidDel="00000000">
        <w:rPr>
          <w:rtl w:val="0"/>
        </w:rPr>
        <w:t xml:space="preserve">Grupo: Fulanos. Usuarios: Alex, Fu, lano.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Una vez creado el grupo, para implementar las políticas de grupo es necesario ejecutar el comando “gpedit.msc” el cual abrirá una ventana, en la que se nos permitirá configurar las políticas de grupo.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Algunas de las configuraciones importantes a tomar en cuenta, a la hora de tomar políticas hacia un grupo de usuarios, destacan las siguientes: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vigencia máxima de la contraseña para todos los usuarios debe ser de 15 días.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La contrasena debe cunplir los requerimientos de Windows Server.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Los usuarios que requieren cambiar su contraseña no podrán usar un password que antes haya sido usado.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Definir cuales grupos de usuarios tendrán privilegios de cerrar sesion y cuales no.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 permitir el cambio de proxy, ya que todos usaran el definido por defecto.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Desactivar la ventana emergente de reproducción automática.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No permitir el apagado remoto de la máquina.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Aplicar cuotas de MB que los usuarios de la red local podrán usar.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-Administrando el ambiente del usuario usando política de grupo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Una de las partes más importantes de una red local, es el control que debe ejercer un administrador principal de los usuarios. Con el fin de evitar, que este provoque daños irreparables, acceda a información no necesaria en el ámbito o modifique el sistema.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 administrar la directiva de configuración para el usuario. Dentro del mismo panel de gpedit.msc nos dirigimos a la casilla de usuarios, aquí nos encontraremos con varias opciones. Dentro de las más recomendadas en tomar prioridad, se destacan las siguientes: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Elegir la pagina principal que se cargará.</w:t>
      </w:r>
      <w:r w:rsidRPr="00000000" w:rsidR="00000000" w:rsidDel="00000000">
        <w:rPr>
          <w:rtl w:val="0"/>
        </w:rPr>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Elegir servidor proxy para los usuarios locales.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Restringir en el navegador el acceso a lugares no permitidos. Ej: Facebook, Youtube. Y crear una contraseña de supervisor para acceder a ellos.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Ocultar la menú de opciones de carpeta del menú herramienta. Con el fin de que los usuarios no puedan ver archivos ocultos.</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Restringir el acceso a la unidad E:/ desde mi PC.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Limitar el tamaño de la papelera de reciclaje a 100mb.</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Ocultar los elementos del escritorio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