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FAD7D" w14:textId="52E46C4A" w:rsidR="0047114B" w:rsidRDefault="0047114B" w:rsidP="0047114B">
      <w:pPr>
        <w:jc w:val="center"/>
      </w:pPr>
      <w:r>
        <w:t>Washington Cooperative Fish and Wildlife Research Unit</w:t>
      </w:r>
    </w:p>
    <w:p w14:paraId="47816396" w14:textId="12076C35" w:rsidR="0047114B" w:rsidRDefault="0047114B" w:rsidP="0047114B">
      <w:pPr>
        <w:jc w:val="center"/>
      </w:pPr>
      <w:r>
        <w:t xml:space="preserve">Year-End Financial Report for Washington State Fiscal Year 2018 </w:t>
      </w:r>
    </w:p>
    <w:p w14:paraId="0631B610" w14:textId="6A5358C7" w:rsidR="0047114B" w:rsidRDefault="0047114B" w:rsidP="009D63E6">
      <w:pPr>
        <w:pBdr>
          <w:bottom w:val="single" w:sz="4" w:space="1" w:color="auto"/>
        </w:pBdr>
        <w:jc w:val="center"/>
      </w:pPr>
      <w:r>
        <w:t>July 1, 2017 – June 30, 2018</w:t>
      </w:r>
    </w:p>
    <w:p w14:paraId="7DD6DDF7" w14:textId="4D086CF5" w:rsidR="0047114B" w:rsidRDefault="0047114B">
      <w:pPr>
        <w:rPr>
          <w:b/>
          <w:u w:val="single"/>
        </w:rPr>
      </w:pPr>
      <w:r w:rsidRPr="0047114B">
        <w:rPr>
          <w:b/>
          <w:u w:val="single"/>
        </w:rPr>
        <w:t xml:space="preserve">Summary </w:t>
      </w:r>
    </w:p>
    <w:p w14:paraId="6BDE07D3" w14:textId="0BE5496E" w:rsidR="002D1183" w:rsidRPr="00CD7941" w:rsidRDefault="0047114B">
      <w:r w:rsidRPr="00CD7941">
        <w:t>This is the first year for a new and consistent approach to financial reporting</w:t>
      </w:r>
      <w:r w:rsidR="002D1183" w:rsidRPr="00CD7941">
        <w:t xml:space="preserve"> at the WACFWRU</w:t>
      </w:r>
      <w:r w:rsidRPr="00CD7941">
        <w:t xml:space="preserve">. </w:t>
      </w:r>
      <w:r w:rsidR="002D1183" w:rsidRPr="00CD7941">
        <w:t>Going</w:t>
      </w:r>
      <w:r w:rsidRPr="00CD7941">
        <w:t xml:space="preserve"> forward, our financial reporting</w:t>
      </w:r>
      <w:r w:rsidR="00CD7941">
        <w:t xml:space="preserve"> for Cooperators</w:t>
      </w:r>
      <w:r w:rsidRPr="00CD7941">
        <w:t xml:space="preserve">, as well as </w:t>
      </w:r>
      <w:r w:rsidR="002D1183" w:rsidRPr="00CD7941">
        <w:t xml:space="preserve">summaries in </w:t>
      </w:r>
      <w:r w:rsidRPr="00CD7941">
        <w:t xml:space="preserve">our Unit annual report, will follow the Washington fiscal year, from July 1 – June 30. In future years, this consistent reporting format will facilitate year-to-year comparisons. </w:t>
      </w:r>
    </w:p>
    <w:p w14:paraId="4544545C" w14:textId="43B36C71" w:rsidR="0047114B" w:rsidRPr="00CD7941" w:rsidRDefault="002D1183">
      <w:r w:rsidRPr="00CD7941">
        <w:t>I</w:t>
      </w:r>
      <w:r w:rsidR="00A60E82" w:rsidRPr="00CD7941">
        <w:t>n summary, we ha</w:t>
      </w:r>
      <w:r w:rsidR="00CD7941">
        <w:t>ndle</w:t>
      </w:r>
      <w:r w:rsidR="00A60E82" w:rsidRPr="00CD7941">
        <w:t xml:space="preserve">d over $6 million in total </w:t>
      </w:r>
      <w:r w:rsidR="00CD7941">
        <w:t>project</w:t>
      </w:r>
      <w:r w:rsidRPr="00CD7941">
        <w:t xml:space="preserve"> </w:t>
      </w:r>
      <w:r w:rsidR="00A60E82" w:rsidRPr="00CD7941">
        <w:t xml:space="preserve">funds across the </w:t>
      </w:r>
      <w:r w:rsidRPr="00CD7941">
        <w:t>University of Washington and Washington State University</w:t>
      </w:r>
      <w:r w:rsidR="00A60E82" w:rsidRPr="00CD7941">
        <w:t xml:space="preserve"> in FY2018, with more than $2.5 million in new </w:t>
      </w:r>
      <w:r w:rsidR="00CD7941">
        <w:t>project</w:t>
      </w:r>
      <w:r w:rsidRPr="00CD7941">
        <w:t xml:space="preserve"> </w:t>
      </w:r>
      <w:r w:rsidR="00A60E82" w:rsidRPr="00CD7941">
        <w:t xml:space="preserve">funds. WDNR was the largest single funder, followed by WDFW and USGS. </w:t>
      </w:r>
      <w:r w:rsidR="00E974F1" w:rsidRPr="00CD7941">
        <w:t>At UW,</w:t>
      </w:r>
      <w:r w:rsidR="00A60E82" w:rsidRPr="00CD7941">
        <w:t xml:space="preserve"> </w:t>
      </w:r>
      <w:r w:rsidR="00E974F1" w:rsidRPr="00CD7941">
        <w:t xml:space="preserve">the </w:t>
      </w:r>
      <w:r w:rsidR="00A60E82" w:rsidRPr="00CD7941">
        <w:t xml:space="preserve">Cooperator waiver </w:t>
      </w:r>
      <w:r w:rsidRPr="00CD7941">
        <w:t xml:space="preserve">was used </w:t>
      </w:r>
      <w:r w:rsidR="00E974F1" w:rsidRPr="00CD7941">
        <w:t>completely</w:t>
      </w:r>
      <w:r w:rsidRPr="00CD7941">
        <w:t xml:space="preserve"> in </w:t>
      </w:r>
      <w:r w:rsidR="00CD7941">
        <w:t>FY</w:t>
      </w:r>
      <w:r w:rsidRPr="00CD7941">
        <w:t xml:space="preserve">2017 and </w:t>
      </w:r>
      <w:r w:rsidR="00CD7941">
        <w:t>FY</w:t>
      </w:r>
      <w:r w:rsidRPr="00CD7941">
        <w:t xml:space="preserve">2018 for all </w:t>
      </w:r>
      <w:r w:rsidR="00E974F1" w:rsidRPr="00CD7941">
        <w:t xml:space="preserve">state </w:t>
      </w:r>
      <w:r w:rsidRPr="00CD7941">
        <w:t xml:space="preserve">agencies, and as of early October in FY2019, </w:t>
      </w:r>
      <w:proofErr w:type="gramStart"/>
      <w:r w:rsidRPr="00CD7941">
        <w:t>all of</w:t>
      </w:r>
      <w:proofErr w:type="gramEnd"/>
      <w:r w:rsidRPr="00CD7941">
        <w:t xml:space="preserve"> the WDNR waiver </w:t>
      </w:r>
      <w:r w:rsidR="00E974F1" w:rsidRPr="00CD7941">
        <w:t xml:space="preserve">and nearly all of the WDFW waiver </w:t>
      </w:r>
      <w:r w:rsidRPr="00CD7941">
        <w:t>was used. For WSU, FY2019 waiver is still available for all 3 agencies. Finally, the WACFWRU base account balance was over $140,000 at the end of FY2018</w:t>
      </w:r>
      <w:r w:rsidR="00E974F1" w:rsidRPr="00CD7941">
        <w:t xml:space="preserve">, suggesting adequate resources to leverage support </w:t>
      </w:r>
      <w:r w:rsidR="00CD7941">
        <w:t>for research</w:t>
      </w:r>
      <w:r w:rsidR="00E974F1" w:rsidRPr="00CD7941">
        <w:t xml:space="preserve"> projects in the coming years</w:t>
      </w:r>
      <w:r w:rsidRPr="00CD7941">
        <w:t xml:space="preserve">. </w:t>
      </w:r>
    </w:p>
    <w:p w14:paraId="2D458DA0" w14:textId="77777777" w:rsidR="0047114B" w:rsidRDefault="0047114B"/>
    <w:p w14:paraId="2B7850EB" w14:textId="29E02887" w:rsidR="0047114B" w:rsidRDefault="0047114B">
      <w:r>
        <w:t xml:space="preserve">Table 1. </w:t>
      </w:r>
      <w:r w:rsidR="00A60E82">
        <w:t xml:space="preserve">New </w:t>
      </w:r>
      <w:r w:rsidR="00CD7941">
        <w:t>project</w:t>
      </w:r>
      <w:r w:rsidR="00A60E82">
        <w:t xml:space="preserve"> funds and t</w:t>
      </w:r>
      <w:r>
        <w:t xml:space="preserve">otal </w:t>
      </w:r>
      <w:r w:rsidR="00CD7941">
        <w:t>project</w:t>
      </w:r>
      <w:r>
        <w:t xml:space="preserve"> funds </w:t>
      </w:r>
      <w:r w:rsidR="00807473">
        <w:t>administered through the WACFWRU</w:t>
      </w:r>
      <w:r>
        <w:t xml:space="preserve"> during </w:t>
      </w:r>
      <w:r w:rsidR="00A60E82">
        <w:t>FY2018</w:t>
      </w:r>
      <w:r w:rsidR="00CD7941">
        <w:t>, by university</w:t>
      </w:r>
      <w:r w:rsidR="00A60E82">
        <w:t xml:space="preserve">. </w:t>
      </w:r>
    </w:p>
    <w:tbl>
      <w:tblPr>
        <w:tblW w:w="9336" w:type="dxa"/>
        <w:tblCellMar>
          <w:left w:w="0" w:type="dxa"/>
          <w:right w:w="0" w:type="dxa"/>
        </w:tblCellMar>
        <w:tblLook w:val="0420" w:firstRow="1" w:lastRow="0" w:firstColumn="0" w:lastColumn="0" w:noHBand="0" w:noVBand="1"/>
      </w:tblPr>
      <w:tblGrid>
        <w:gridCol w:w="4438"/>
        <w:gridCol w:w="2449"/>
        <w:gridCol w:w="2449"/>
      </w:tblGrid>
      <w:tr w:rsidR="0047114B" w:rsidRPr="0047114B" w14:paraId="4E8C76F9" w14:textId="77777777" w:rsidTr="00CD7941">
        <w:trPr>
          <w:trHeight w:val="168"/>
        </w:trPr>
        <w:tc>
          <w:tcPr>
            <w:tcW w:w="4438" w:type="dxa"/>
            <w:tcBorders>
              <w:top w:val="single" w:sz="4" w:space="0" w:color="auto"/>
              <w:bottom w:val="single" w:sz="4" w:space="0" w:color="auto"/>
            </w:tcBorders>
            <w:shd w:val="clear" w:color="auto" w:fill="auto"/>
            <w:tcMar>
              <w:top w:w="15" w:type="dxa"/>
              <w:left w:w="15" w:type="dxa"/>
              <w:bottom w:w="0" w:type="dxa"/>
              <w:right w:w="15" w:type="dxa"/>
            </w:tcMar>
            <w:hideMark/>
          </w:tcPr>
          <w:p w14:paraId="6DC387AA" w14:textId="77777777" w:rsidR="0047114B" w:rsidRPr="0047114B" w:rsidRDefault="0047114B" w:rsidP="00A60E82">
            <w:pPr>
              <w:spacing w:after="0" w:line="240" w:lineRule="auto"/>
            </w:pPr>
          </w:p>
        </w:tc>
        <w:tc>
          <w:tcPr>
            <w:tcW w:w="2449" w:type="dxa"/>
            <w:tcBorders>
              <w:top w:val="single" w:sz="4" w:space="0" w:color="auto"/>
              <w:bottom w:val="single" w:sz="4" w:space="0" w:color="auto"/>
            </w:tcBorders>
            <w:shd w:val="clear" w:color="auto" w:fill="auto"/>
            <w:tcMar>
              <w:top w:w="15" w:type="dxa"/>
              <w:left w:w="15" w:type="dxa"/>
              <w:bottom w:w="0" w:type="dxa"/>
              <w:right w:w="15" w:type="dxa"/>
            </w:tcMar>
            <w:vAlign w:val="center"/>
            <w:hideMark/>
          </w:tcPr>
          <w:p w14:paraId="01386771" w14:textId="77777777" w:rsidR="0047114B" w:rsidRPr="0047114B" w:rsidRDefault="0047114B" w:rsidP="00807473">
            <w:pPr>
              <w:spacing w:after="0" w:line="240" w:lineRule="auto"/>
              <w:jc w:val="right"/>
            </w:pPr>
            <w:r w:rsidRPr="0047114B">
              <w:rPr>
                <w:b/>
                <w:bCs/>
              </w:rPr>
              <w:t>UW</w:t>
            </w:r>
          </w:p>
        </w:tc>
        <w:tc>
          <w:tcPr>
            <w:tcW w:w="2449" w:type="dxa"/>
            <w:tcBorders>
              <w:top w:val="single" w:sz="4" w:space="0" w:color="auto"/>
              <w:bottom w:val="single" w:sz="4" w:space="0" w:color="auto"/>
            </w:tcBorders>
            <w:shd w:val="clear" w:color="auto" w:fill="auto"/>
            <w:tcMar>
              <w:top w:w="15" w:type="dxa"/>
              <w:left w:w="15" w:type="dxa"/>
              <w:bottom w:w="0" w:type="dxa"/>
              <w:right w:w="15" w:type="dxa"/>
            </w:tcMar>
            <w:vAlign w:val="center"/>
            <w:hideMark/>
          </w:tcPr>
          <w:p w14:paraId="6BE51611" w14:textId="77777777" w:rsidR="0047114B" w:rsidRPr="0047114B" w:rsidRDefault="0047114B" w:rsidP="00807473">
            <w:pPr>
              <w:spacing w:after="0" w:line="240" w:lineRule="auto"/>
              <w:jc w:val="right"/>
            </w:pPr>
            <w:r w:rsidRPr="0047114B">
              <w:rPr>
                <w:b/>
                <w:bCs/>
              </w:rPr>
              <w:t>WSU</w:t>
            </w:r>
          </w:p>
        </w:tc>
      </w:tr>
      <w:tr w:rsidR="0047114B" w:rsidRPr="0047114B" w14:paraId="288CA98C" w14:textId="77777777" w:rsidTr="00CD7941">
        <w:trPr>
          <w:trHeight w:val="168"/>
        </w:trPr>
        <w:tc>
          <w:tcPr>
            <w:tcW w:w="4438" w:type="dxa"/>
            <w:tcBorders>
              <w:top w:val="single" w:sz="4" w:space="0" w:color="auto"/>
            </w:tcBorders>
            <w:shd w:val="clear" w:color="auto" w:fill="auto"/>
            <w:tcMar>
              <w:top w:w="15" w:type="dxa"/>
              <w:left w:w="15" w:type="dxa"/>
              <w:bottom w:w="0" w:type="dxa"/>
              <w:right w:w="15" w:type="dxa"/>
            </w:tcMar>
            <w:vAlign w:val="center"/>
            <w:hideMark/>
          </w:tcPr>
          <w:p w14:paraId="7DBD09F1" w14:textId="77777777" w:rsidR="0047114B" w:rsidRPr="0047114B" w:rsidRDefault="0047114B" w:rsidP="00A60E82">
            <w:pPr>
              <w:spacing w:after="0" w:line="240" w:lineRule="auto"/>
            </w:pPr>
            <w:r w:rsidRPr="0047114B">
              <w:t xml:space="preserve">New Funds </w:t>
            </w:r>
          </w:p>
        </w:tc>
        <w:tc>
          <w:tcPr>
            <w:tcW w:w="2449" w:type="dxa"/>
            <w:tcBorders>
              <w:top w:val="single" w:sz="4" w:space="0" w:color="auto"/>
            </w:tcBorders>
            <w:shd w:val="clear" w:color="auto" w:fill="auto"/>
            <w:tcMar>
              <w:top w:w="15" w:type="dxa"/>
              <w:left w:w="15" w:type="dxa"/>
              <w:bottom w:w="0" w:type="dxa"/>
              <w:right w:w="15" w:type="dxa"/>
            </w:tcMar>
            <w:vAlign w:val="center"/>
            <w:hideMark/>
          </w:tcPr>
          <w:p w14:paraId="58335A6F" w14:textId="77777777" w:rsidR="0047114B" w:rsidRPr="0047114B" w:rsidRDefault="0047114B" w:rsidP="00807473">
            <w:pPr>
              <w:spacing w:after="0" w:line="240" w:lineRule="auto"/>
              <w:jc w:val="right"/>
            </w:pPr>
            <w:r w:rsidRPr="0047114B">
              <w:t xml:space="preserve">$2,084,914 </w:t>
            </w:r>
          </w:p>
        </w:tc>
        <w:tc>
          <w:tcPr>
            <w:tcW w:w="2449" w:type="dxa"/>
            <w:tcBorders>
              <w:top w:val="single" w:sz="4" w:space="0" w:color="auto"/>
            </w:tcBorders>
            <w:shd w:val="clear" w:color="auto" w:fill="auto"/>
            <w:tcMar>
              <w:top w:w="15" w:type="dxa"/>
              <w:left w:w="15" w:type="dxa"/>
              <w:bottom w:w="0" w:type="dxa"/>
              <w:right w:w="15" w:type="dxa"/>
            </w:tcMar>
            <w:vAlign w:val="center"/>
            <w:hideMark/>
          </w:tcPr>
          <w:p w14:paraId="45214624" w14:textId="77777777" w:rsidR="0047114B" w:rsidRPr="0047114B" w:rsidRDefault="0047114B" w:rsidP="00807473">
            <w:pPr>
              <w:spacing w:after="0" w:line="240" w:lineRule="auto"/>
              <w:jc w:val="right"/>
            </w:pPr>
            <w:r w:rsidRPr="0047114B">
              <w:t xml:space="preserve">$201,516 </w:t>
            </w:r>
          </w:p>
        </w:tc>
      </w:tr>
      <w:tr w:rsidR="0047114B" w:rsidRPr="0047114B" w14:paraId="455A2BF3" w14:textId="77777777" w:rsidTr="00CD7941">
        <w:trPr>
          <w:trHeight w:val="168"/>
        </w:trPr>
        <w:tc>
          <w:tcPr>
            <w:tcW w:w="4438" w:type="dxa"/>
            <w:tcBorders>
              <w:bottom w:val="single" w:sz="4" w:space="0" w:color="auto"/>
            </w:tcBorders>
            <w:shd w:val="clear" w:color="auto" w:fill="auto"/>
            <w:tcMar>
              <w:top w:w="15" w:type="dxa"/>
              <w:left w:w="15" w:type="dxa"/>
              <w:bottom w:w="0" w:type="dxa"/>
              <w:right w:w="15" w:type="dxa"/>
            </w:tcMar>
            <w:vAlign w:val="center"/>
            <w:hideMark/>
          </w:tcPr>
          <w:p w14:paraId="37512ADD" w14:textId="77777777" w:rsidR="0047114B" w:rsidRPr="0047114B" w:rsidRDefault="0047114B" w:rsidP="00A60E82">
            <w:pPr>
              <w:spacing w:after="0" w:line="240" w:lineRule="auto"/>
            </w:pPr>
            <w:r w:rsidRPr="0047114B">
              <w:t>Total Funds</w:t>
            </w:r>
          </w:p>
        </w:tc>
        <w:tc>
          <w:tcPr>
            <w:tcW w:w="2449" w:type="dxa"/>
            <w:tcBorders>
              <w:bottom w:val="single" w:sz="4" w:space="0" w:color="auto"/>
            </w:tcBorders>
            <w:shd w:val="clear" w:color="auto" w:fill="auto"/>
            <w:tcMar>
              <w:top w:w="15" w:type="dxa"/>
              <w:left w:w="15" w:type="dxa"/>
              <w:bottom w:w="0" w:type="dxa"/>
              <w:right w:w="15" w:type="dxa"/>
            </w:tcMar>
            <w:vAlign w:val="center"/>
            <w:hideMark/>
          </w:tcPr>
          <w:p w14:paraId="3FE6334E" w14:textId="77777777" w:rsidR="0047114B" w:rsidRPr="0047114B" w:rsidRDefault="0047114B" w:rsidP="00807473">
            <w:pPr>
              <w:spacing w:after="0" w:line="240" w:lineRule="auto"/>
              <w:jc w:val="right"/>
            </w:pPr>
            <w:r w:rsidRPr="0047114B">
              <w:t xml:space="preserve">$5,671,842 </w:t>
            </w:r>
          </w:p>
        </w:tc>
        <w:tc>
          <w:tcPr>
            <w:tcW w:w="2449" w:type="dxa"/>
            <w:tcBorders>
              <w:bottom w:val="single" w:sz="4" w:space="0" w:color="auto"/>
            </w:tcBorders>
            <w:shd w:val="clear" w:color="auto" w:fill="auto"/>
            <w:tcMar>
              <w:top w:w="15" w:type="dxa"/>
              <w:left w:w="15" w:type="dxa"/>
              <w:bottom w:w="0" w:type="dxa"/>
              <w:right w:w="15" w:type="dxa"/>
            </w:tcMar>
            <w:vAlign w:val="center"/>
            <w:hideMark/>
          </w:tcPr>
          <w:p w14:paraId="7D4B1B10" w14:textId="77777777" w:rsidR="0047114B" w:rsidRPr="0047114B" w:rsidRDefault="0047114B" w:rsidP="00807473">
            <w:pPr>
              <w:spacing w:after="0" w:line="240" w:lineRule="auto"/>
              <w:jc w:val="right"/>
            </w:pPr>
            <w:r w:rsidRPr="0047114B">
              <w:t xml:space="preserve">$592,056 </w:t>
            </w:r>
          </w:p>
        </w:tc>
      </w:tr>
    </w:tbl>
    <w:p w14:paraId="336FB33F" w14:textId="5F3C4057" w:rsidR="0047114B" w:rsidRDefault="0047114B"/>
    <w:p w14:paraId="507D1347" w14:textId="28965DEF" w:rsidR="0047114B" w:rsidRPr="00807473" w:rsidRDefault="00E974F1" w:rsidP="0047114B">
      <w:r w:rsidRPr="00807473">
        <w:t xml:space="preserve">Table. 2. New grant funds </w:t>
      </w:r>
      <w:r w:rsidR="00807473">
        <w:t xml:space="preserve">administered through the WACFWRU during FY2018, </w:t>
      </w:r>
      <w:r w:rsidRPr="00807473">
        <w:t>by</w:t>
      </w:r>
      <w:r w:rsidR="0047114B" w:rsidRPr="00807473">
        <w:t xml:space="preserve"> </w:t>
      </w:r>
      <w:r w:rsidR="00CD7941">
        <w:t xml:space="preserve">source </w:t>
      </w:r>
      <w:r w:rsidR="0047114B" w:rsidRPr="00807473">
        <w:t>agency</w:t>
      </w:r>
      <w:r w:rsidRPr="00807473">
        <w:t xml:space="preserve">. </w:t>
      </w:r>
    </w:p>
    <w:tbl>
      <w:tblPr>
        <w:tblW w:w="9313" w:type="dxa"/>
        <w:tblCellMar>
          <w:left w:w="0" w:type="dxa"/>
          <w:right w:w="0" w:type="dxa"/>
        </w:tblCellMar>
        <w:tblLook w:val="0420" w:firstRow="1" w:lastRow="0" w:firstColumn="0" w:lastColumn="0" w:noHBand="0" w:noVBand="1"/>
      </w:tblPr>
      <w:tblGrid>
        <w:gridCol w:w="4437"/>
        <w:gridCol w:w="2438"/>
        <w:gridCol w:w="2438"/>
      </w:tblGrid>
      <w:tr w:rsidR="001D0E1E" w:rsidRPr="001D0E1E" w14:paraId="744982A3" w14:textId="77777777" w:rsidTr="00CD7941">
        <w:trPr>
          <w:trHeight w:val="149"/>
        </w:trPr>
        <w:tc>
          <w:tcPr>
            <w:tcW w:w="4437"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hideMark/>
          </w:tcPr>
          <w:p w14:paraId="48AE1AFF" w14:textId="77777777" w:rsidR="001D0E1E" w:rsidRPr="001D0E1E" w:rsidRDefault="001D0E1E" w:rsidP="001D0E1E">
            <w:pPr>
              <w:spacing w:after="0" w:line="240" w:lineRule="auto"/>
            </w:pPr>
            <w:r w:rsidRPr="001D0E1E">
              <w:rPr>
                <w:b/>
                <w:bCs/>
              </w:rPr>
              <w:t>Agency</w:t>
            </w:r>
          </w:p>
        </w:tc>
        <w:tc>
          <w:tcPr>
            <w:tcW w:w="2438"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A4E944F" w14:textId="77777777" w:rsidR="001D0E1E" w:rsidRPr="001D0E1E" w:rsidRDefault="001D0E1E" w:rsidP="00807473">
            <w:pPr>
              <w:spacing w:after="0" w:line="240" w:lineRule="auto"/>
              <w:jc w:val="right"/>
            </w:pPr>
            <w:r w:rsidRPr="001D0E1E">
              <w:rPr>
                <w:b/>
                <w:bCs/>
              </w:rPr>
              <w:t>UW</w:t>
            </w:r>
          </w:p>
        </w:tc>
        <w:tc>
          <w:tcPr>
            <w:tcW w:w="2438"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39C7537" w14:textId="77777777" w:rsidR="001D0E1E" w:rsidRPr="001D0E1E" w:rsidRDefault="001D0E1E" w:rsidP="00807473">
            <w:pPr>
              <w:spacing w:after="0" w:line="240" w:lineRule="auto"/>
              <w:jc w:val="right"/>
            </w:pPr>
            <w:r w:rsidRPr="001D0E1E">
              <w:rPr>
                <w:b/>
                <w:bCs/>
              </w:rPr>
              <w:t>WSU</w:t>
            </w:r>
          </w:p>
        </w:tc>
      </w:tr>
      <w:tr w:rsidR="001D0E1E" w:rsidRPr="001D0E1E" w14:paraId="12BA5EB4" w14:textId="77777777" w:rsidTr="00CD7941">
        <w:trPr>
          <w:trHeight w:val="149"/>
        </w:trPr>
        <w:tc>
          <w:tcPr>
            <w:tcW w:w="4437" w:type="dxa"/>
            <w:tcBorders>
              <w:top w:val="single" w:sz="8" w:space="0" w:color="000000"/>
              <w:left w:val="nil"/>
              <w:bottom w:val="nil"/>
              <w:right w:val="nil"/>
            </w:tcBorders>
            <w:shd w:val="clear" w:color="auto" w:fill="auto"/>
            <w:tcMar>
              <w:top w:w="15" w:type="dxa"/>
              <w:left w:w="15" w:type="dxa"/>
              <w:bottom w:w="0" w:type="dxa"/>
              <w:right w:w="15" w:type="dxa"/>
            </w:tcMar>
            <w:vAlign w:val="center"/>
          </w:tcPr>
          <w:p w14:paraId="4325A83E" w14:textId="5EBBB211" w:rsidR="001D0E1E" w:rsidRPr="001D0E1E" w:rsidRDefault="00807473" w:rsidP="001D0E1E">
            <w:pPr>
              <w:spacing w:after="0" w:line="240" w:lineRule="auto"/>
            </w:pPr>
            <w:r>
              <w:t>Federal</w:t>
            </w:r>
          </w:p>
        </w:tc>
        <w:tc>
          <w:tcPr>
            <w:tcW w:w="2438" w:type="dxa"/>
            <w:tcBorders>
              <w:top w:val="single" w:sz="8" w:space="0" w:color="000000"/>
              <w:left w:val="nil"/>
              <w:bottom w:val="nil"/>
              <w:right w:val="nil"/>
            </w:tcBorders>
            <w:shd w:val="clear" w:color="auto" w:fill="auto"/>
            <w:tcMar>
              <w:top w:w="15" w:type="dxa"/>
              <w:left w:w="15" w:type="dxa"/>
              <w:bottom w:w="0" w:type="dxa"/>
              <w:right w:w="15" w:type="dxa"/>
            </w:tcMar>
            <w:vAlign w:val="center"/>
          </w:tcPr>
          <w:p w14:paraId="16B42446" w14:textId="0C5CC4A0" w:rsidR="001D0E1E" w:rsidRPr="001D0E1E" w:rsidRDefault="001D0E1E" w:rsidP="00807473">
            <w:pPr>
              <w:spacing w:after="0" w:line="240" w:lineRule="auto"/>
              <w:jc w:val="right"/>
            </w:pPr>
          </w:p>
        </w:tc>
        <w:tc>
          <w:tcPr>
            <w:tcW w:w="2438" w:type="dxa"/>
            <w:tcBorders>
              <w:top w:val="single" w:sz="8" w:space="0" w:color="000000"/>
              <w:left w:val="nil"/>
              <w:bottom w:val="nil"/>
              <w:right w:val="nil"/>
            </w:tcBorders>
            <w:shd w:val="clear" w:color="auto" w:fill="auto"/>
            <w:tcMar>
              <w:top w:w="15" w:type="dxa"/>
              <w:left w:w="15" w:type="dxa"/>
              <w:bottom w:w="0" w:type="dxa"/>
              <w:right w:w="15" w:type="dxa"/>
            </w:tcMar>
            <w:vAlign w:val="bottom"/>
          </w:tcPr>
          <w:p w14:paraId="17E04B6D" w14:textId="2EDDC1B3" w:rsidR="001D0E1E" w:rsidRPr="001D0E1E" w:rsidRDefault="001D0E1E" w:rsidP="00807473">
            <w:pPr>
              <w:spacing w:after="0" w:line="240" w:lineRule="auto"/>
              <w:jc w:val="right"/>
            </w:pPr>
          </w:p>
        </w:tc>
      </w:tr>
      <w:tr w:rsidR="00807473" w:rsidRPr="001D0E1E" w14:paraId="0306DCA6" w14:textId="77777777" w:rsidTr="00CD7941">
        <w:trPr>
          <w:trHeight w:val="149"/>
        </w:trPr>
        <w:tc>
          <w:tcPr>
            <w:tcW w:w="4437" w:type="dxa"/>
            <w:tcBorders>
              <w:top w:val="nil"/>
              <w:left w:val="nil"/>
              <w:bottom w:val="nil"/>
              <w:right w:val="nil"/>
            </w:tcBorders>
            <w:shd w:val="clear" w:color="auto" w:fill="auto"/>
            <w:tcMar>
              <w:top w:w="15" w:type="dxa"/>
              <w:left w:w="15" w:type="dxa"/>
              <w:bottom w:w="0" w:type="dxa"/>
              <w:right w:w="15" w:type="dxa"/>
            </w:tcMar>
            <w:vAlign w:val="center"/>
          </w:tcPr>
          <w:p w14:paraId="12CFEB85" w14:textId="4DD496F1" w:rsidR="00807473" w:rsidRPr="001D0E1E" w:rsidRDefault="00807473" w:rsidP="00807473">
            <w:pPr>
              <w:spacing w:after="0" w:line="240" w:lineRule="auto"/>
            </w:pPr>
            <w:r>
              <w:t xml:space="preserve">   </w:t>
            </w:r>
            <w:r w:rsidRPr="001D0E1E">
              <w:t>B</w:t>
            </w:r>
            <w:r>
              <w:t>ureau of Reclamation</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4D8B15C6" w14:textId="577E6542" w:rsidR="00807473" w:rsidRPr="001D0E1E" w:rsidRDefault="00807473" w:rsidP="00807473">
            <w:pPr>
              <w:spacing w:after="0" w:line="240" w:lineRule="auto"/>
              <w:jc w:val="right"/>
            </w:pPr>
            <w:r w:rsidRPr="001D0E1E">
              <w:t xml:space="preserve">$122,774 </w:t>
            </w:r>
          </w:p>
        </w:tc>
        <w:tc>
          <w:tcPr>
            <w:tcW w:w="2438" w:type="dxa"/>
            <w:tcBorders>
              <w:top w:val="nil"/>
              <w:left w:val="nil"/>
              <w:bottom w:val="nil"/>
              <w:right w:val="nil"/>
            </w:tcBorders>
            <w:shd w:val="clear" w:color="auto" w:fill="auto"/>
            <w:tcMar>
              <w:top w:w="15" w:type="dxa"/>
              <w:left w:w="15" w:type="dxa"/>
              <w:bottom w:w="0" w:type="dxa"/>
              <w:right w:w="15" w:type="dxa"/>
            </w:tcMar>
            <w:vAlign w:val="bottom"/>
          </w:tcPr>
          <w:p w14:paraId="6BCF1934" w14:textId="26FF79C2" w:rsidR="00807473" w:rsidRPr="001D0E1E" w:rsidRDefault="00807473" w:rsidP="00807473">
            <w:pPr>
              <w:spacing w:after="0" w:line="240" w:lineRule="auto"/>
              <w:jc w:val="right"/>
            </w:pPr>
            <w:r w:rsidRPr="001D0E1E">
              <w:t>-</w:t>
            </w:r>
          </w:p>
        </w:tc>
      </w:tr>
      <w:tr w:rsidR="00807473" w:rsidRPr="001D0E1E" w14:paraId="36895A85" w14:textId="77777777" w:rsidTr="00CD7941">
        <w:trPr>
          <w:trHeight w:val="149"/>
        </w:trPr>
        <w:tc>
          <w:tcPr>
            <w:tcW w:w="4437" w:type="dxa"/>
            <w:tcBorders>
              <w:top w:val="nil"/>
              <w:left w:val="nil"/>
              <w:bottom w:val="nil"/>
              <w:right w:val="nil"/>
            </w:tcBorders>
            <w:shd w:val="clear" w:color="auto" w:fill="auto"/>
            <w:tcMar>
              <w:top w:w="15" w:type="dxa"/>
              <w:left w:w="15" w:type="dxa"/>
              <w:bottom w:w="0" w:type="dxa"/>
              <w:right w:w="15" w:type="dxa"/>
            </w:tcMar>
            <w:vAlign w:val="center"/>
          </w:tcPr>
          <w:p w14:paraId="624CD967" w14:textId="5E7F1EFC" w:rsidR="00807473" w:rsidRPr="001D0E1E" w:rsidRDefault="00807473" w:rsidP="00807473">
            <w:pPr>
              <w:spacing w:after="0" w:line="240" w:lineRule="auto"/>
            </w:pPr>
            <w:r>
              <w:t xml:space="preserve">   </w:t>
            </w:r>
            <w:r w:rsidRPr="001D0E1E">
              <w:t>N</w:t>
            </w:r>
            <w:r>
              <w:t xml:space="preserve">ational </w:t>
            </w:r>
            <w:r w:rsidRPr="001D0E1E">
              <w:t>O</w:t>
            </w:r>
            <w:r>
              <w:t xml:space="preserve">ceanic and </w:t>
            </w:r>
            <w:r w:rsidRPr="001D0E1E">
              <w:t>A</w:t>
            </w:r>
            <w:r>
              <w:t xml:space="preserve">tmospheric </w:t>
            </w:r>
            <w:r w:rsidRPr="001D0E1E">
              <w:t>A</w:t>
            </w:r>
            <w:r>
              <w:t>dministration</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393D3484" w14:textId="304A4002" w:rsidR="00807473" w:rsidRPr="001D0E1E" w:rsidRDefault="00807473" w:rsidP="00807473">
            <w:pPr>
              <w:spacing w:after="0" w:line="240" w:lineRule="auto"/>
              <w:jc w:val="right"/>
            </w:pPr>
            <w:r w:rsidRPr="001D0E1E">
              <w:t>$18,868</w:t>
            </w:r>
          </w:p>
        </w:tc>
        <w:tc>
          <w:tcPr>
            <w:tcW w:w="2438" w:type="dxa"/>
            <w:tcBorders>
              <w:top w:val="nil"/>
              <w:left w:val="nil"/>
              <w:bottom w:val="nil"/>
              <w:right w:val="nil"/>
            </w:tcBorders>
            <w:shd w:val="clear" w:color="auto" w:fill="auto"/>
            <w:tcMar>
              <w:top w:w="15" w:type="dxa"/>
              <w:left w:w="15" w:type="dxa"/>
              <w:bottom w:w="0" w:type="dxa"/>
              <w:right w:w="15" w:type="dxa"/>
            </w:tcMar>
            <w:vAlign w:val="bottom"/>
          </w:tcPr>
          <w:p w14:paraId="7C146C3D" w14:textId="2B866B4A" w:rsidR="00807473" w:rsidRPr="001D0E1E" w:rsidRDefault="00807473" w:rsidP="00807473">
            <w:pPr>
              <w:spacing w:after="0" w:line="240" w:lineRule="auto"/>
              <w:jc w:val="right"/>
            </w:pPr>
            <w:r w:rsidRPr="001D0E1E">
              <w:t>-</w:t>
            </w:r>
          </w:p>
        </w:tc>
      </w:tr>
      <w:tr w:rsidR="00807473" w:rsidRPr="001D0E1E" w14:paraId="5CAC170B" w14:textId="77777777" w:rsidTr="00CD7941">
        <w:trPr>
          <w:trHeight w:val="149"/>
        </w:trPr>
        <w:tc>
          <w:tcPr>
            <w:tcW w:w="4437" w:type="dxa"/>
            <w:tcBorders>
              <w:top w:val="nil"/>
              <w:left w:val="nil"/>
              <w:bottom w:val="nil"/>
              <w:right w:val="nil"/>
            </w:tcBorders>
            <w:shd w:val="clear" w:color="auto" w:fill="auto"/>
            <w:tcMar>
              <w:top w:w="15" w:type="dxa"/>
              <w:left w:w="15" w:type="dxa"/>
              <w:bottom w:w="0" w:type="dxa"/>
              <w:right w:w="15" w:type="dxa"/>
            </w:tcMar>
            <w:vAlign w:val="center"/>
          </w:tcPr>
          <w:p w14:paraId="4E626B9E" w14:textId="493056CF" w:rsidR="00807473" w:rsidRPr="001D0E1E" w:rsidRDefault="00807473" w:rsidP="00807473">
            <w:pPr>
              <w:spacing w:after="0" w:line="240" w:lineRule="auto"/>
            </w:pPr>
            <w:r>
              <w:t xml:space="preserve">   </w:t>
            </w:r>
            <w:r w:rsidRPr="001D0E1E">
              <w:t>U</w:t>
            </w:r>
            <w:r>
              <w:t>.</w:t>
            </w:r>
            <w:r w:rsidRPr="001D0E1E">
              <w:t>S</w:t>
            </w:r>
            <w:r>
              <w:t xml:space="preserve">. </w:t>
            </w:r>
            <w:r w:rsidRPr="001D0E1E">
              <w:t>A</w:t>
            </w:r>
            <w:r>
              <w:t xml:space="preserve">rmy </w:t>
            </w:r>
            <w:r w:rsidRPr="001D0E1E">
              <w:t>C</w:t>
            </w:r>
            <w:r>
              <w:t xml:space="preserve">orps of </w:t>
            </w:r>
            <w:r w:rsidRPr="001D0E1E">
              <w:t>E</w:t>
            </w:r>
            <w:r>
              <w:t>ngineers</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30C77B4B" w14:textId="3A9730D5" w:rsidR="00807473" w:rsidRPr="001D0E1E" w:rsidRDefault="00807473" w:rsidP="00807473">
            <w:pPr>
              <w:spacing w:after="0" w:line="240" w:lineRule="auto"/>
              <w:jc w:val="right"/>
            </w:pPr>
            <w:r w:rsidRPr="001D0E1E">
              <w:t xml:space="preserve">$0 </w:t>
            </w:r>
          </w:p>
        </w:tc>
        <w:tc>
          <w:tcPr>
            <w:tcW w:w="2438" w:type="dxa"/>
            <w:tcBorders>
              <w:top w:val="nil"/>
              <w:left w:val="nil"/>
              <w:bottom w:val="nil"/>
              <w:right w:val="nil"/>
            </w:tcBorders>
            <w:shd w:val="clear" w:color="auto" w:fill="auto"/>
            <w:tcMar>
              <w:top w:w="15" w:type="dxa"/>
              <w:left w:w="15" w:type="dxa"/>
              <w:bottom w:w="0" w:type="dxa"/>
              <w:right w:w="15" w:type="dxa"/>
            </w:tcMar>
            <w:vAlign w:val="bottom"/>
          </w:tcPr>
          <w:p w14:paraId="6FD1BF7D" w14:textId="55394135" w:rsidR="00807473" w:rsidRPr="001D0E1E" w:rsidRDefault="00807473" w:rsidP="00807473">
            <w:pPr>
              <w:spacing w:after="0" w:line="240" w:lineRule="auto"/>
              <w:jc w:val="right"/>
            </w:pPr>
            <w:r w:rsidRPr="001D0E1E">
              <w:t>-</w:t>
            </w:r>
          </w:p>
        </w:tc>
      </w:tr>
      <w:tr w:rsidR="00807473" w:rsidRPr="001D0E1E" w14:paraId="4C6E2003" w14:textId="77777777" w:rsidTr="00CD7941">
        <w:trPr>
          <w:trHeight w:val="149"/>
        </w:trPr>
        <w:tc>
          <w:tcPr>
            <w:tcW w:w="4437" w:type="dxa"/>
            <w:tcBorders>
              <w:top w:val="nil"/>
              <w:left w:val="nil"/>
              <w:bottom w:val="nil"/>
              <w:right w:val="nil"/>
            </w:tcBorders>
            <w:shd w:val="clear" w:color="auto" w:fill="auto"/>
            <w:tcMar>
              <w:top w:w="15" w:type="dxa"/>
              <w:left w:w="15" w:type="dxa"/>
              <w:bottom w:w="0" w:type="dxa"/>
              <w:right w:w="15" w:type="dxa"/>
            </w:tcMar>
            <w:vAlign w:val="center"/>
          </w:tcPr>
          <w:p w14:paraId="50FCEBEB" w14:textId="70C4CE6E" w:rsidR="00807473" w:rsidRPr="001D0E1E" w:rsidRDefault="00807473" w:rsidP="00807473">
            <w:pPr>
              <w:spacing w:after="0" w:line="240" w:lineRule="auto"/>
            </w:pPr>
            <w:r>
              <w:t xml:space="preserve">   </w:t>
            </w:r>
            <w:r w:rsidRPr="001D0E1E">
              <w:t>U</w:t>
            </w:r>
            <w:r>
              <w:t>.</w:t>
            </w:r>
            <w:r w:rsidRPr="001D0E1E">
              <w:t>S</w:t>
            </w:r>
            <w:r>
              <w:t xml:space="preserve">. </w:t>
            </w:r>
            <w:r w:rsidRPr="001D0E1E">
              <w:t>F</w:t>
            </w:r>
            <w:r>
              <w:t xml:space="preserve">ish and </w:t>
            </w:r>
            <w:r w:rsidRPr="001D0E1E">
              <w:t>W</w:t>
            </w:r>
            <w:r>
              <w:t xml:space="preserve">ildlife </w:t>
            </w:r>
            <w:r w:rsidRPr="001D0E1E">
              <w:t>S</w:t>
            </w:r>
            <w:r>
              <w:t>ervice</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11F377EE" w14:textId="34D3DC5A" w:rsidR="00807473" w:rsidRPr="001D0E1E" w:rsidRDefault="00807473" w:rsidP="00807473">
            <w:pPr>
              <w:spacing w:after="0" w:line="240" w:lineRule="auto"/>
              <w:jc w:val="right"/>
            </w:pPr>
            <w:r w:rsidRPr="001D0E1E">
              <w:t xml:space="preserve">$95,595 </w:t>
            </w:r>
          </w:p>
        </w:tc>
        <w:tc>
          <w:tcPr>
            <w:tcW w:w="2438" w:type="dxa"/>
            <w:tcBorders>
              <w:top w:val="nil"/>
              <w:left w:val="nil"/>
              <w:bottom w:val="nil"/>
              <w:right w:val="nil"/>
            </w:tcBorders>
            <w:shd w:val="clear" w:color="auto" w:fill="auto"/>
            <w:tcMar>
              <w:top w:w="15" w:type="dxa"/>
              <w:left w:w="15" w:type="dxa"/>
              <w:bottom w:w="0" w:type="dxa"/>
              <w:right w:w="15" w:type="dxa"/>
            </w:tcMar>
            <w:vAlign w:val="bottom"/>
          </w:tcPr>
          <w:p w14:paraId="444CABF8" w14:textId="3EB92623" w:rsidR="00807473" w:rsidRPr="001D0E1E" w:rsidRDefault="00807473" w:rsidP="00807473">
            <w:pPr>
              <w:spacing w:after="0" w:line="240" w:lineRule="auto"/>
              <w:jc w:val="right"/>
            </w:pPr>
            <w:r w:rsidRPr="001D0E1E">
              <w:t>-</w:t>
            </w:r>
          </w:p>
        </w:tc>
      </w:tr>
      <w:tr w:rsidR="00807473" w:rsidRPr="001D0E1E" w14:paraId="112C2D6E" w14:textId="77777777" w:rsidTr="00CD7941">
        <w:trPr>
          <w:trHeight w:val="149"/>
        </w:trPr>
        <w:tc>
          <w:tcPr>
            <w:tcW w:w="4437" w:type="dxa"/>
            <w:tcBorders>
              <w:top w:val="nil"/>
              <w:left w:val="nil"/>
              <w:bottom w:val="nil"/>
              <w:right w:val="nil"/>
            </w:tcBorders>
            <w:shd w:val="clear" w:color="auto" w:fill="auto"/>
            <w:tcMar>
              <w:top w:w="15" w:type="dxa"/>
              <w:left w:w="15" w:type="dxa"/>
              <w:bottom w:w="0" w:type="dxa"/>
              <w:right w:w="15" w:type="dxa"/>
            </w:tcMar>
            <w:vAlign w:val="center"/>
          </w:tcPr>
          <w:p w14:paraId="37CEE18A" w14:textId="72A64C2A" w:rsidR="00807473" w:rsidRPr="001D0E1E" w:rsidRDefault="00807473" w:rsidP="00807473">
            <w:pPr>
              <w:spacing w:after="0" w:line="240" w:lineRule="auto"/>
            </w:pPr>
            <w:r>
              <w:t xml:space="preserve">   </w:t>
            </w:r>
            <w:r w:rsidRPr="001D0E1E">
              <w:t>U</w:t>
            </w:r>
            <w:r>
              <w:t>.</w:t>
            </w:r>
            <w:r w:rsidRPr="001D0E1E">
              <w:t>S</w:t>
            </w:r>
            <w:r>
              <w:t xml:space="preserve">. </w:t>
            </w:r>
            <w:r w:rsidRPr="001D0E1E">
              <w:t>G</w:t>
            </w:r>
            <w:r>
              <w:t xml:space="preserve">eological </w:t>
            </w:r>
            <w:r w:rsidRPr="001D0E1E">
              <w:t>S</w:t>
            </w:r>
            <w:r>
              <w:t>urvey</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16AF4BCB" w14:textId="6A612AE0" w:rsidR="00807473" w:rsidRPr="001D0E1E" w:rsidRDefault="00807473" w:rsidP="00807473">
            <w:pPr>
              <w:spacing w:after="0" w:line="240" w:lineRule="auto"/>
              <w:jc w:val="right"/>
            </w:pPr>
            <w:r w:rsidRPr="001D0E1E">
              <w:t xml:space="preserve">$408,777 </w:t>
            </w:r>
          </w:p>
        </w:tc>
        <w:tc>
          <w:tcPr>
            <w:tcW w:w="2438" w:type="dxa"/>
            <w:tcBorders>
              <w:top w:val="nil"/>
              <w:left w:val="nil"/>
              <w:bottom w:val="nil"/>
              <w:right w:val="nil"/>
            </w:tcBorders>
            <w:shd w:val="clear" w:color="auto" w:fill="auto"/>
            <w:tcMar>
              <w:top w:w="15" w:type="dxa"/>
              <w:left w:w="15" w:type="dxa"/>
              <w:bottom w:w="0" w:type="dxa"/>
              <w:right w:w="15" w:type="dxa"/>
            </w:tcMar>
            <w:vAlign w:val="bottom"/>
          </w:tcPr>
          <w:p w14:paraId="5DFB6A5C" w14:textId="2CB6D36E" w:rsidR="00807473" w:rsidRPr="001D0E1E" w:rsidRDefault="00807473" w:rsidP="00807473">
            <w:pPr>
              <w:spacing w:after="0" w:line="240" w:lineRule="auto"/>
              <w:jc w:val="right"/>
            </w:pPr>
            <w:r w:rsidRPr="001D0E1E">
              <w:t>-</w:t>
            </w:r>
          </w:p>
        </w:tc>
      </w:tr>
      <w:tr w:rsidR="00807473" w:rsidRPr="001D0E1E" w14:paraId="4CB862B1" w14:textId="77777777" w:rsidTr="00CD7941">
        <w:trPr>
          <w:trHeight w:val="149"/>
        </w:trPr>
        <w:tc>
          <w:tcPr>
            <w:tcW w:w="4437" w:type="dxa"/>
            <w:tcBorders>
              <w:top w:val="nil"/>
              <w:left w:val="nil"/>
              <w:bottom w:val="nil"/>
              <w:right w:val="nil"/>
            </w:tcBorders>
            <w:shd w:val="clear" w:color="auto" w:fill="auto"/>
            <w:tcMar>
              <w:top w:w="15" w:type="dxa"/>
              <w:left w:w="15" w:type="dxa"/>
              <w:bottom w:w="0" w:type="dxa"/>
              <w:right w:w="15" w:type="dxa"/>
            </w:tcMar>
            <w:vAlign w:val="center"/>
          </w:tcPr>
          <w:p w14:paraId="66D79EEA" w14:textId="161825CC" w:rsidR="00807473" w:rsidRPr="001D0E1E" w:rsidRDefault="00807473" w:rsidP="00807473">
            <w:pPr>
              <w:spacing w:after="0" w:line="240" w:lineRule="auto"/>
            </w:pPr>
            <w:r>
              <w:t>State</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78F85B8F" w14:textId="24E49BCA" w:rsidR="00807473" w:rsidRPr="001D0E1E" w:rsidRDefault="00807473" w:rsidP="00807473">
            <w:pPr>
              <w:spacing w:after="0" w:line="240" w:lineRule="auto"/>
              <w:jc w:val="right"/>
            </w:pPr>
            <w:r w:rsidRPr="001D0E1E">
              <w:t xml:space="preserve">$0 </w:t>
            </w:r>
          </w:p>
        </w:tc>
        <w:tc>
          <w:tcPr>
            <w:tcW w:w="2438" w:type="dxa"/>
            <w:tcBorders>
              <w:top w:val="nil"/>
              <w:left w:val="nil"/>
              <w:bottom w:val="nil"/>
              <w:right w:val="nil"/>
            </w:tcBorders>
            <w:shd w:val="clear" w:color="auto" w:fill="auto"/>
            <w:tcMar>
              <w:top w:w="15" w:type="dxa"/>
              <w:left w:w="15" w:type="dxa"/>
              <w:bottom w:w="0" w:type="dxa"/>
              <w:right w:w="15" w:type="dxa"/>
            </w:tcMar>
            <w:vAlign w:val="bottom"/>
          </w:tcPr>
          <w:p w14:paraId="6ADD7402" w14:textId="7139514C" w:rsidR="00807473" w:rsidRPr="001D0E1E" w:rsidRDefault="00807473" w:rsidP="00807473">
            <w:pPr>
              <w:spacing w:after="0" w:line="240" w:lineRule="auto"/>
              <w:jc w:val="right"/>
            </w:pPr>
            <w:r w:rsidRPr="001D0E1E">
              <w:t>-</w:t>
            </w:r>
          </w:p>
        </w:tc>
      </w:tr>
      <w:tr w:rsidR="00807473" w:rsidRPr="001D0E1E" w14:paraId="7504BB18" w14:textId="77777777" w:rsidTr="00CD7941">
        <w:trPr>
          <w:trHeight w:val="149"/>
        </w:trPr>
        <w:tc>
          <w:tcPr>
            <w:tcW w:w="4437" w:type="dxa"/>
            <w:tcBorders>
              <w:top w:val="nil"/>
              <w:left w:val="nil"/>
              <w:bottom w:val="nil"/>
              <w:right w:val="nil"/>
            </w:tcBorders>
            <w:shd w:val="clear" w:color="auto" w:fill="auto"/>
            <w:tcMar>
              <w:top w:w="15" w:type="dxa"/>
              <w:left w:w="15" w:type="dxa"/>
              <w:bottom w:w="0" w:type="dxa"/>
              <w:right w:w="15" w:type="dxa"/>
            </w:tcMar>
            <w:vAlign w:val="center"/>
          </w:tcPr>
          <w:p w14:paraId="58AF04C7" w14:textId="6FAF7CE1" w:rsidR="00807473" w:rsidRPr="001D0E1E" w:rsidRDefault="00807473" w:rsidP="00807473">
            <w:pPr>
              <w:spacing w:after="0" w:line="240" w:lineRule="auto"/>
            </w:pPr>
            <w:r>
              <w:t xml:space="preserve">   </w:t>
            </w:r>
            <w:r w:rsidRPr="001D0E1E">
              <w:t>W</w:t>
            </w:r>
            <w:r>
              <w:t xml:space="preserve">A </w:t>
            </w:r>
            <w:r w:rsidRPr="001D0E1E">
              <w:t>D</w:t>
            </w:r>
            <w:r>
              <w:t>epartment of Fish and Wildlife-</w:t>
            </w:r>
            <w:r w:rsidRPr="001D0E1E">
              <w:t>Fish</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4D573663" w14:textId="35A782D5" w:rsidR="00807473" w:rsidRPr="001D0E1E" w:rsidRDefault="00807473" w:rsidP="00807473">
            <w:pPr>
              <w:spacing w:after="0" w:line="240" w:lineRule="auto"/>
              <w:jc w:val="right"/>
            </w:pPr>
            <w:r w:rsidRPr="001D0E1E">
              <w:t xml:space="preserve">$262,413 </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25CE439E" w14:textId="7652FC71" w:rsidR="00807473" w:rsidRPr="001D0E1E" w:rsidRDefault="00807473" w:rsidP="00807473">
            <w:pPr>
              <w:spacing w:after="0" w:line="240" w:lineRule="auto"/>
              <w:jc w:val="right"/>
            </w:pPr>
            <w:r w:rsidRPr="001D0E1E">
              <w:t xml:space="preserve">$0 </w:t>
            </w:r>
          </w:p>
        </w:tc>
      </w:tr>
      <w:tr w:rsidR="00807473" w:rsidRPr="001D0E1E" w14:paraId="06742356" w14:textId="77777777" w:rsidTr="00CD7941">
        <w:trPr>
          <w:trHeight w:val="149"/>
        </w:trPr>
        <w:tc>
          <w:tcPr>
            <w:tcW w:w="4437" w:type="dxa"/>
            <w:tcBorders>
              <w:top w:val="nil"/>
              <w:left w:val="nil"/>
              <w:bottom w:val="nil"/>
              <w:right w:val="nil"/>
            </w:tcBorders>
            <w:shd w:val="clear" w:color="auto" w:fill="auto"/>
            <w:tcMar>
              <w:top w:w="15" w:type="dxa"/>
              <w:left w:w="15" w:type="dxa"/>
              <w:bottom w:w="0" w:type="dxa"/>
              <w:right w:w="15" w:type="dxa"/>
            </w:tcMar>
          </w:tcPr>
          <w:p w14:paraId="518A787C" w14:textId="3A56C211" w:rsidR="00807473" w:rsidRPr="001D0E1E" w:rsidRDefault="00807473" w:rsidP="00807473">
            <w:pPr>
              <w:spacing w:after="0" w:line="240" w:lineRule="auto"/>
            </w:pPr>
            <w:r>
              <w:t xml:space="preserve">   </w:t>
            </w:r>
            <w:r w:rsidRPr="00B60492">
              <w:t>WA Department of Fish and Wildlife-</w:t>
            </w:r>
            <w:r>
              <w:t>Wildlife</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483D151F" w14:textId="1605F9F7" w:rsidR="00807473" w:rsidRPr="001D0E1E" w:rsidRDefault="00807473" w:rsidP="00807473">
            <w:pPr>
              <w:spacing w:after="0" w:line="240" w:lineRule="auto"/>
              <w:jc w:val="right"/>
            </w:pPr>
            <w:r w:rsidRPr="001D0E1E">
              <w:t xml:space="preserve">$66,630 </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6A602B90" w14:textId="7E53400F" w:rsidR="00807473" w:rsidRPr="001D0E1E" w:rsidRDefault="00807473" w:rsidP="00807473">
            <w:pPr>
              <w:spacing w:after="0" w:line="240" w:lineRule="auto"/>
              <w:jc w:val="right"/>
            </w:pPr>
            <w:r w:rsidRPr="001D0E1E">
              <w:t xml:space="preserve">$81,470 </w:t>
            </w:r>
          </w:p>
        </w:tc>
      </w:tr>
      <w:tr w:rsidR="00807473" w:rsidRPr="001D0E1E" w14:paraId="20B6C1C3" w14:textId="77777777" w:rsidTr="00CD7941">
        <w:trPr>
          <w:trHeight w:val="149"/>
        </w:trPr>
        <w:tc>
          <w:tcPr>
            <w:tcW w:w="4437" w:type="dxa"/>
            <w:tcBorders>
              <w:top w:val="nil"/>
              <w:left w:val="nil"/>
              <w:bottom w:val="nil"/>
              <w:right w:val="nil"/>
            </w:tcBorders>
            <w:shd w:val="clear" w:color="auto" w:fill="auto"/>
            <w:tcMar>
              <w:top w:w="15" w:type="dxa"/>
              <w:left w:w="15" w:type="dxa"/>
              <w:bottom w:w="0" w:type="dxa"/>
              <w:right w:w="15" w:type="dxa"/>
            </w:tcMar>
          </w:tcPr>
          <w:p w14:paraId="307C3C90" w14:textId="2D5FE99B" w:rsidR="00807473" w:rsidRPr="001D0E1E" w:rsidRDefault="00807473" w:rsidP="00807473">
            <w:pPr>
              <w:spacing w:after="0" w:line="240" w:lineRule="auto"/>
            </w:pPr>
            <w:r>
              <w:t xml:space="preserve">   </w:t>
            </w:r>
            <w:r w:rsidRPr="00B60492">
              <w:t>WA Department of Fish and Wildlife-</w:t>
            </w:r>
            <w:r>
              <w:t>Habitat</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292C1B22" w14:textId="18340097" w:rsidR="00807473" w:rsidRPr="001D0E1E" w:rsidRDefault="00807473" w:rsidP="00807473">
            <w:pPr>
              <w:spacing w:after="0" w:line="240" w:lineRule="auto"/>
              <w:jc w:val="right"/>
            </w:pPr>
            <w:r w:rsidRPr="001D0E1E">
              <w:t xml:space="preserve">$180,000 </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1C19B162" w14:textId="1E07663E" w:rsidR="00807473" w:rsidRPr="001D0E1E" w:rsidRDefault="00807473" w:rsidP="00807473">
            <w:pPr>
              <w:spacing w:after="0" w:line="240" w:lineRule="auto"/>
              <w:jc w:val="right"/>
            </w:pPr>
            <w:r w:rsidRPr="001D0E1E">
              <w:t xml:space="preserve">$25,000 </w:t>
            </w:r>
          </w:p>
        </w:tc>
      </w:tr>
      <w:tr w:rsidR="00807473" w:rsidRPr="001D0E1E" w14:paraId="5F18A61B" w14:textId="77777777" w:rsidTr="00CD7941">
        <w:trPr>
          <w:trHeight w:val="149"/>
        </w:trPr>
        <w:tc>
          <w:tcPr>
            <w:tcW w:w="4437" w:type="dxa"/>
            <w:tcBorders>
              <w:top w:val="nil"/>
              <w:left w:val="nil"/>
              <w:bottom w:val="nil"/>
              <w:right w:val="nil"/>
            </w:tcBorders>
            <w:shd w:val="clear" w:color="auto" w:fill="auto"/>
            <w:tcMar>
              <w:top w:w="15" w:type="dxa"/>
              <w:left w:w="15" w:type="dxa"/>
              <w:bottom w:w="0" w:type="dxa"/>
              <w:right w:w="15" w:type="dxa"/>
            </w:tcMar>
            <w:vAlign w:val="center"/>
          </w:tcPr>
          <w:p w14:paraId="1E34226B" w14:textId="5391BA92" w:rsidR="00807473" w:rsidRPr="001D0E1E" w:rsidRDefault="00807473" w:rsidP="00807473">
            <w:pPr>
              <w:spacing w:after="0" w:line="240" w:lineRule="auto"/>
            </w:pPr>
            <w:r>
              <w:t xml:space="preserve">   </w:t>
            </w:r>
            <w:r w:rsidRPr="001D0E1E">
              <w:t>W</w:t>
            </w:r>
            <w:r>
              <w:t>A Department of Natural Resources</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51192EC6" w14:textId="5B00607B" w:rsidR="00807473" w:rsidRPr="001D0E1E" w:rsidRDefault="00807473" w:rsidP="00807473">
            <w:pPr>
              <w:spacing w:after="0" w:line="240" w:lineRule="auto"/>
              <w:jc w:val="right"/>
            </w:pPr>
            <w:r w:rsidRPr="001D0E1E">
              <w:t xml:space="preserve">$832,608 </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4E243BD8" w14:textId="388229B9" w:rsidR="00807473" w:rsidRPr="001D0E1E" w:rsidRDefault="00807473" w:rsidP="00807473">
            <w:pPr>
              <w:spacing w:after="0" w:line="240" w:lineRule="auto"/>
              <w:jc w:val="right"/>
            </w:pPr>
            <w:r w:rsidRPr="001D0E1E">
              <w:t xml:space="preserve">$0 </w:t>
            </w:r>
          </w:p>
        </w:tc>
      </w:tr>
      <w:tr w:rsidR="00807473" w:rsidRPr="001D0E1E" w14:paraId="47573E29" w14:textId="77777777" w:rsidTr="00CD7941">
        <w:trPr>
          <w:trHeight w:val="149"/>
        </w:trPr>
        <w:tc>
          <w:tcPr>
            <w:tcW w:w="4437" w:type="dxa"/>
            <w:tcBorders>
              <w:top w:val="nil"/>
              <w:left w:val="nil"/>
              <w:bottom w:val="nil"/>
              <w:right w:val="nil"/>
            </w:tcBorders>
            <w:shd w:val="clear" w:color="auto" w:fill="auto"/>
            <w:tcMar>
              <w:top w:w="15" w:type="dxa"/>
              <w:left w:w="15" w:type="dxa"/>
              <w:bottom w:w="0" w:type="dxa"/>
              <w:right w:w="15" w:type="dxa"/>
            </w:tcMar>
            <w:vAlign w:val="center"/>
          </w:tcPr>
          <w:p w14:paraId="3B7BDFE7" w14:textId="18AF5606" w:rsidR="00807473" w:rsidRPr="001D0E1E" w:rsidRDefault="00807473" w:rsidP="00807473">
            <w:pPr>
              <w:spacing w:after="0" w:line="240" w:lineRule="auto"/>
            </w:pPr>
            <w:r>
              <w:t xml:space="preserve">   </w:t>
            </w:r>
            <w:r w:rsidRPr="001D0E1E">
              <w:t>W</w:t>
            </w:r>
            <w:r>
              <w:t xml:space="preserve">A </w:t>
            </w:r>
            <w:r w:rsidRPr="001D0E1E">
              <w:t>D</w:t>
            </w:r>
            <w:r>
              <w:t xml:space="preserve">epartment of </w:t>
            </w:r>
            <w:r w:rsidRPr="001D0E1E">
              <w:t>E</w:t>
            </w:r>
            <w:r>
              <w:t>cology</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1A49749E" w14:textId="0A51EA57" w:rsidR="00807473" w:rsidRPr="001D0E1E" w:rsidRDefault="00807473" w:rsidP="00807473">
            <w:pPr>
              <w:spacing w:after="0" w:line="240" w:lineRule="auto"/>
              <w:jc w:val="right"/>
            </w:pPr>
            <w:r w:rsidRPr="001D0E1E">
              <w:t xml:space="preserve">$97,249 </w:t>
            </w:r>
          </w:p>
        </w:tc>
        <w:tc>
          <w:tcPr>
            <w:tcW w:w="2438" w:type="dxa"/>
            <w:tcBorders>
              <w:top w:val="nil"/>
              <w:left w:val="nil"/>
              <w:bottom w:val="nil"/>
              <w:right w:val="nil"/>
            </w:tcBorders>
            <w:shd w:val="clear" w:color="auto" w:fill="auto"/>
            <w:tcMar>
              <w:top w:w="15" w:type="dxa"/>
              <w:left w:w="15" w:type="dxa"/>
              <w:bottom w:w="0" w:type="dxa"/>
              <w:right w:w="15" w:type="dxa"/>
            </w:tcMar>
            <w:vAlign w:val="center"/>
          </w:tcPr>
          <w:p w14:paraId="0F0B80C2" w14:textId="0397B98A" w:rsidR="00807473" w:rsidRPr="001D0E1E" w:rsidRDefault="00807473" w:rsidP="00807473">
            <w:pPr>
              <w:spacing w:after="0" w:line="240" w:lineRule="auto"/>
              <w:jc w:val="right"/>
            </w:pPr>
            <w:r w:rsidRPr="001D0E1E">
              <w:t xml:space="preserve">$95,046 </w:t>
            </w:r>
          </w:p>
        </w:tc>
      </w:tr>
      <w:tr w:rsidR="00807473" w:rsidRPr="001D0E1E" w14:paraId="58696240" w14:textId="77777777" w:rsidTr="00CD7941">
        <w:trPr>
          <w:trHeight w:val="149"/>
        </w:trPr>
        <w:tc>
          <w:tcPr>
            <w:tcW w:w="4437" w:type="dxa"/>
            <w:tcBorders>
              <w:top w:val="nil"/>
              <w:left w:val="nil"/>
              <w:bottom w:val="single" w:sz="8" w:space="0" w:color="000000"/>
              <w:right w:val="nil"/>
            </w:tcBorders>
            <w:shd w:val="clear" w:color="auto" w:fill="auto"/>
            <w:tcMar>
              <w:top w:w="15" w:type="dxa"/>
              <w:left w:w="15" w:type="dxa"/>
              <w:bottom w:w="0" w:type="dxa"/>
              <w:right w:w="15" w:type="dxa"/>
            </w:tcMar>
            <w:vAlign w:val="center"/>
          </w:tcPr>
          <w:p w14:paraId="157AE8E2" w14:textId="051D0364" w:rsidR="00807473" w:rsidRPr="001D0E1E" w:rsidRDefault="00807473" w:rsidP="00807473">
            <w:pPr>
              <w:spacing w:after="0" w:line="240" w:lineRule="auto"/>
            </w:pPr>
            <w:r>
              <w:t>Other</w:t>
            </w:r>
          </w:p>
        </w:tc>
        <w:tc>
          <w:tcPr>
            <w:tcW w:w="2438" w:type="dxa"/>
            <w:tcBorders>
              <w:top w:val="nil"/>
              <w:left w:val="nil"/>
              <w:bottom w:val="single" w:sz="8" w:space="0" w:color="000000"/>
              <w:right w:val="nil"/>
            </w:tcBorders>
            <w:shd w:val="clear" w:color="auto" w:fill="auto"/>
            <w:tcMar>
              <w:top w:w="15" w:type="dxa"/>
              <w:left w:w="15" w:type="dxa"/>
              <w:bottom w:w="0" w:type="dxa"/>
              <w:right w:w="15" w:type="dxa"/>
            </w:tcMar>
            <w:vAlign w:val="center"/>
          </w:tcPr>
          <w:p w14:paraId="2744D157" w14:textId="71A77D31" w:rsidR="00807473" w:rsidRPr="001D0E1E" w:rsidRDefault="00807473" w:rsidP="00807473">
            <w:pPr>
              <w:spacing w:after="0" w:line="240" w:lineRule="auto"/>
              <w:jc w:val="right"/>
            </w:pPr>
            <w:r>
              <w:t>$0</w:t>
            </w:r>
          </w:p>
        </w:tc>
        <w:tc>
          <w:tcPr>
            <w:tcW w:w="2438" w:type="dxa"/>
            <w:tcBorders>
              <w:top w:val="nil"/>
              <w:left w:val="nil"/>
              <w:bottom w:val="single" w:sz="8" w:space="0" w:color="000000"/>
              <w:right w:val="nil"/>
            </w:tcBorders>
            <w:shd w:val="clear" w:color="auto" w:fill="auto"/>
            <w:tcMar>
              <w:top w:w="15" w:type="dxa"/>
              <w:left w:w="15" w:type="dxa"/>
              <w:bottom w:w="0" w:type="dxa"/>
              <w:right w:w="15" w:type="dxa"/>
            </w:tcMar>
            <w:vAlign w:val="center"/>
          </w:tcPr>
          <w:p w14:paraId="161FAE2B" w14:textId="417ABCBC" w:rsidR="00807473" w:rsidRPr="001D0E1E" w:rsidRDefault="00807473" w:rsidP="00807473">
            <w:pPr>
              <w:spacing w:after="0" w:line="240" w:lineRule="auto"/>
              <w:jc w:val="right"/>
            </w:pPr>
            <w:r>
              <w:t>-</w:t>
            </w:r>
          </w:p>
        </w:tc>
      </w:tr>
    </w:tbl>
    <w:p w14:paraId="7DB06262" w14:textId="76F4AA27" w:rsidR="00A60E82" w:rsidRDefault="00A60E82"/>
    <w:p w14:paraId="3DA4D254" w14:textId="48C649DD" w:rsidR="00FB51C3" w:rsidRDefault="00FB51C3"/>
    <w:p w14:paraId="7A0C8E81" w14:textId="77777777" w:rsidR="00FB51C3" w:rsidRDefault="00FB51C3"/>
    <w:p w14:paraId="7F5F3039" w14:textId="16515212" w:rsidR="00FB51C3" w:rsidRDefault="00A60E82">
      <w:r w:rsidRPr="00A60E82">
        <w:rPr>
          <w:noProof/>
        </w:rPr>
        <w:drawing>
          <wp:inline distT="0" distB="0" distL="0" distR="0" wp14:anchorId="71353EAA" wp14:editId="03692067">
            <wp:extent cx="5852160" cy="3200400"/>
            <wp:effectExtent l="0" t="0" r="15240" b="0"/>
            <wp:docPr id="1" name="Chart 1">
              <a:extLst xmlns:a="http://schemas.openxmlformats.org/drawingml/2006/main">
                <a:ext uri="{FF2B5EF4-FFF2-40B4-BE49-F238E27FC236}">
                  <a16:creationId xmlns:a16="http://schemas.microsoft.com/office/drawing/2014/main" id="{E65B6CC4-2A29-4FA5-9BF8-511F1F90E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607ABC" w14:textId="77777777" w:rsidR="00FB51C3" w:rsidRDefault="00FB51C3"/>
    <w:p w14:paraId="140B9320" w14:textId="7725C764" w:rsidR="00A60E82" w:rsidRDefault="00A60E82">
      <w:r w:rsidRPr="00A60E82">
        <w:rPr>
          <w:noProof/>
        </w:rPr>
        <w:drawing>
          <wp:inline distT="0" distB="0" distL="0" distR="0" wp14:anchorId="5E565348" wp14:editId="7C160908">
            <wp:extent cx="5852160" cy="3200400"/>
            <wp:effectExtent l="0" t="0" r="15240" b="0"/>
            <wp:docPr id="2" name="Chart 2">
              <a:extLst xmlns:a="http://schemas.openxmlformats.org/drawingml/2006/main">
                <a:ext uri="{FF2B5EF4-FFF2-40B4-BE49-F238E27FC236}">
                  <a16:creationId xmlns:a16="http://schemas.microsoft.com/office/drawing/2014/main" id="{C2B52928-0CFD-4B54-9300-5D6148A0CE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35328A" w14:textId="4E28C00A" w:rsidR="00A60E82" w:rsidRDefault="002D1183">
      <w:r>
        <w:t xml:space="preserve">Figure 1. Waiver used </w:t>
      </w:r>
      <w:r w:rsidR="00CD7941">
        <w:t xml:space="preserve">at University of Washington (top, purple) and Washington State University (bottom, red) for FY2017, FY2018, and FY2019. The waiver was completely used by all agencies at UW in FY2017 and FY2018 but was not completely used at WSU. </w:t>
      </w:r>
    </w:p>
    <w:p w14:paraId="447F1956" w14:textId="768D7726" w:rsidR="00C23744" w:rsidRDefault="00C23744">
      <w:bookmarkStart w:id="0" w:name="_GoBack"/>
      <w:bookmarkEnd w:id="0"/>
      <w:r>
        <w:lastRenderedPageBreak/>
        <w:t xml:space="preserve">Table 3. </w:t>
      </w:r>
      <w:r w:rsidR="00CD7941">
        <w:t>WACFWRU b</w:t>
      </w:r>
      <w:r>
        <w:t xml:space="preserve">ase funds </w:t>
      </w:r>
      <w:r w:rsidR="002D1183">
        <w:t xml:space="preserve">spent in FY2018 by category, and balance at end of FY2018. </w:t>
      </w:r>
    </w:p>
    <w:tbl>
      <w:tblPr>
        <w:tblW w:w="8928" w:type="dxa"/>
        <w:tblCellMar>
          <w:left w:w="0" w:type="dxa"/>
          <w:right w:w="0" w:type="dxa"/>
        </w:tblCellMar>
        <w:tblLook w:val="0420" w:firstRow="1" w:lastRow="0" w:firstColumn="0" w:lastColumn="0" w:noHBand="0" w:noVBand="1"/>
      </w:tblPr>
      <w:tblGrid>
        <w:gridCol w:w="4464"/>
        <w:gridCol w:w="4464"/>
      </w:tblGrid>
      <w:tr w:rsidR="00A60E82" w:rsidRPr="00A60E82" w14:paraId="13CC1BC4" w14:textId="77777777" w:rsidTr="00CD7941">
        <w:trPr>
          <w:trHeight w:val="159"/>
        </w:trPr>
        <w:tc>
          <w:tcPr>
            <w:tcW w:w="4464"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hideMark/>
          </w:tcPr>
          <w:p w14:paraId="2073AF3A" w14:textId="77777777" w:rsidR="00A60E82" w:rsidRPr="00A60E82" w:rsidRDefault="00A60E82" w:rsidP="00A60E82">
            <w:pPr>
              <w:spacing w:after="0" w:line="240" w:lineRule="auto"/>
            </w:pPr>
            <w:r w:rsidRPr="00A60E82">
              <w:rPr>
                <w:b/>
                <w:bCs/>
              </w:rPr>
              <w:t xml:space="preserve">Category </w:t>
            </w:r>
          </w:p>
        </w:tc>
        <w:tc>
          <w:tcPr>
            <w:tcW w:w="4464"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115FE5E" w14:textId="79E33105" w:rsidR="00A60E82" w:rsidRPr="00A60E82" w:rsidRDefault="00C23744" w:rsidP="00A60E82">
            <w:pPr>
              <w:spacing w:after="0" w:line="240" w:lineRule="auto"/>
            </w:pPr>
            <w:r>
              <w:rPr>
                <w:b/>
                <w:bCs/>
              </w:rPr>
              <w:t>Spent</w:t>
            </w:r>
          </w:p>
        </w:tc>
      </w:tr>
      <w:tr w:rsidR="00A60E82" w:rsidRPr="00A60E82" w14:paraId="1C894A93" w14:textId="77777777" w:rsidTr="00CD7941">
        <w:trPr>
          <w:trHeight w:val="159"/>
        </w:trPr>
        <w:tc>
          <w:tcPr>
            <w:tcW w:w="4464"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14:paraId="1851E9D9" w14:textId="77777777" w:rsidR="00A60E82" w:rsidRPr="00A60E82" w:rsidRDefault="00A60E82" w:rsidP="00A60E82">
            <w:pPr>
              <w:spacing w:after="0" w:line="240" w:lineRule="auto"/>
            </w:pPr>
            <w:r w:rsidRPr="00A60E82">
              <w:t>Salaries</w:t>
            </w:r>
          </w:p>
        </w:tc>
        <w:tc>
          <w:tcPr>
            <w:tcW w:w="4464"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14:paraId="1984F3CA" w14:textId="77777777" w:rsidR="00A60E82" w:rsidRPr="00A60E82" w:rsidRDefault="00A60E82" w:rsidP="00A60E82">
            <w:pPr>
              <w:spacing w:after="0" w:line="240" w:lineRule="auto"/>
            </w:pPr>
            <w:r w:rsidRPr="00A60E82">
              <w:t>$16,911</w:t>
            </w:r>
          </w:p>
        </w:tc>
      </w:tr>
      <w:tr w:rsidR="00A60E82" w:rsidRPr="00A60E82" w14:paraId="68B427E4" w14:textId="77777777" w:rsidTr="00CD7941">
        <w:trPr>
          <w:trHeight w:val="159"/>
        </w:trPr>
        <w:tc>
          <w:tcPr>
            <w:tcW w:w="4464" w:type="dxa"/>
            <w:tcBorders>
              <w:top w:val="nil"/>
              <w:left w:val="nil"/>
              <w:bottom w:val="nil"/>
              <w:right w:val="nil"/>
            </w:tcBorders>
            <w:shd w:val="clear" w:color="auto" w:fill="auto"/>
            <w:tcMar>
              <w:top w:w="15" w:type="dxa"/>
              <w:left w:w="15" w:type="dxa"/>
              <w:bottom w:w="0" w:type="dxa"/>
              <w:right w:w="15" w:type="dxa"/>
            </w:tcMar>
            <w:vAlign w:val="bottom"/>
            <w:hideMark/>
          </w:tcPr>
          <w:p w14:paraId="59FEBA19" w14:textId="77777777" w:rsidR="00A60E82" w:rsidRPr="00A60E82" w:rsidRDefault="00A60E82" w:rsidP="00A60E82">
            <w:pPr>
              <w:spacing w:after="0" w:line="240" w:lineRule="auto"/>
            </w:pPr>
            <w:r w:rsidRPr="00A60E82">
              <w:t>Benefits</w:t>
            </w:r>
          </w:p>
        </w:tc>
        <w:tc>
          <w:tcPr>
            <w:tcW w:w="4464" w:type="dxa"/>
            <w:tcBorders>
              <w:top w:val="nil"/>
              <w:left w:val="nil"/>
              <w:bottom w:val="nil"/>
              <w:right w:val="nil"/>
            </w:tcBorders>
            <w:shd w:val="clear" w:color="auto" w:fill="auto"/>
            <w:tcMar>
              <w:top w:w="15" w:type="dxa"/>
              <w:left w:w="15" w:type="dxa"/>
              <w:bottom w:w="0" w:type="dxa"/>
              <w:right w:w="15" w:type="dxa"/>
            </w:tcMar>
            <w:vAlign w:val="bottom"/>
            <w:hideMark/>
          </w:tcPr>
          <w:p w14:paraId="1C3642FA" w14:textId="77777777" w:rsidR="00A60E82" w:rsidRPr="00A60E82" w:rsidRDefault="00A60E82" w:rsidP="00A60E82">
            <w:pPr>
              <w:spacing w:after="0" w:line="240" w:lineRule="auto"/>
            </w:pPr>
            <w:r w:rsidRPr="00A60E82">
              <w:t>$3,465</w:t>
            </w:r>
          </w:p>
        </w:tc>
      </w:tr>
      <w:tr w:rsidR="00A60E82" w:rsidRPr="00A60E82" w14:paraId="37005AD1" w14:textId="77777777" w:rsidTr="00CD7941">
        <w:trPr>
          <w:trHeight w:val="159"/>
        </w:trPr>
        <w:tc>
          <w:tcPr>
            <w:tcW w:w="4464" w:type="dxa"/>
            <w:tcBorders>
              <w:top w:val="nil"/>
              <w:left w:val="nil"/>
              <w:bottom w:val="nil"/>
              <w:right w:val="nil"/>
            </w:tcBorders>
            <w:shd w:val="clear" w:color="auto" w:fill="auto"/>
            <w:tcMar>
              <w:top w:w="15" w:type="dxa"/>
              <w:left w:w="15" w:type="dxa"/>
              <w:bottom w:w="0" w:type="dxa"/>
              <w:right w:w="15" w:type="dxa"/>
            </w:tcMar>
            <w:vAlign w:val="bottom"/>
            <w:hideMark/>
          </w:tcPr>
          <w:p w14:paraId="626B4312" w14:textId="77777777" w:rsidR="00A60E82" w:rsidRPr="00A60E82" w:rsidRDefault="00A60E82" w:rsidP="00A60E82">
            <w:pPr>
              <w:spacing w:after="0" w:line="240" w:lineRule="auto"/>
            </w:pPr>
            <w:r w:rsidRPr="00A60E82">
              <w:t>Services</w:t>
            </w:r>
          </w:p>
        </w:tc>
        <w:tc>
          <w:tcPr>
            <w:tcW w:w="4464" w:type="dxa"/>
            <w:tcBorders>
              <w:top w:val="nil"/>
              <w:left w:val="nil"/>
              <w:bottom w:val="nil"/>
              <w:right w:val="nil"/>
            </w:tcBorders>
            <w:shd w:val="clear" w:color="auto" w:fill="auto"/>
            <w:tcMar>
              <w:top w:w="15" w:type="dxa"/>
              <w:left w:w="15" w:type="dxa"/>
              <w:bottom w:w="0" w:type="dxa"/>
              <w:right w:w="15" w:type="dxa"/>
            </w:tcMar>
            <w:vAlign w:val="bottom"/>
            <w:hideMark/>
          </w:tcPr>
          <w:p w14:paraId="47F9034C" w14:textId="77777777" w:rsidR="00A60E82" w:rsidRPr="00A60E82" w:rsidRDefault="00A60E82" w:rsidP="00A60E82">
            <w:pPr>
              <w:spacing w:after="0" w:line="240" w:lineRule="auto"/>
            </w:pPr>
            <w:r w:rsidRPr="00A60E82">
              <w:t>$10,206</w:t>
            </w:r>
          </w:p>
        </w:tc>
      </w:tr>
      <w:tr w:rsidR="00A60E82" w:rsidRPr="00A60E82" w14:paraId="42485B15" w14:textId="77777777" w:rsidTr="00CD7941">
        <w:trPr>
          <w:trHeight w:val="159"/>
        </w:trPr>
        <w:tc>
          <w:tcPr>
            <w:tcW w:w="4464" w:type="dxa"/>
            <w:tcBorders>
              <w:top w:val="nil"/>
              <w:left w:val="nil"/>
              <w:bottom w:val="nil"/>
              <w:right w:val="nil"/>
            </w:tcBorders>
            <w:shd w:val="clear" w:color="auto" w:fill="auto"/>
            <w:tcMar>
              <w:top w:w="15" w:type="dxa"/>
              <w:left w:w="15" w:type="dxa"/>
              <w:bottom w:w="0" w:type="dxa"/>
              <w:right w:w="15" w:type="dxa"/>
            </w:tcMar>
            <w:vAlign w:val="bottom"/>
            <w:hideMark/>
          </w:tcPr>
          <w:p w14:paraId="23A8E675" w14:textId="77777777" w:rsidR="00A60E82" w:rsidRPr="00A60E82" w:rsidRDefault="00A60E82" w:rsidP="00A60E82">
            <w:pPr>
              <w:spacing w:after="0" w:line="240" w:lineRule="auto"/>
            </w:pPr>
            <w:r w:rsidRPr="00A60E82">
              <w:t>Travel</w:t>
            </w:r>
          </w:p>
        </w:tc>
        <w:tc>
          <w:tcPr>
            <w:tcW w:w="4464" w:type="dxa"/>
            <w:tcBorders>
              <w:top w:val="nil"/>
              <w:left w:val="nil"/>
              <w:bottom w:val="nil"/>
              <w:right w:val="nil"/>
            </w:tcBorders>
            <w:shd w:val="clear" w:color="auto" w:fill="auto"/>
            <w:tcMar>
              <w:top w:w="15" w:type="dxa"/>
              <w:left w:w="15" w:type="dxa"/>
              <w:bottom w:w="0" w:type="dxa"/>
              <w:right w:w="15" w:type="dxa"/>
            </w:tcMar>
            <w:vAlign w:val="bottom"/>
            <w:hideMark/>
          </w:tcPr>
          <w:p w14:paraId="219DEAE0" w14:textId="77777777" w:rsidR="00A60E82" w:rsidRPr="00A60E82" w:rsidRDefault="00A60E82" w:rsidP="00A60E82">
            <w:pPr>
              <w:spacing w:after="0" w:line="240" w:lineRule="auto"/>
            </w:pPr>
            <w:r w:rsidRPr="00A60E82">
              <w:t>$8,717</w:t>
            </w:r>
          </w:p>
        </w:tc>
      </w:tr>
      <w:tr w:rsidR="00A60E82" w:rsidRPr="00A60E82" w14:paraId="311B84AE" w14:textId="77777777" w:rsidTr="00CD7941">
        <w:trPr>
          <w:trHeight w:val="159"/>
        </w:trPr>
        <w:tc>
          <w:tcPr>
            <w:tcW w:w="4464" w:type="dxa"/>
            <w:tcBorders>
              <w:top w:val="nil"/>
              <w:left w:val="nil"/>
              <w:bottom w:val="nil"/>
              <w:right w:val="nil"/>
            </w:tcBorders>
            <w:shd w:val="clear" w:color="auto" w:fill="auto"/>
            <w:tcMar>
              <w:top w:w="15" w:type="dxa"/>
              <w:left w:w="15" w:type="dxa"/>
              <w:bottom w:w="0" w:type="dxa"/>
              <w:right w:w="15" w:type="dxa"/>
            </w:tcMar>
            <w:vAlign w:val="bottom"/>
            <w:hideMark/>
          </w:tcPr>
          <w:p w14:paraId="6CDB07F2" w14:textId="77777777" w:rsidR="00A60E82" w:rsidRPr="00A60E82" w:rsidRDefault="00A60E82" w:rsidP="00A60E82">
            <w:pPr>
              <w:spacing w:after="0" w:line="240" w:lineRule="auto"/>
            </w:pPr>
            <w:r w:rsidRPr="00A60E82">
              <w:t>Supplies</w:t>
            </w:r>
          </w:p>
        </w:tc>
        <w:tc>
          <w:tcPr>
            <w:tcW w:w="4464" w:type="dxa"/>
            <w:tcBorders>
              <w:top w:val="nil"/>
              <w:left w:val="nil"/>
              <w:bottom w:val="nil"/>
              <w:right w:val="nil"/>
            </w:tcBorders>
            <w:shd w:val="clear" w:color="auto" w:fill="auto"/>
            <w:tcMar>
              <w:top w:w="15" w:type="dxa"/>
              <w:left w:w="15" w:type="dxa"/>
              <w:bottom w:w="0" w:type="dxa"/>
              <w:right w:w="15" w:type="dxa"/>
            </w:tcMar>
            <w:vAlign w:val="bottom"/>
            <w:hideMark/>
          </w:tcPr>
          <w:p w14:paraId="29CCCE85" w14:textId="77777777" w:rsidR="00A60E82" w:rsidRPr="00A60E82" w:rsidRDefault="00A60E82" w:rsidP="00A60E82">
            <w:pPr>
              <w:spacing w:after="0" w:line="240" w:lineRule="auto"/>
            </w:pPr>
            <w:r w:rsidRPr="00A60E82">
              <w:t>$491</w:t>
            </w:r>
          </w:p>
        </w:tc>
      </w:tr>
      <w:tr w:rsidR="00A60E82" w:rsidRPr="00A60E82" w14:paraId="38E40D71" w14:textId="77777777" w:rsidTr="00CD7941">
        <w:trPr>
          <w:trHeight w:val="159"/>
        </w:trPr>
        <w:tc>
          <w:tcPr>
            <w:tcW w:w="4464" w:type="dxa"/>
            <w:tcBorders>
              <w:top w:val="nil"/>
              <w:left w:val="nil"/>
              <w:bottom w:val="nil"/>
              <w:right w:val="nil"/>
            </w:tcBorders>
            <w:shd w:val="clear" w:color="auto" w:fill="auto"/>
            <w:tcMar>
              <w:top w:w="15" w:type="dxa"/>
              <w:left w:w="15" w:type="dxa"/>
              <w:bottom w:w="0" w:type="dxa"/>
              <w:right w:w="15" w:type="dxa"/>
            </w:tcMar>
            <w:vAlign w:val="bottom"/>
            <w:hideMark/>
          </w:tcPr>
          <w:p w14:paraId="07BDE22D" w14:textId="77777777" w:rsidR="00A60E82" w:rsidRPr="00A60E82" w:rsidRDefault="00A60E82" w:rsidP="00A60E82">
            <w:pPr>
              <w:spacing w:after="0" w:line="240" w:lineRule="auto"/>
            </w:pPr>
            <w:r w:rsidRPr="00A60E82">
              <w:t>Equipment</w:t>
            </w:r>
          </w:p>
        </w:tc>
        <w:tc>
          <w:tcPr>
            <w:tcW w:w="4464" w:type="dxa"/>
            <w:tcBorders>
              <w:top w:val="nil"/>
              <w:left w:val="nil"/>
              <w:bottom w:val="nil"/>
              <w:right w:val="nil"/>
            </w:tcBorders>
            <w:shd w:val="clear" w:color="auto" w:fill="auto"/>
            <w:tcMar>
              <w:top w:w="15" w:type="dxa"/>
              <w:left w:w="15" w:type="dxa"/>
              <w:bottom w:w="0" w:type="dxa"/>
              <w:right w:w="15" w:type="dxa"/>
            </w:tcMar>
            <w:vAlign w:val="bottom"/>
            <w:hideMark/>
          </w:tcPr>
          <w:p w14:paraId="1A9A9F75" w14:textId="77777777" w:rsidR="00A60E82" w:rsidRPr="00A60E82" w:rsidRDefault="00A60E82" w:rsidP="00A60E82">
            <w:pPr>
              <w:spacing w:after="0" w:line="240" w:lineRule="auto"/>
            </w:pPr>
            <w:r w:rsidRPr="00A60E82">
              <w:t>$0</w:t>
            </w:r>
          </w:p>
        </w:tc>
      </w:tr>
      <w:tr w:rsidR="00A60E82" w:rsidRPr="00A60E82" w14:paraId="7B3EC5A2" w14:textId="77777777" w:rsidTr="00CD7941">
        <w:trPr>
          <w:trHeight w:val="159"/>
        </w:trPr>
        <w:tc>
          <w:tcPr>
            <w:tcW w:w="4464" w:type="dxa"/>
            <w:tcBorders>
              <w:top w:val="nil"/>
              <w:left w:val="nil"/>
              <w:bottom w:val="nil"/>
              <w:right w:val="nil"/>
            </w:tcBorders>
            <w:shd w:val="clear" w:color="auto" w:fill="auto"/>
            <w:tcMar>
              <w:top w:w="15" w:type="dxa"/>
              <w:left w:w="15" w:type="dxa"/>
              <w:bottom w:w="0" w:type="dxa"/>
              <w:right w:w="15" w:type="dxa"/>
            </w:tcMar>
            <w:vAlign w:val="bottom"/>
            <w:hideMark/>
          </w:tcPr>
          <w:p w14:paraId="1FE47BE6" w14:textId="77777777" w:rsidR="00A60E82" w:rsidRPr="00A60E82" w:rsidRDefault="00A60E82" w:rsidP="00A60E82">
            <w:pPr>
              <w:spacing w:after="0" w:line="240" w:lineRule="auto"/>
            </w:pPr>
            <w:r w:rsidRPr="00A60E82">
              <w:t>Tuition</w:t>
            </w:r>
          </w:p>
        </w:tc>
        <w:tc>
          <w:tcPr>
            <w:tcW w:w="4464" w:type="dxa"/>
            <w:tcBorders>
              <w:top w:val="nil"/>
              <w:left w:val="nil"/>
              <w:bottom w:val="nil"/>
              <w:right w:val="nil"/>
            </w:tcBorders>
            <w:shd w:val="clear" w:color="auto" w:fill="auto"/>
            <w:tcMar>
              <w:top w:w="15" w:type="dxa"/>
              <w:left w:w="15" w:type="dxa"/>
              <w:bottom w:w="0" w:type="dxa"/>
              <w:right w:w="15" w:type="dxa"/>
            </w:tcMar>
            <w:vAlign w:val="bottom"/>
            <w:hideMark/>
          </w:tcPr>
          <w:p w14:paraId="1B71E3D9" w14:textId="77777777" w:rsidR="00A60E82" w:rsidRPr="00A60E82" w:rsidRDefault="00A60E82" w:rsidP="00A60E82">
            <w:pPr>
              <w:spacing w:after="0" w:line="240" w:lineRule="auto"/>
            </w:pPr>
            <w:r w:rsidRPr="00A60E82">
              <w:t>$0</w:t>
            </w:r>
          </w:p>
        </w:tc>
      </w:tr>
      <w:tr w:rsidR="00A60E82" w:rsidRPr="00A60E82" w14:paraId="404EBC91" w14:textId="77777777" w:rsidTr="00CD7941">
        <w:trPr>
          <w:trHeight w:val="159"/>
        </w:trPr>
        <w:tc>
          <w:tcPr>
            <w:tcW w:w="4464"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14:paraId="3230D4D5" w14:textId="77777777" w:rsidR="00A60E82" w:rsidRPr="00A60E82" w:rsidRDefault="00A60E82" w:rsidP="00A60E82">
            <w:pPr>
              <w:spacing w:after="0" w:line="240" w:lineRule="auto"/>
            </w:pPr>
            <w:r w:rsidRPr="00A60E82">
              <w:t>Adjustments</w:t>
            </w:r>
          </w:p>
        </w:tc>
        <w:tc>
          <w:tcPr>
            <w:tcW w:w="4464"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14:paraId="1661C852" w14:textId="77777777" w:rsidR="00A60E82" w:rsidRPr="00A60E82" w:rsidRDefault="00A60E82" w:rsidP="00A60E82">
            <w:pPr>
              <w:spacing w:after="0" w:line="240" w:lineRule="auto"/>
            </w:pPr>
            <w:r w:rsidRPr="00A60E82">
              <w:t>$21</w:t>
            </w:r>
          </w:p>
        </w:tc>
      </w:tr>
      <w:tr w:rsidR="00A60E82" w:rsidRPr="00A60E82" w14:paraId="719504FC" w14:textId="77777777" w:rsidTr="00CD7941">
        <w:trPr>
          <w:trHeight w:val="159"/>
        </w:trPr>
        <w:tc>
          <w:tcPr>
            <w:tcW w:w="4464"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bottom"/>
            <w:hideMark/>
          </w:tcPr>
          <w:p w14:paraId="27A4EB28" w14:textId="77777777" w:rsidR="00A60E82" w:rsidRPr="00A60E82" w:rsidRDefault="00A60E82" w:rsidP="00A60E82">
            <w:pPr>
              <w:spacing w:after="0" w:line="240" w:lineRule="auto"/>
            </w:pPr>
            <w:r w:rsidRPr="00A60E82">
              <w:t>Total</w:t>
            </w:r>
          </w:p>
        </w:tc>
        <w:tc>
          <w:tcPr>
            <w:tcW w:w="4464"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bottom"/>
            <w:hideMark/>
          </w:tcPr>
          <w:p w14:paraId="7CDE2742" w14:textId="77777777" w:rsidR="00A60E82" w:rsidRPr="00A60E82" w:rsidRDefault="00A60E82" w:rsidP="00A60E82">
            <w:pPr>
              <w:spacing w:after="0" w:line="240" w:lineRule="auto"/>
            </w:pPr>
            <w:r w:rsidRPr="00A60E82">
              <w:t>$39,812</w:t>
            </w:r>
          </w:p>
        </w:tc>
      </w:tr>
      <w:tr w:rsidR="00A60E82" w:rsidRPr="00A60E82" w14:paraId="5A9B25C2" w14:textId="77777777" w:rsidTr="00CD7941">
        <w:trPr>
          <w:trHeight w:val="159"/>
        </w:trPr>
        <w:tc>
          <w:tcPr>
            <w:tcW w:w="446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CED3B0B" w14:textId="77777777" w:rsidR="00A60E82" w:rsidRPr="00A60E82" w:rsidRDefault="00A60E82" w:rsidP="00A60E82">
            <w:pPr>
              <w:spacing w:after="0" w:line="240" w:lineRule="auto"/>
            </w:pPr>
          </w:p>
        </w:tc>
        <w:tc>
          <w:tcPr>
            <w:tcW w:w="446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3FF0CCF" w14:textId="77777777" w:rsidR="00A60E82" w:rsidRPr="00A60E82" w:rsidRDefault="00A60E82" w:rsidP="00A60E82">
            <w:pPr>
              <w:spacing w:after="0" w:line="240" w:lineRule="auto"/>
            </w:pPr>
          </w:p>
        </w:tc>
      </w:tr>
      <w:tr w:rsidR="00A60E82" w:rsidRPr="00A60E82" w14:paraId="59EA3935" w14:textId="77777777" w:rsidTr="00CD7941">
        <w:trPr>
          <w:trHeight w:val="159"/>
        </w:trPr>
        <w:tc>
          <w:tcPr>
            <w:tcW w:w="4464" w:type="dxa"/>
            <w:tcBorders>
              <w:top w:val="nil"/>
              <w:left w:val="nil"/>
              <w:bottom w:val="nil"/>
              <w:right w:val="nil"/>
            </w:tcBorders>
            <w:shd w:val="clear" w:color="auto" w:fill="auto"/>
            <w:tcMar>
              <w:top w:w="15" w:type="dxa"/>
              <w:left w:w="15" w:type="dxa"/>
              <w:bottom w:w="0" w:type="dxa"/>
              <w:right w:w="15" w:type="dxa"/>
            </w:tcMar>
            <w:vAlign w:val="center"/>
            <w:hideMark/>
          </w:tcPr>
          <w:p w14:paraId="0D046509" w14:textId="77777777" w:rsidR="00A60E82" w:rsidRPr="00A60E82" w:rsidRDefault="00A60E82" w:rsidP="00A60E82">
            <w:pPr>
              <w:spacing w:after="0" w:line="240" w:lineRule="auto"/>
            </w:pPr>
          </w:p>
        </w:tc>
        <w:tc>
          <w:tcPr>
            <w:tcW w:w="4464" w:type="dxa"/>
            <w:tcBorders>
              <w:top w:val="nil"/>
              <w:left w:val="nil"/>
              <w:bottom w:val="nil"/>
              <w:right w:val="nil"/>
            </w:tcBorders>
            <w:shd w:val="clear" w:color="auto" w:fill="auto"/>
            <w:tcMar>
              <w:top w:w="15" w:type="dxa"/>
              <w:left w:w="15" w:type="dxa"/>
              <w:bottom w:w="0" w:type="dxa"/>
              <w:right w:w="15" w:type="dxa"/>
            </w:tcMar>
            <w:vAlign w:val="center"/>
            <w:hideMark/>
          </w:tcPr>
          <w:p w14:paraId="7CA4D0C6" w14:textId="77777777" w:rsidR="00A60E82" w:rsidRPr="00A60E82" w:rsidRDefault="00A60E82" w:rsidP="00A60E82">
            <w:pPr>
              <w:spacing w:after="0" w:line="240" w:lineRule="auto"/>
            </w:pPr>
          </w:p>
        </w:tc>
      </w:tr>
      <w:tr w:rsidR="00A60E82" w:rsidRPr="00A60E82" w14:paraId="3E20C05B" w14:textId="77777777" w:rsidTr="00CD7941">
        <w:trPr>
          <w:trHeight w:val="159"/>
        </w:trPr>
        <w:tc>
          <w:tcPr>
            <w:tcW w:w="4464"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9A19B12" w14:textId="77777777" w:rsidR="00A60E82" w:rsidRPr="00A60E82" w:rsidRDefault="00A60E82" w:rsidP="00A60E82">
            <w:pPr>
              <w:spacing w:after="0" w:line="240" w:lineRule="auto"/>
            </w:pPr>
            <w:r w:rsidRPr="00A60E82">
              <w:t xml:space="preserve">Year End Balance: </w:t>
            </w:r>
          </w:p>
        </w:tc>
        <w:tc>
          <w:tcPr>
            <w:tcW w:w="4464"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7C6BBD6" w14:textId="77777777" w:rsidR="00A60E82" w:rsidRPr="00A60E82" w:rsidRDefault="00A60E82" w:rsidP="00A60E82">
            <w:pPr>
              <w:spacing w:after="0" w:line="240" w:lineRule="auto"/>
            </w:pPr>
            <w:r w:rsidRPr="00A60E82">
              <w:t>$140,152</w:t>
            </w:r>
          </w:p>
        </w:tc>
      </w:tr>
    </w:tbl>
    <w:p w14:paraId="6BCF2E28" w14:textId="77777777" w:rsidR="00A60E82" w:rsidRDefault="00A60E82"/>
    <w:sectPr w:rsidR="00A60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D5727"/>
    <w:multiLevelType w:val="hybridMultilevel"/>
    <w:tmpl w:val="BD7A797A"/>
    <w:lvl w:ilvl="0" w:tplc="EE48CC3C">
      <w:start w:val="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4B"/>
    <w:rsid w:val="001D0E1E"/>
    <w:rsid w:val="002D1183"/>
    <w:rsid w:val="0047114B"/>
    <w:rsid w:val="00717150"/>
    <w:rsid w:val="007855D4"/>
    <w:rsid w:val="008064C0"/>
    <w:rsid w:val="00807473"/>
    <w:rsid w:val="009D63E6"/>
    <w:rsid w:val="00A60E82"/>
    <w:rsid w:val="00BA5D2D"/>
    <w:rsid w:val="00C23744"/>
    <w:rsid w:val="00CD7941"/>
    <w:rsid w:val="00E974F1"/>
    <w:rsid w:val="00FB5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BE8F"/>
  <w15:chartTrackingRefBased/>
  <w15:docId w15:val="{CECB731B-5992-4920-9B6A-3DB28DE2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00840">
      <w:bodyDiv w:val="1"/>
      <w:marLeft w:val="0"/>
      <w:marRight w:val="0"/>
      <w:marTop w:val="0"/>
      <w:marBottom w:val="0"/>
      <w:divBdr>
        <w:top w:val="none" w:sz="0" w:space="0" w:color="auto"/>
        <w:left w:val="none" w:sz="0" w:space="0" w:color="auto"/>
        <w:bottom w:val="none" w:sz="0" w:space="0" w:color="auto"/>
        <w:right w:val="none" w:sz="0" w:space="0" w:color="auto"/>
      </w:divBdr>
    </w:div>
    <w:div w:id="323045274">
      <w:bodyDiv w:val="1"/>
      <w:marLeft w:val="0"/>
      <w:marRight w:val="0"/>
      <w:marTop w:val="0"/>
      <w:marBottom w:val="0"/>
      <w:divBdr>
        <w:top w:val="none" w:sz="0" w:space="0" w:color="auto"/>
        <w:left w:val="none" w:sz="0" w:space="0" w:color="auto"/>
        <w:bottom w:val="none" w:sz="0" w:space="0" w:color="auto"/>
        <w:right w:val="none" w:sz="0" w:space="0" w:color="auto"/>
      </w:divBdr>
    </w:div>
    <w:div w:id="137751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conver\Documents\Administrative\Coop%20Unit\Annual%20Meetings\October%202018\Agency%20Fund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conver\Documents\Administrative\Coop%20Unit\Annual%20Meetings\October%202018\Agency%20Fund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573570006335415E-2"/>
          <c:y val="2.1700050651563291E-2"/>
          <c:w val="0.97277004706308268"/>
          <c:h val="0.85857254685269602"/>
        </c:manualLayout>
      </c:layout>
      <c:barChart>
        <c:barDir val="col"/>
        <c:grouping val="clustered"/>
        <c:varyColors val="0"/>
        <c:ser>
          <c:idx val="0"/>
          <c:order val="0"/>
          <c:tx>
            <c:v>2017</c:v>
          </c:tx>
          <c:spPr>
            <a:solidFill>
              <a:srgbClr val="CC99FF"/>
            </a:solidFill>
            <a:ln>
              <a:noFill/>
            </a:ln>
            <a:effectLst/>
          </c:spPr>
          <c:invertIfNegative val="0"/>
          <c:dLbls>
            <c:spPr>
              <a:noFill/>
              <a:ln>
                <a:noFill/>
              </a:ln>
              <a:effectLst/>
            </c:spPr>
            <c:txPr>
              <a:bodyPr rot="-1800000" spcFirstLastPara="1" vertOverflow="ellipsis"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Waiver!$B$1:$B$4</c:f>
              <c:strCache>
                <c:ptCount val="3"/>
                <c:pt idx="0">
                  <c:v>WDFW</c:v>
                </c:pt>
                <c:pt idx="1">
                  <c:v>WDOE</c:v>
                </c:pt>
                <c:pt idx="2">
                  <c:v>WDNR</c:v>
                </c:pt>
              </c:strCache>
              <c:extLst/>
            </c:strRef>
          </c:cat>
          <c:val>
            <c:numRef>
              <c:f>Waiver!$C$1:$C$4</c:f>
              <c:numCache>
                <c:formatCode>"$"#,##0_);\("$"#,##0\)</c:formatCode>
                <c:ptCount val="3"/>
                <c:pt idx="0">
                  <c:v>200000</c:v>
                </c:pt>
                <c:pt idx="1">
                  <c:v>100000</c:v>
                </c:pt>
                <c:pt idx="2">
                  <c:v>100000</c:v>
                </c:pt>
              </c:numCache>
              <c:extLst/>
            </c:numRef>
          </c:val>
          <c:extLst>
            <c:ext xmlns:c16="http://schemas.microsoft.com/office/drawing/2014/chart" uri="{C3380CC4-5D6E-409C-BE32-E72D297353CC}">
              <c16:uniqueId val="{00000000-6D5F-4EDA-B67F-FAAD1874BFA1}"/>
            </c:ext>
          </c:extLst>
        </c:ser>
        <c:ser>
          <c:idx val="1"/>
          <c:order val="1"/>
          <c:tx>
            <c:v>2018</c:v>
          </c:tx>
          <c:spPr>
            <a:solidFill>
              <a:srgbClr val="9933FF"/>
            </a:solidFill>
            <a:ln>
              <a:noFill/>
            </a:ln>
            <a:effectLst/>
          </c:spPr>
          <c:invertIfNegative val="0"/>
          <c:dLbls>
            <c:spPr>
              <a:noFill/>
              <a:ln>
                <a:noFill/>
              </a:ln>
              <a:effectLst/>
            </c:spPr>
            <c:txPr>
              <a:bodyPr rot="-1800000" spcFirstLastPara="1" vertOverflow="ellipsis"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Waiver!$B$1:$B$4</c:f>
              <c:strCache>
                <c:ptCount val="3"/>
                <c:pt idx="0">
                  <c:v>WDFW</c:v>
                </c:pt>
                <c:pt idx="1">
                  <c:v>WDOE</c:v>
                </c:pt>
                <c:pt idx="2">
                  <c:v>WDNR</c:v>
                </c:pt>
              </c:strCache>
              <c:extLst/>
            </c:strRef>
          </c:cat>
          <c:val>
            <c:numRef>
              <c:f>Waiver!$D$1:$D$4</c:f>
              <c:numCache>
                <c:formatCode>"$"#,##0_);\("$"#,##0\)</c:formatCode>
                <c:ptCount val="3"/>
                <c:pt idx="0">
                  <c:v>200000</c:v>
                </c:pt>
                <c:pt idx="1">
                  <c:v>100000</c:v>
                </c:pt>
                <c:pt idx="2">
                  <c:v>100000</c:v>
                </c:pt>
              </c:numCache>
              <c:extLst/>
            </c:numRef>
          </c:val>
          <c:extLst>
            <c:ext xmlns:c16="http://schemas.microsoft.com/office/drawing/2014/chart" uri="{C3380CC4-5D6E-409C-BE32-E72D297353CC}">
              <c16:uniqueId val="{00000001-6D5F-4EDA-B67F-FAAD1874BFA1}"/>
            </c:ext>
          </c:extLst>
        </c:ser>
        <c:ser>
          <c:idx val="2"/>
          <c:order val="2"/>
          <c:tx>
            <c:v>2019</c:v>
          </c:tx>
          <c:spPr>
            <a:solidFill>
              <a:srgbClr val="6600CC"/>
            </a:solidFill>
            <a:ln>
              <a:noFill/>
            </a:ln>
            <a:effectLst/>
          </c:spPr>
          <c:invertIfNegative val="0"/>
          <c:dLbls>
            <c:spPr>
              <a:noFill/>
              <a:ln>
                <a:noFill/>
              </a:ln>
              <a:effectLst/>
            </c:spPr>
            <c:txPr>
              <a:bodyPr rot="-1800000" spcFirstLastPara="1" vertOverflow="ellipsis"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Waiver!$B$1:$B$4</c:f>
              <c:strCache>
                <c:ptCount val="3"/>
                <c:pt idx="0">
                  <c:v>WDFW</c:v>
                </c:pt>
                <c:pt idx="1">
                  <c:v>WDOE</c:v>
                </c:pt>
                <c:pt idx="2">
                  <c:v>WDNR</c:v>
                </c:pt>
              </c:strCache>
              <c:extLst/>
            </c:strRef>
          </c:cat>
          <c:val>
            <c:numRef>
              <c:f>Waiver!$E$1:$E$4</c:f>
              <c:numCache>
                <c:formatCode>"$"#,##0_);\("$"#,##0\)</c:formatCode>
                <c:ptCount val="3"/>
                <c:pt idx="0">
                  <c:v>192208</c:v>
                </c:pt>
                <c:pt idx="1">
                  <c:v>46675</c:v>
                </c:pt>
                <c:pt idx="2">
                  <c:v>100000</c:v>
                </c:pt>
              </c:numCache>
              <c:extLst/>
            </c:numRef>
          </c:val>
          <c:extLst>
            <c:ext xmlns:c16="http://schemas.microsoft.com/office/drawing/2014/chart" uri="{C3380CC4-5D6E-409C-BE32-E72D297353CC}">
              <c16:uniqueId val="{00000002-6D5F-4EDA-B67F-FAAD1874BFA1}"/>
            </c:ext>
          </c:extLst>
        </c:ser>
        <c:dLbls>
          <c:showLegendKey val="0"/>
          <c:showVal val="0"/>
          <c:showCatName val="0"/>
          <c:showSerName val="0"/>
          <c:showPercent val="0"/>
          <c:showBubbleSize val="0"/>
        </c:dLbls>
        <c:gapWidth val="219"/>
        <c:overlap val="-27"/>
        <c:axId val="550240504"/>
        <c:axId val="550241160"/>
      </c:barChart>
      <c:catAx>
        <c:axId val="550240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50241160"/>
        <c:crosses val="autoZero"/>
        <c:auto val="1"/>
        <c:lblAlgn val="ctr"/>
        <c:lblOffset val="100"/>
        <c:noMultiLvlLbl val="0"/>
      </c:catAx>
      <c:valAx>
        <c:axId val="550241160"/>
        <c:scaling>
          <c:orientation val="minMax"/>
        </c:scaling>
        <c:delete val="1"/>
        <c:axPos val="l"/>
        <c:majorGridlines>
          <c:spPr>
            <a:ln w="9525" cap="flat" cmpd="sng" algn="ctr">
              <a:solidFill>
                <a:schemeClr val="tx1">
                  <a:lumMod val="15000"/>
                  <a:lumOff val="85000"/>
                </a:schemeClr>
              </a:solidFill>
              <a:round/>
            </a:ln>
            <a:effectLst/>
          </c:spPr>
        </c:majorGridlines>
        <c:numFmt formatCode="&quot;$&quot;#,##0_);\(&quot;$&quot;#,##0\)" sourceLinked="1"/>
        <c:majorTickMark val="none"/>
        <c:minorTickMark val="none"/>
        <c:tickLblPos val="nextTo"/>
        <c:crossAx val="550240504"/>
        <c:crosses val="autoZero"/>
        <c:crossBetween val="between"/>
      </c:valAx>
      <c:spPr>
        <a:noFill/>
        <a:ln>
          <a:noFill/>
        </a:ln>
        <a:effectLst/>
      </c:spPr>
    </c:plotArea>
    <c:legend>
      <c:legendPos val="b"/>
      <c:layout>
        <c:manualLayout>
          <c:xMode val="edge"/>
          <c:yMode val="edge"/>
          <c:x val="0.3513258352471566"/>
          <c:y val="4.8601268591426106E-2"/>
          <c:w val="0.293008051727909"/>
          <c:h val="5.6954286964129484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576213416363036E-2"/>
          <c:y val="2.180293501048218E-2"/>
          <c:w val="0.96847573167273926"/>
          <c:h val="0.86369758497169002"/>
        </c:manualLayout>
      </c:layout>
      <c:barChart>
        <c:barDir val="col"/>
        <c:grouping val="clustered"/>
        <c:varyColors val="0"/>
        <c:ser>
          <c:idx val="0"/>
          <c:order val="0"/>
          <c:tx>
            <c:v>2017</c:v>
          </c:tx>
          <c:spPr>
            <a:solidFill>
              <a:srgbClr val="FF5050"/>
            </a:solidFill>
            <a:ln>
              <a:noFill/>
            </a:ln>
            <a:effectLst/>
          </c:spPr>
          <c:invertIfNegative val="0"/>
          <c:dLbls>
            <c:spPr>
              <a:noFill/>
              <a:ln>
                <a:noFill/>
              </a:ln>
              <a:effectLst/>
            </c:spPr>
            <c:txPr>
              <a:bodyPr rot="-1800000" spcFirstLastPara="1" vertOverflow="ellipsis"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Waiver!$B$10:$B$12</c:f>
              <c:strCache>
                <c:ptCount val="3"/>
                <c:pt idx="0">
                  <c:v>WDFW</c:v>
                </c:pt>
                <c:pt idx="1">
                  <c:v>WDOE</c:v>
                </c:pt>
                <c:pt idx="2">
                  <c:v>WDNR</c:v>
                </c:pt>
              </c:strCache>
            </c:strRef>
          </c:cat>
          <c:val>
            <c:numRef>
              <c:f>Waiver!$C$10:$C$12</c:f>
              <c:numCache>
                <c:formatCode>"$"#,##0_);\("$"#,##0\)</c:formatCode>
                <c:ptCount val="3"/>
                <c:pt idx="0">
                  <c:v>200000</c:v>
                </c:pt>
                <c:pt idx="1">
                  <c:v>100000</c:v>
                </c:pt>
                <c:pt idx="2">
                  <c:v>0</c:v>
                </c:pt>
              </c:numCache>
            </c:numRef>
          </c:val>
          <c:extLst>
            <c:ext xmlns:c16="http://schemas.microsoft.com/office/drawing/2014/chart" uri="{C3380CC4-5D6E-409C-BE32-E72D297353CC}">
              <c16:uniqueId val="{00000000-D210-44C2-9F18-F08672488288}"/>
            </c:ext>
          </c:extLst>
        </c:ser>
        <c:ser>
          <c:idx val="1"/>
          <c:order val="1"/>
          <c:tx>
            <c:v>2018</c:v>
          </c:tx>
          <c:spPr>
            <a:solidFill>
              <a:srgbClr val="CC0000"/>
            </a:solidFill>
            <a:ln>
              <a:noFill/>
            </a:ln>
            <a:effectLst/>
          </c:spPr>
          <c:invertIfNegative val="0"/>
          <c:dLbls>
            <c:spPr>
              <a:noFill/>
              <a:ln>
                <a:noFill/>
              </a:ln>
              <a:effectLst/>
            </c:spPr>
            <c:txPr>
              <a:bodyPr rot="-1800000" spcFirstLastPara="1" vertOverflow="ellipsis"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Waiver!$B$10:$B$12</c:f>
              <c:strCache>
                <c:ptCount val="3"/>
                <c:pt idx="0">
                  <c:v>WDFW</c:v>
                </c:pt>
                <c:pt idx="1">
                  <c:v>WDOE</c:v>
                </c:pt>
                <c:pt idx="2">
                  <c:v>WDNR</c:v>
                </c:pt>
              </c:strCache>
            </c:strRef>
          </c:cat>
          <c:val>
            <c:numRef>
              <c:f>Waiver!$D$10:$D$12</c:f>
              <c:numCache>
                <c:formatCode>"$"#,##0_);\("$"#,##0\)</c:formatCode>
                <c:ptCount val="3"/>
                <c:pt idx="0">
                  <c:v>90400</c:v>
                </c:pt>
                <c:pt idx="1">
                  <c:v>90046</c:v>
                </c:pt>
                <c:pt idx="2">
                  <c:v>0</c:v>
                </c:pt>
              </c:numCache>
            </c:numRef>
          </c:val>
          <c:extLst>
            <c:ext xmlns:c16="http://schemas.microsoft.com/office/drawing/2014/chart" uri="{C3380CC4-5D6E-409C-BE32-E72D297353CC}">
              <c16:uniqueId val="{00000001-D210-44C2-9F18-F08672488288}"/>
            </c:ext>
          </c:extLst>
        </c:ser>
        <c:ser>
          <c:idx val="2"/>
          <c:order val="2"/>
          <c:tx>
            <c:v>2019</c:v>
          </c:tx>
          <c:spPr>
            <a:solidFill>
              <a:srgbClr val="A50021"/>
            </a:solidFill>
            <a:ln>
              <a:noFill/>
            </a:ln>
            <a:effectLst/>
          </c:spPr>
          <c:invertIfNegative val="0"/>
          <c:dLbls>
            <c:spPr>
              <a:noFill/>
              <a:ln>
                <a:noFill/>
              </a:ln>
              <a:effectLst/>
            </c:spPr>
            <c:txPr>
              <a:bodyPr rot="-1800000" spcFirstLastPara="1" vertOverflow="ellipsis"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Waiver!$B$10:$B$12</c:f>
              <c:strCache>
                <c:ptCount val="3"/>
                <c:pt idx="0">
                  <c:v>WDFW</c:v>
                </c:pt>
                <c:pt idx="1">
                  <c:v>WDOE</c:v>
                </c:pt>
                <c:pt idx="2">
                  <c:v>WDNR</c:v>
                </c:pt>
              </c:strCache>
            </c:strRef>
          </c:cat>
          <c:val>
            <c:numRef>
              <c:f>Waiver!$E$10:$E$12</c:f>
              <c:numCache>
                <c:formatCode>"$"#,##0_);\("$"#,##0\)</c:formatCode>
                <c:ptCount val="3"/>
                <c:pt idx="0">
                  <c:v>0</c:v>
                </c:pt>
                <c:pt idx="1">
                  <c:v>6539</c:v>
                </c:pt>
                <c:pt idx="2">
                  <c:v>0</c:v>
                </c:pt>
              </c:numCache>
            </c:numRef>
          </c:val>
          <c:extLst>
            <c:ext xmlns:c16="http://schemas.microsoft.com/office/drawing/2014/chart" uri="{C3380CC4-5D6E-409C-BE32-E72D297353CC}">
              <c16:uniqueId val="{00000002-D210-44C2-9F18-F08672488288}"/>
            </c:ext>
          </c:extLst>
        </c:ser>
        <c:dLbls>
          <c:showLegendKey val="0"/>
          <c:showVal val="0"/>
          <c:showCatName val="0"/>
          <c:showSerName val="0"/>
          <c:showPercent val="0"/>
          <c:showBubbleSize val="0"/>
        </c:dLbls>
        <c:gapWidth val="219"/>
        <c:overlap val="-27"/>
        <c:axId val="550261456"/>
        <c:axId val="550265720"/>
      </c:barChart>
      <c:catAx>
        <c:axId val="55026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50265720"/>
        <c:crosses val="autoZero"/>
        <c:auto val="1"/>
        <c:lblAlgn val="ctr"/>
        <c:lblOffset val="100"/>
        <c:noMultiLvlLbl val="0"/>
      </c:catAx>
      <c:valAx>
        <c:axId val="550265720"/>
        <c:scaling>
          <c:orientation val="minMax"/>
        </c:scaling>
        <c:delete val="1"/>
        <c:axPos val="l"/>
        <c:majorGridlines>
          <c:spPr>
            <a:ln w="9525" cap="flat" cmpd="sng" algn="ctr">
              <a:solidFill>
                <a:schemeClr val="tx1">
                  <a:lumMod val="15000"/>
                  <a:lumOff val="85000"/>
                </a:schemeClr>
              </a:solidFill>
              <a:round/>
            </a:ln>
            <a:effectLst/>
          </c:spPr>
        </c:majorGridlines>
        <c:numFmt formatCode="&quot;$&quot;#,##0_);\(&quot;$&quot;#,##0\)" sourceLinked="1"/>
        <c:majorTickMark val="none"/>
        <c:minorTickMark val="none"/>
        <c:tickLblPos val="nextTo"/>
        <c:crossAx val="550261456"/>
        <c:crosses val="autoZero"/>
        <c:crossBetween val="between"/>
      </c:valAx>
      <c:spPr>
        <a:noFill/>
        <a:ln>
          <a:noFill/>
        </a:ln>
        <a:effectLst/>
      </c:spPr>
    </c:plotArea>
    <c:legend>
      <c:legendPos val="b"/>
      <c:layout>
        <c:manualLayout>
          <c:xMode val="edge"/>
          <c:yMode val="edge"/>
          <c:x val="0.34688587379346308"/>
          <c:y val="5.1379046369203887E-2"/>
          <c:w val="0.29319893645216172"/>
          <c:h val="5.6954286964129484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5</cp:revision>
  <dcterms:created xsi:type="dcterms:W3CDTF">2018-10-03T21:57:00Z</dcterms:created>
  <dcterms:modified xsi:type="dcterms:W3CDTF">2018-10-05T21:36:00Z</dcterms:modified>
</cp:coreProperties>
</file>