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Jesús eres mi buen Pastor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Marcos Witt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b w:val="false"/>
          <w:bCs w:val="false"/>
          <w:color w:val="000000"/>
          <w:sz w:val="20"/>
          <w:szCs w:val="20"/>
        </w:rPr>
        <w:t>A</w:t>
      </w: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 xml:space="preserve">         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Cerca de Tí yo quiero estar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C#m          F#m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para escuchar tu voz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Bm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y aprender de Tí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A       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quiero ser un reflejo de to amor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C#m    F#m     Bm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quiero vivir solo en tu voluntad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A  F#m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Jesús,   eres mi buen Pastor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D   Bm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Tú conoces  mi camino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A  F#m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Jesús,   puedo confiar en Tí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D        E             A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oh, mi Dios, me rindo hoy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Words>76</Words>
  <Pages>7</Pages>
  <Characters>254</Characters>
  <Application>WPS Office</Application>
  <Paragraphs>24</Paragraphs>
  <ScaleCrop>false</ScaleCrop>
  <LinksUpToDate>false</LinksUpToDate>
  <CharactersWithSpaces>468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2019-02-21T14:53:41Z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